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731" w:rsidRDefault="00B56718">
      <w:r>
        <w:t xml:space="preserve">During Week 6, the focus shifted from core implementation to </w:t>
      </w:r>
      <w:r>
        <w:rPr>
          <w:rStyle w:val="Strong"/>
        </w:rPr>
        <w:t>refinement, optimization, and system stabilization</w:t>
      </w:r>
      <w:r>
        <w:t>. The main goal was to improve the robustness of the ingestion pipeline, enhance the efficiency of indexing and querying, and strengthen the overall structure of the system to ensure reliability for larger datasets.</w:t>
      </w:r>
      <w:bookmarkStart w:id="0" w:name="_GoBack"/>
      <w:bookmarkEnd w:id="0"/>
    </w:p>
    <w:sectPr w:rsidR="002207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718"/>
    <w:rsid w:val="00023732"/>
    <w:rsid w:val="0099535B"/>
    <w:rsid w:val="00B5671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3FB3F-2079-43C2-86FD-C5CB9E8E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567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Words>
  <Characters>279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1</cp:revision>
  <dcterms:created xsi:type="dcterms:W3CDTF">2026-03-21T01:49:00Z</dcterms:created>
  <dcterms:modified xsi:type="dcterms:W3CDTF">2026-03-21T01:49:00Z</dcterms:modified>
</cp:coreProperties>
</file>