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11A10" w:rsidRDefault="00CB2BBD">
      <w:pPr>
        <w:jc w:val="center"/>
        <w:rPr>
          <w:b/>
          <w:w w:val="0"/>
          <w:szCs w:val="18"/>
          <w:lang w:val="ru-RU"/>
        </w:rPr>
      </w:pPr>
      <w:r>
        <w:rPr>
          <w:b/>
          <w:w w:val="0"/>
          <w:szCs w:val="18"/>
          <w:lang w:val="ru-RU"/>
        </w:rPr>
        <w:t>Подтверждение для Сделки расчетный валютный форвард №</w:t>
      </w:r>
      <w:bookmarkStart w:id="0" w:name="NumDoc"/>
      <w:r>
        <w:rPr>
          <w:b/>
          <w:w w:val="0"/>
          <w:szCs w:val="18"/>
          <w:lang w:val="ru-RU"/>
        </w:rPr>
        <w:t>&lt;</w:t>
      </w:r>
      <w:r>
        <w:rPr>
          <w:b/>
          <w:w w:val="0"/>
          <w:szCs w:val="18"/>
          <w:lang w:val="en-US"/>
        </w:rPr>
        <w:t>A</w:t>
      </w:r>
      <w:r>
        <w:rPr>
          <w:b/>
          <w:w w:val="0"/>
          <w:szCs w:val="18"/>
          <w:lang w:val="ru-RU"/>
        </w:rPr>
        <w:t>1&gt;</w:t>
      </w:r>
      <w:bookmarkEnd w:id="0"/>
    </w:p>
    <w:p w:rsidR="00A11A10" w:rsidRPr="00CB2BBD" w:rsidRDefault="00CB2BBD">
      <w:pPr>
        <w:pStyle w:val="a0"/>
        <w:spacing w:after="0"/>
        <w:ind w:left="284" w:hanging="284"/>
        <w:jc w:val="right"/>
        <w:rPr>
          <w:w w:val="0"/>
          <w:szCs w:val="18"/>
          <w:lang w:val="ru-RU"/>
        </w:rPr>
      </w:pPr>
      <w:bookmarkStart w:id="1" w:name="DateSdel_1"/>
      <w:r>
        <w:rPr>
          <w:w w:val="0"/>
          <w:szCs w:val="18"/>
          <w:lang w:val="ru-RU"/>
        </w:rPr>
        <w:t>&lt;</w:t>
      </w:r>
      <w:r>
        <w:rPr>
          <w:w w:val="0"/>
          <w:szCs w:val="18"/>
          <w:lang w:val="en-US"/>
        </w:rPr>
        <w:t>A</w:t>
      </w:r>
      <w:r>
        <w:rPr>
          <w:w w:val="0"/>
          <w:szCs w:val="18"/>
          <w:lang w:val="ru-RU"/>
        </w:rPr>
        <w:t>2&gt;</w:t>
      </w:r>
      <w:bookmarkEnd w:id="1"/>
    </w:p>
    <w:p w:rsidR="00A11A10" w:rsidRDefault="00CB2BBD">
      <w:pPr>
        <w:pStyle w:val="a0"/>
        <w:spacing w:after="0"/>
        <w:ind w:left="284" w:hanging="284"/>
        <w:jc w:val="left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АО «</w:t>
      </w:r>
      <w:proofErr w:type="spellStart"/>
      <w:r>
        <w:rPr>
          <w:w w:val="0"/>
          <w:szCs w:val="18"/>
          <w:lang w:val="ru-RU"/>
        </w:rPr>
        <w:t>Россельхозбанк</w:t>
      </w:r>
      <w:proofErr w:type="spellEnd"/>
      <w:r>
        <w:rPr>
          <w:w w:val="0"/>
          <w:szCs w:val="18"/>
          <w:lang w:val="ru-RU"/>
        </w:rPr>
        <w:t>»</w:t>
      </w:r>
    </w:p>
    <w:p w:rsidR="00A11A10" w:rsidRDefault="00CB2BBD">
      <w:pPr>
        <w:pStyle w:val="a0"/>
        <w:spacing w:after="0"/>
        <w:ind w:left="284" w:hanging="284"/>
        <w:jc w:val="left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119034, г. Москва, Гагаринский пер., д. 3</w:t>
      </w:r>
    </w:p>
    <w:p w:rsidR="00A11A10" w:rsidRDefault="00A11A10">
      <w:pPr>
        <w:pStyle w:val="a0"/>
        <w:spacing w:after="0"/>
        <w:ind w:left="284" w:hanging="284"/>
        <w:jc w:val="left"/>
        <w:rPr>
          <w:b/>
          <w:bCs/>
          <w:w w:val="0"/>
          <w:szCs w:val="18"/>
          <w:lang w:val="ru-RU"/>
        </w:rPr>
      </w:pPr>
    </w:p>
    <w:p w:rsidR="00A11A10" w:rsidRDefault="00CB2BBD">
      <w:pPr>
        <w:pStyle w:val="a0"/>
        <w:spacing w:after="0"/>
        <w:ind w:left="284" w:hanging="284"/>
        <w:jc w:val="left"/>
        <w:rPr>
          <w:b/>
          <w:bCs/>
          <w:w w:val="0"/>
          <w:szCs w:val="18"/>
          <w:lang w:val="ru-RU"/>
        </w:rPr>
      </w:pPr>
      <w:proofErr w:type="spellStart"/>
      <w:r>
        <w:rPr>
          <w:b/>
          <w:bCs/>
          <w:w w:val="0"/>
          <w:szCs w:val="18"/>
          <w:lang w:val="ru-RU"/>
        </w:rPr>
        <w:t>Кас</w:t>
      </w:r>
      <w:proofErr w:type="spellEnd"/>
      <w:r>
        <w:rPr>
          <w:b/>
          <w:bCs/>
          <w:w w:val="0"/>
          <w:szCs w:val="18"/>
          <w:lang w:val="ru-RU"/>
        </w:rPr>
        <w:t xml:space="preserve">.: </w:t>
      </w:r>
      <w:bookmarkStart w:id="2" w:name="TypeSdel"/>
      <w:r>
        <w:rPr>
          <w:b/>
          <w:bCs/>
          <w:w w:val="0"/>
          <w:szCs w:val="18"/>
          <w:lang w:val="ru-RU"/>
        </w:rPr>
        <w:t>&lt;</w:t>
      </w:r>
      <w:r>
        <w:rPr>
          <w:b/>
          <w:bCs/>
          <w:w w:val="0"/>
          <w:szCs w:val="18"/>
          <w:lang w:val="en-US"/>
        </w:rPr>
        <w:t>A</w:t>
      </w:r>
      <w:r>
        <w:rPr>
          <w:b/>
          <w:bCs/>
          <w:w w:val="0"/>
          <w:szCs w:val="18"/>
          <w:lang w:val="ru-RU"/>
        </w:rPr>
        <w:t>3&gt;</w:t>
      </w:r>
      <w:bookmarkEnd w:id="2"/>
    </w:p>
    <w:p w:rsidR="00A11A10" w:rsidRDefault="00A11A10">
      <w:pPr>
        <w:pStyle w:val="a0"/>
        <w:spacing w:after="0"/>
        <w:ind w:left="284" w:hanging="284"/>
        <w:jc w:val="left"/>
        <w:rPr>
          <w:w w:val="0"/>
          <w:szCs w:val="18"/>
          <w:lang w:val="ru-RU"/>
        </w:rPr>
      </w:pPr>
    </w:p>
    <w:p w:rsidR="00A11A10" w:rsidRDefault="00CB2BBD">
      <w:pPr>
        <w:pStyle w:val="a0"/>
        <w:ind w:left="567"/>
        <w:jc w:val="left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Уважаемые Господа!</w:t>
      </w:r>
    </w:p>
    <w:p w:rsidR="00A11A10" w:rsidRDefault="00CB2BBD">
      <w:pPr>
        <w:pStyle w:val="a0"/>
        <w:ind w:firstLine="567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Целью настоящего письма (далее — «</w:t>
      </w:r>
      <w:r>
        <w:rPr>
          <w:b/>
          <w:bCs/>
          <w:i/>
          <w:iCs/>
          <w:w w:val="0"/>
          <w:szCs w:val="18"/>
          <w:lang w:val="ru-RU"/>
        </w:rPr>
        <w:t>Подтверждение</w:t>
      </w:r>
      <w:r>
        <w:rPr>
          <w:w w:val="0"/>
          <w:szCs w:val="18"/>
          <w:lang w:val="ru-RU"/>
        </w:rPr>
        <w:t xml:space="preserve">») является подтверждение условий Сделки, заключенной нами в указанную ниже Дату сделки. Настоящее Подтверждение представляет собой Подтверждение в смысле Генерального соглашения о срочных сделках на финансовых рынках между </w:t>
      </w:r>
      <w:bookmarkStart w:id="3" w:name="Bank"/>
      <w:r>
        <w:rPr>
          <w:w w:val="0"/>
          <w:szCs w:val="18"/>
          <w:lang w:val="ru-RU"/>
        </w:rPr>
        <w:t>&lt;</w:t>
      </w:r>
      <w:r>
        <w:rPr>
          <w:w w:val="0"/>
          <w:szCs w:val="18"/>
          <w:lang w:val="en-US"/>
        </w:rPr>
        <w:t>A</w:t>
      </w:r>
      <w:r>
        <w:rPr>
          <w:w w:val="0"/>
          <w:szCs w:val="18"/>
          <w:lang w:val="ru-RU"/>
        </w:rPr>
        <w:t>4&gt;</w:t>
      </w:r>
      <w:bookmarkEnd w:id="3"/>
      <w:r>
        <w:rPr>
          <w:w w:val="0"/>
          <w:szCs w:val="18"/>
          <w:lang w:val="ru-RU"/>
        </w:rPr>
        <w:t xml:space="preserve"> (далее — «</w:t>
      </w:r>
      <w:r>
        <w:rPr>
          <w:b/>
          <w:bCs/>
          <w:i/>
          <w:iCs/>
          <w:w w:val="0"/>
          <w:szCs w:val="18"/>
          <w:lang w:val="ru-RU"/>
        </w:rPr>
        <w:t>Сторона</w:t>
      </w:r>
      <w:r>
        <w:rPr>
          <w:b/>
          <w:bCs/>
          <w:i/>
          <w:iCs/>
          <w:w w:val="0"/>
          <w:szCs w:val="18"/>
        </w:rPr>
        <w:t> </w:t>
      </w:r>
      <w:r>
        <w:rPr>
          <w:b/>
          <w:bCs/>
          <w:i/>
          <w:iCs/>
          <w:w w:val="0"/>
          <w:szCs w:val="18"/>
          <w:lang w:val="ru-RU"/>
        </w:rPr>
        <w:t>А</w:t>
      </w:r>
      <w:r>
        <w:rPr>
          <w:w w:val="0"/>
          <w:szCs w:val="18"/>
          <w:lang w:val="ru-RU"/>
        </w:rPr>
        <w:t xml:space="preserve">») и </w:t>
      </w:r>
      <w:bookmarkStart w:id="4" w:name="Contractor"/>
      <w:r>
        <w:rPr>
          <w:w w:val="0"/>
          <w:szCs w:val="18"/>
          <w:lang w:val="ru-RU"/>
        </w:rPr>
        <w:t>&lt;</w:t>
      </w:r>
      <w:r>
        <w:rPr>
          <w:w w:val="0"/>
          <w:szCs w:val="18"/>
          <w:lang w:val="en-US"/>
        </w:rPr>
        <w:t>A</w:t>
      </w:r>
      <w:r>
        <w:rPr>
          <w:w w:val="0"/>
          <w:szCs w:val="18"/>
          <w:lang w:val="ru-RU"/>
        </w:rPr>
        <w:t>5&gt;</w:t>
      </w:r>
      <w:bookmarkEnd w:id="4"/>
      <w:r>
        <w:rPr>
          <w:w w:val="0"/>
          <w:szCs w:val="18"/>
          <w:lang w:val="ru-RU"/>
        </w:rPr>
        <w:t xml:space="preserve"> (далее — «</w:t>
      </w:r>
      <w:r>
        <w:rPr>
          <w:b/>
          <w:bCs/>
          <w:i/>
          <w:iCs/>
          <w:w w:val="0"/>
          <w:szCs w:val="18"/>
          <w:lang w:val="ru-RU"/>
        </w:rPr>
        <w:t>Сторона Б</w:t>
      </w:r>
      <w:r>
        <w:rPr>
          <w:w w:val="0"/>
          <w:szCs w:val="18"/>
          <w:lang w:val="ru-RU"/>
        </w:rPr>
        <w:t xml:space="preserve">») </w:t>
      </w:r>
      <w:bookmarkStart w:id="5" w:name="NumCntr"/>
      <w:r>
        <w:rPr>
          <w:w w:val="0"/>
          <w:szCs w:val="18"/>
          <w:lang w:val="ru-RU"/>
        </w:rPr>
        <w:t>&lt;</w:t>
      </w:r>
      <w:r>
        <w:rPr>
          <w:w w:val="0"/>
          <w:szCs w:val="18"/>
          <w:lang w:val="en-US"/>
        </w:rPr>
        <w:t>A</w:t>
      </w:r>
      <w:r>
        <w:rPr>
          <w:w w:val="0"/>
          <w:szCs w:val="18"/>
          <w:lang w:val="ru-RU"/>
        </w:rPr>
        <w:t xml:space="preserve">6&gt; </w:t>
      </w:r>
      <w:bookmarkEnd w:id="5"/>
      <w:r>
        <w:rPr>
          <w:w w:val="0"/>
          <w:szCs w:val="18"/>
          <w:lang w:val="ru-RU"/>
        </w:rPr>
        <w:t>(далее — «</w:t>
      </w:r>
      <w:r>
        <w:rPr>
          <w:b/>
          <w:bCs/>
          <w:i/>
          <w:iCs/>
          <w:w w:val="0"/>
          <w:szCs w:val="18"/>
          <w:lang w:val="ru-RU"/>
        </w:rPr>
        <w:t>Генеральное соглашение</w:t>
      </w:r>
      <w:r>
        <w:rPr>
          <w:w w:val="0"/>
          <w:szCs w:val="18"/>
          <w:lang w:val="ru-RU"/>
        </w:rPr>
        <w:t>»).</w:t>
      </w:r>
    </w:p>
    <w:p w:rsidR="00A11A10" w:rsidRDefault="00CB2BBD">
      <w:pPr>
        <w:pStyle w:val="a0"/>
        <w:spacing w:after="0"/>
        <w:ind w:left="284" w:hanging="284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1.</w:t>
      </w:r>
      <w:r>
        <w:rPr>
          <w:w w:val="0"/>
          <w:szCs w:val="18"/>
          <w:lang w:val="ru-RU"/>
        </w:rPr>
        <w:tab/>
        <w:t xml:space="preserve">В настоящее Подтверждение включены положения Стандартных условий конверсионных сделок, </w:t>
      </w:r>
      <w:r>
        <w:rPr>
          <w:szCs w:val="18"/>
          <w:lang w:val="ru-RU"/>
        </w:rPr>
        <w:t xml:space="preserve">сделок </w:t>
      </w:r>
      <w:r>
        <w:rPr>
          <w:bCs/>
          <w:w w:val="0"/>
          <w:szCs w:val="18"/>
          <w:lang w:val="ru-RU"/>
        </w:rPr>
        <w:t>валютный форвард,</w:t>
      </w:r>
      <w:r>
        <w:rPr>
          <w:b/>
          <w:bCs/>
          <w:w w:val="0"/>
          <w:szCs w:val="18"/>
          <w:lang w:val="ru-RU"/>
        </w:rPr>
        <w:t xml:space="preserve"> </w:t>
      </w:r>
      <w:r>
        <w:rPr>
          <w:szCs w:val="18"/>
          <w:lang w:val="ru-RU"/>
        </w:rPr>
        <w:t xml:space="preserve">валютный опцион и валютный своп </w:t>
      </w:r>
      <w:r>
        <w:rPr>
          <w:w w:val="0"/>
          <w:szCs w:val="18"/>
          <w:lang w:val="ru-RU"/>
        </w:rPr>
        <w:t>(далее — «</w:t>
      </w:r>
      <w:r>
        <w:rPr>
          <w:b/>
          <w:bCs/>
          <w:i/>
          <w:iCs/>
          <w:w w:val="0"/>
          <w:szCs w:val="18"/>
          <w:lang w:val="ru-RU"/>
        </w:rPr>
        <w:t>Стандартные условия</w:t>
      </w:r>
      <w:r>
        <w:rPr>
          <w:w w:val="0"/>
          <w:szCs w:val="18"/>
          <w:lang w:val="ru-RU"/>
        </w:rPr>
        <w:t xml:space="preserve">»), </w:t>
      </w:r>
      <w:r>
        <w:rPr>
          <w:szCs w:val="18"/>
          <w:lang w:val="ru-RU"/>
        </w:rPr>
        <w:t>разработанные и утвержденные Саморегулируемой (некоммерческой) организацией «Национальная ассоциация участников фондового рынка» (НАУФОР), Национальной Валютной Ассоциацией и Ассоциацией российских банков, опубликованные в сети Интернет на страницах Саморегулируемой (некоммерческой) организации «Национальная ассоциация участников фондового рынка» (НАУФОР), Национальной Валютной Ассоциации и Ассоциации российских банков</w:t>
      </w:r>
      <w:r>
        <w:rPr>
          <w:w w:val="0"/>
          <w:szCs w:val="18"/>
          <w:lang w:val="ru-RU"/>
        </w:rPr>
        <w:t>. В случае противоречия между настоящим Подтверждением и положениями указанных Стандартных условий настоящее Подтверждение имеет преимущественную силу.</w:t>
      </w:r>
    </w:p>
    <w:p w:rsidR="00A11A10" w:rsidRPr="00CB2BBD" w:rsidRDefault="00CB2BBD">
      <w:pPr>
        <w:pStyle w:val="a0"/>
        <w:spacing w:after="0"/>
        <w:ind w:left="284" w:hanging="284"/>
        <w:rPr>
          <w:lang w:val="ru-RU"/>
        </w:rPr>
      </w:pPr>
      <w:r>
        <w:rPr>
          <w:w w:val="0"/>
          <w:szCs w:val="18"/>
          <w:lang w:val="ru-RU"/>
        </w:rPr>
        <w:t>2.</w:t>
      </w:r>
      <w:r>
        <w:rPr>
          <w:w w:val="0"/>
          <w:szCs w:val="18"/>
          <w:lang w:val="ru-RU"/>
        </w:rPr>
        <w:tab/>
        <w:t>Настоящее Подтверждение дополняет Генеральное соглашение, является его частью и регулируется Генеральным соглашением. Все положения Генерального соглашения применяются к настоящему Подтверждению, если иное не предусмотрено ниже.</w:t>
      </w:r>
    </w:p>
    <w:p w:rsidR="00A11A10" w:rsidRDefault="00CB2BBD">
      <w:pPr>
        <w:pStyle w:val="a0"/>
        <w:spacing w:after="220"/>
        <w:ind w:left="284" w:hanging="284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3.</w:t>
      </w:r>
      <w:r>
        <w:rPr>
          <w:w w:val="0"/>
          <w:szCs w:val="18"/>
          <w:lang w:val="ru-RU"/>
        </w:rPr>
        <w:tab/>
        <w:t>Условиями Сделки, к которой относится настоящее Подтверждение, являются: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905"/>
        <w:gridCol w:w="3525"/>
        <w:gridCol w:w="1482"/>
      </w:tblGrid>
      <w:tr w:rsidR="00A11A10">
        <w:trPr>
          <w:trHeight w:val="273"/>
        </w:trPr>
        <w:tc>
          <w:tcPr>
            <w:tcW w:w="9912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en-US" w:eastAsia="ru-RU" w:bidi="hi-IN"/>
              </w:rPr>
            </w:pPr>
            <w:r>
              <w:rPr>
                <w:rFonts w:cs="Mangal"/>
                <w:color w:val="000000"/>
                <w:szCs w:val="18"/>
                <w:lang w:val="ru-RU" w:eastAsia="ru-RU" w:bidi="hi-IN"/>
              </w:rPr>
              <w:t>Общие условия:</w:t>
            </w:r>
          </w:p>
        </w:tc>
      </w:tr>
      <w:tr w:rsidR="00A11A10">
        <w:trPr>
          <w:trHeight w:val="273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en-US" w:eastAsia="ru-RU" w:bidi="hi-IN"/>
              </w:rPr>
            </w:pPr>
            <w:r>
              <w:rPr>
                <w:rFonts w:cs="Mangal"/>
                <w:color w:val="000000"/>
                <w:szCs w:val="18"/>
                <w:lang w:val="ru-RU" w:eastAsia="ru-RU" w:bidi="hi-IN"/>
              </w:rPr>
              <w:t>Дата сделки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en-US" w:eastAsia="ru-RU" w:bidi="hi-IN"/>
              </w:rPr>
            </w:pPr>
            <w:bookmarkStart w:id="6" w:name="DateSdel_2"/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&lt;</w:t>
            </w:r>
            <w:r>
              <w:rPr>
                <w:rFonts w:cs="Mangal"/>
                <w:color w:val="000000"/>
                <w:szCs w:val="18"/>
                <w:lang w:val="ru-RU" w:eastAsia="ru-RU" w:bidi="hi-IN"/>
              </w:rPr>
              <w:t>А7</w:t>
            </w:r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&gt;</w:t>
            </w:r>
            <w:bookmarkEnd w:id="6"/>
          </w:p>
        </w:tc>
      </w:tr>
      <w:tr w:rsidR="00A11A10">
        <w:trPr>
          <w:trHeight w:val="264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Расчетная валюта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bookmarkStart w:id="7" w:name="Curr"/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&lt;</w:t>
            </w:r>
            <w:r>
              <w:rPr>
                <w:rFonts w:cs="Mangal"/>
                <w:color w:val="000000"/>
                <w:szCs w:val="18"/>
                <w:lang w:val="ru-RU" w:eastAsia="ru-RU" w:bidi="hi-IN"/>
              </w:rPr>
              <w:t>А8</w:t>
            </w:r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&gt;</w:t>
            </w:r>
            <w:bookmarkEnd w:id="7"/>
          </w:p>
        </w:tc>
      </w:tr>
      <w:tr w:rsidR="00A11A10">
        <w:trPr>
          <w:trHeight w:val="264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Номинальная сумма в расчетной валюте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bookmarkStart w:id="8" w:name="SumVal"/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&lt;</w:t>
            </w:r>
            <w:r>
              <w:rPr>
                <w:rFonts w:cs="Mangal"/>
                <w:color w:val="000000"/>
                <w:szCs w:val="18"/>
                <w:lang w:val="ru-RU" w:eastAsia="ru-RU" w:bidi="hi-IN"/>
              </w:rPr>
              <w:t>А9</w:t>
            </w:r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&gt;</w:t>
            </w:r>
            <w:bookmarkEnd w:id="8"/>
          </w:p>
        </w:tc>
      </w:tr>
      <w:tr w:rsidR="00A11A10">
        <w:trPr>
          <w:trHeight w:val="264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Номинальная сумма в базовой валюте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bookmarkStart w:id="9" w:name="SumBaseVal"/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&lt;</w:t>
            </w:r>
            <w:r>
              <w:rPr>
                <w:rFonts w:cs="Mangal"/>
                <w:color w:val="000000"/>
                <w:szCs w:val="18"/>
                <w:lang w:val="ru-RU" w:eastAsia="ru-RU" w:bidi="hi-IN"/>
              </w:rPr>
              <w:t>А10</w:t>
            </w:r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&gt;</w:t>
            </w:r>
            <w:bookmarkEnd w:id="9"/>
          </w:p>
        </w:tc>
      </w:tr>
      <w:tr w:rsidR="00A11A10">
        <w:trPr>
          <w:trHeight w:val="264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r>
              <w:rPr>
                <w:w w:val="0"/>
                <w:szCs w:val="18"/>
                <w:lang w:val="ru-RU"/>
              </w:rPr>
              <w:t>Форвардный курс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bookmarkStart w:id="10" w:name="Rate"/>
            <w:r>
              <w:rPr>
                <w:rFonts w:cs="Mangal"/>
                <w:color w:val="000000"/>
                <w:szCs w:val="18"/>
                <w:lang w:val="ru-RU" w:eastAsia="ru-RU" w:bidi="hi-IN"/>
              </w:rPr>
              <w:t>&lt;</w:t>
            </w:r>
            <w:r>
              <w:rPr>
                <w:rFonts w:cs="Mangal"/>
                <w:color w:val="000000"/>
                <w:szCs w:val="18"/>
                <w:lang w:val="en-US" w:eastAsia="ru-RU" w:bidi="hi-IN"/>
              </w:rPr>
              <w:t>A</w:t>
            </w:r>
            <w:r>
              <w:rPr>
                <w:rFonts w:cs="Mangal"/>
                <w:color w:val="000000"/>
                <w:szCs w:val="18"/>
                <w:lang w:val="ru-RU" w:eastAsia="ru-RU" w:bidi="hi-IN"/>
              </w:rPr>
              <w:t>11&gt;</w:t>
            </w:r>
            <w:bookmarkEnd w:id="10"/>
          </w:p>
        </w:tc>
      </w:tr>
      <w:tr w:rsidR="00A11A10">
        <w:trPr>
          <w:trHeight w:val="264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Покупатель расчетной валюты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bookmarkStart w:id="11" w:name="Customer"/>
            <w:r>
              <w:rPr>
                <w:rFonts w:cs="Mangal"/>
                <w:color w:val="000000"/>
                <w:szCs w:val="18"/>
                <w:lang w:val="ru-RU" w:eastAsia="ru-RU" w:bidi="hi-IN"/>
              </w:rPr>
              <w:t>&lt;А12&gt;</w:t>
            </w:r>
            <w:r>
              <w:rPr>
                <w:w w:val="0"/>
                <w:szCs w:val="18"/>
                <w:lang w:val="ru-RU"/>
              </w:rPr>
              <w:t xml:space="preserve"> </w:t>
            </w:r>
            <w:bookmarkEnd w:id="11"/>
          </w:p>
        </w:tc>
      </w:tr>
      <w:tr w:rsidR="00A11A10">
        <w:trPr>
          <w:trHeight w:val="264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Продавец расчетной валюты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bookmarkStart w:id="12" w:name="Saler"/>
            <w:r>
              <w:rPr>
                <w:rFonts w:cs="Mangal"/>
                <w:color w:val="000000"/>
                <w:szCs w:val="18"/>
                <w:lang w:val="ru-RU" w:eastAsia="ru-RU" w:bidi="hi-IN"/>
              </w:rPr>
              <w:t>&lt;А13&gt;</w:t>
            </w:r>
            <w:bookmarkEnd w:id="12"/>
          </w:p>
        </w:tc>
      </w:tr>
      <w:tr w:rsidR="00A11A10">
        <w:trPr>
          <w:trHeight w:val="264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r>
              <w:rPr>
                <w:w w:val="0"/>
                <w:szCs w:val="18"/>
                <w:lang w:val="ru-RU"/>
              </w:rPr>
              <w:t>Дата платежа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bookmarkStart w:id="13" w:name="DatePay"/>
            <w:r>
              <w:rPr>
                <w:rFonts w:cs="Mangal"/>
                <w:color w:val="000000"/>
                <w:szCs w:val="18"/>
                <w:lang w:val="ru-RU" w:eastAsia="ru-RU" w:bidi="hi-IN"/>
              </w:rPr>
              <w:t>&lt;</w:t>
            </w:r>
            <w:r>
              <w:rPr>
                <w:rFonts w:cs="Mangal"/>
                <w:color w:val="000000"/>
                <w:szCs w:val="18"/>
                <w:lang w:val="en-US" w:eastAsia="ru-RU" w:bidi="hi-IN"/>
              </w:rPr>
              <w:t>A</w:t>
            </w:r>
            <w:r>
              <w:rPr>
                <w:rFonts w:cs="Mangal"/>
                <w:color w:val="000000"/>
                <w:szCs w:val="18"/>
                <w:lang w:val="ru-RU" w:eastAsia="ru-RU" w:bidi="hi-IN"/>
              </w:rPr>
              <w:t>14&gt;</w:t>
            </w:r>
            <w:bookmarkEnd w:id="13"/>
          </w:p>
        </w:tc>
      </w:tr>
      <w:tr w:rsidR="00A11A10">
        <w:trPr>
          <w:trHeight w:val="264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Расчеты в порядке, установленном для Расчетной сделки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A11A10" w:rsidRDefault="00CB2BBD">
            <w:pPr>
              <w:widowControl w:val="0"/>
              <w:ind w:left="284" w:hanging="284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r>
              <w:rPr>
                <w:rFonts w:cs="Mangal"/>
                <w:color w:val="000000"/>
                <w:szCs w:val="18"/>
                <w:lang w:val="ru-RU" w:eastAsia="ru-RU" w:bidi="hi-IN"/>
              </w:rPr>
              <w:t>Применимо</w:t>
            </w:r>
          </w:p>
        </w:tc>
      </w:tr>
      <w:tr w:rsidR="00A11A10" w:rsidRPr="007173DD">
        <w:trPr>
          <w:trHeight w:val="264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A11A10" w:rsidRDefault="00CB2BBD">
            <w:pPr>
              <w:widowControl w:val="0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Способ определения курса спот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A11A10" w:rsidRDefault="00CB2BBD">
            <w:pPr>
              <w:keepLines/>
              <w:spacing w:line="160" w:lineRule="atLeast"/>
              <w:ind w:left="-6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r>
              <w:rPr>
                <w:szCs w:val="18"/>
                <w:lang w:val="en-US"/>
              </w:rPr>
              <w:t>RUB</w:t>
            </w:r>
            <w:r>
              <w:rPr>
                <w:szCs w:val="18"/>
                <w:lang w:val="ru-RU"/>
              </w:rPr>
              <w:t xml:space="preserve"> </w:t>
            </w:r>
            <w:r>
              <w:rPr>
                <w:szCs w:val="18"/>
                <w:lang w:val="en-US"/>
              </w:rPr>
              <w:t>MOEX</w:t>
            </w:r>
            <w:r>
              <w:rPr>
                <w:szCs w:val="18"/>
                <w:lang w:val="ru-RU"/>
              </w:rPr>
              <w:t xml:space="preserve">, или </w:t>
            </w:r>
            <w:r>
              <w:rPr>
                <w:szCs w:val="18"/>
                <w:lang w:val="en-US"/>
              </w:rPr>
              <w:t>RUB</w:t>
            </w:r>
            <w:r>
              <w:rPr>
                <w:szCs w:val="18"/>
                <w:lang w:val="ru-RU"/>
              </w:rPr>
              <w:t xml:space="preserve">05, означает что Курсом спот для Даты оценки является курс рубля к </w:t>
            </w:r>
            <w:bookmarkStart w:id="14" w:name="CurrBaseName"/>
            <w:r>
              <w:rPr>
                <w:szCs w:val="18"/>
                <w:lang w:val="ru-RU"/>
              </w:rPr>
              <w:t>&lt;</w:t>
            </w:r>
            <w:proofErr w:type="spellStart"/>
            <w:r>
              <w:rPr>
                <w:szCs w:val="18"/>
                <w:lang w:val="en-US"/>
              </w:rPr>
              <w:t>CurrBaseName</w:t>
            </w:r>
            <w:proofErr w:type="spellEnd"/>
            <w:r>
              <w:rPr>
                <w:szCs w:val="18"/>
                <w:lang w:val="ru-RU"/>
              </w:rPr>
              <w:t>&gt;</w:t>
            </w:r>
            <w:bookmarkEnd w:id="14"/>
            <w:r>
              <w:rPr>
                <w:szCs w:val="18"/>
                <w:lang w:val="ru-RU"/>
              </w:rPr>
              <w:t xml:space="preserve">, выраженный как количество рублей за один </w:t>
            </w:r>
            <w:bookmarkStart w:id="15" w:name="CurrBaseName_2"/>
            <w:r>
              <w:rPr>
                <w:szCs w:val="18"/>
                <w:lang w:val="ru-RU"/>
              </w:rPr>
              <w:t>&lt;</w:t>
            </w:r>
            <w:proofErr w:type="spellStart"/>
            <w:r>
              <w:rPr>
                <w:szCs w:val="18"/>
                <w:lang w:val="en-US"/>
              </w:rPr>
              <w:t>CurrBaseName</w:t>
            </w:r>
            <w:proofErr w:type="spellEnd"/>
            <w:r>
              <w:rPr>
                <w:szCs w:val="18"/>
                <w:lang w:val="ru-RU"/>
              </w:rPr>
              <w:t>&gt;</w:t>
            </w:r>
            <w:bookmarkEnd w:id="15"/>
            <w:r>
              <w:rPr>
                <w:szCs w:val="18"/>
                <w:lang w:val="ru-RU"/>
              </w:rPr>
              <w:t>, для расчетов на следующий Рабочий день, объявляемый ПАО Московская Биржа (</w:t>
            </w:r>
            <w:r>
              <w:rPr>
                <w:szCs w:val="18"/>
                <w:lang w:val="en-US"/>
              </w:rPr>
              <w:t>MOEX</w:t>
            </w:r>
            <w:r>
              <w:rPr>
                <w:szCs w:val="18"/>
                <w:lang w:val="ru-RU"/>
              </w:rPr>
              <w:t xml:space="preserve">) на странице </w:t>
            </w:r>
            <w:proofErr w:type="spellStart"/>
            <w:r>
              <w:rPr>
                <w:szCs w:val="18"/>
                <w:lang w:val="en-US"/>
              </w:rPr>
              <w:t>moex</w:t>
            </w:r>
            <w:proofErr w:type="spellEnd"/>
            <w:r>
              <w:rPr>
                <w:szCs w:val="18"/>
                <w:lang w:val="ru-RU"/>
              </w:rPr>
              <w:t>.</w:t>
            </w:r>
            <w:r>
              <w:rPr>
                <w:szCs w:val="18"/>
                <w:lang w:val="en-US"/>
              </w:rPr>
              <w:t>com</w:t>
            </w:r>
            <w:r>
              <w:rPr>
                <w:szCs w:val="18"/>
                <w:lang w:val="ru-RU"/>
              </w:rPr>
              <w:t>/</w:t>
            </w:r>
            <w:proofErr w:type="spellStart"/>
            <w:r>
              <w:rPr>
                <w:szCs w:val="18"/>
                <w:lang w:val="en-US"/>
              </w:rPr>
              <w:t>en</w:t>
            </w:r>
            <w:proofErr w:type="spellEnd"/>
            <w:r>
              <w:rPr>
                <w:szCs w:val="18"/>
                <w:lang w:val="ru-RU"/>
              </w:rPr>
              <w:t>/</w:t>
            </w:r>
            <w:r>
              <w:rPr>
                <w:szCs w:val="18"/>
                <w:lang w:val="en-US"/>
              </w:rPr>
              <w:t>fixing</w:t>
            </w:r>
            <w:r>
              <w:rPr>
                <w:szCs w:val="18"/>
                <w:lang w:val="ru-RU"/>
              </w:rPr>
              <w:t xml:space="preserve"> как </w:t>
            </w:r>
            <w:r>
              <w:rPr>
                <w:szCs w:val="18"/>
                <w:lang w:val="en-US"/>
              </w:rPr>
              <w:t>MOEX</w:t>
            </w:r>
            <w:r>
              <w:rPr>
                <w:szCs w:val="18"/>
                <w:lang w:val="ru-RU"/>
              </w:rPr>
              <w:t xml:space="preserve"> </w:t>
            </w:r>
            <w:bookmarkStart w:id="16" w:name="Curr_2_2"/>
            <w:r>
              <w:rPr>
                <w:szCs w:val="18"/>
                <w:lang w:val="ru-RU"/>
              </w:rPr>
              <w:t>&lt;</w:t>
            </w:r>
            <w:proofErr w:type="spellStart"/>
            <w:r>
              <w:rPr>
                <w:szCs w:val="18"/>
                <w:lang w:val="en-US"/>
              </w:rPr>
              <w:t>Curr</w:t>
            </w:r>
            <w:proofErr w:type="spellEnd"/>
            <w:r>
              <w:rPr>
                <w:szCs w:val="18"/>
                <w:lang w:val="ru-RU"/>
              </w:rPr>
              <w:t>_2&gt;</w:t>
            </w:r>
            <w:bookmarkEnd w:id="16"/>
            <w:r>
              <w:rPr>
                <w:szCs w:val="18"/>
                <w:lang w:val="ru-RU"/>
              </w:rPr>
              <w:t xml:space="preserve">/ </w:t>
            </w:r>
            <w:bookmarkStart w:id="17" w:name="CurrBase_2_2"/>
            <w:r>
              <w:rPr>
                <w:szCs w:val="18"/>
                <w:lang w:val="ru-RU"/>
              </w:rPr>
              <w:t>&lt;</w:t>
            </w:r>
            <w:proofErr w:type="spellStart"/>
            <w:r>
              <w:rPr>
                <w:szCs w:val="18"/>
                <w:lang w:val="en-US"/>
              </w:rPr>
              <w:t>CurrBase</w:t>
            </w:r>
            <w:proofErr w:type="spellEnd"/>
            <w:r>
              <w:rPr>
                <w:szCs w:val="18"/>
                <w:lang w:val="ru-RU"/>
              </w:rPr>
              <w:t>_2&gt;</w:t>
            </w:r>
            <w:bookmarkEnd w:id="17"/>
            <w:r>
              <w:rPr>
                <w:szCs w:val="18"/>
                <w:lang w:val="ru-RU"/>
              </w:rPr>
              <w:t xml:space="preserve"> </w:t>
            </w:r>
            <w:r>
              <w:rPr>
                <w:szCs w:val="18"/>
                <w:lang w:val="en-US"/>
              </w:rPr>
              <w:t>FX</w:t>
            </w:r>
            <w:r>
              <w:rPr>
                <w:szCs w:val="18"/>
                <w:lang w:val="ru-RU"/>
              </w:rPr>
              <w:t xml:space="preserve"> </w:t>
            </w:r>
            <w:r>
              <w:rPr>
                <w:szCs w:val="18"/>
                <w:lang w:val="en-US"/>
              </w:rPr>
              <w:t>Fixing</w:t>
            </w:r>
            <w:r>
              <w:rPr>
                <w:szCs w:val="18"/>
                <w:lang w:val="ru-RU"/>
              </w:rPr>
              <w:t xml:space="preserve"> примерно в 12 часов 35 минут по московскому времени в Дату оценки</w:t>
            </w:r>
          </w:p>
        </w:tc>
      </w:tr>
      <w:tr w:rsidR="00A11A10" w:rsidTr="007173DD">
        <w:trPr>
          <w:trHeight w:val="273"/>
        </w:trPr>
        <w:tc>
          <w:tcPr>
            <w:tcW w:w="4905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</w:tcPr>
          <w:p w:rsidR="00A11A10" w:rsidRDefault="00CB2BBD">
            <w:pPr>
              <w:pStyle w:val="a0"/>
              <w:spacing w:after="0"/>
              <w:ind w:left="284" w:hanging="284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Дата оценки</w:t>
            </w:r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11A10" w:rsidRDefault="00CB2BBD">
            <w:pPr>
              <w:widowControl w:val="0"/>
              <w:ind w:left="284" w:hanging="284"/>
              <w:jc w:val="both"/>
              <w:rPr>
                <w:rFonts w:cs="Mangal"/>
                <w:color w:val="000000"/>
                <w:szCs w:val="18"/>
                <w:lang w:val="ru-RU" w:eastAsia="ru-RU" w:bidi="hi-IN"/>
              </w:rPr>
            </w:pPr>
            <w:bookmarkStart w:id="18" w:name="DateOc"/>
            <w:r>
              <w:rPr>
                <w:rFonts w:cs="Mangal"/>
                <w:color w:val="000000"/>
                <w:szCs w:val="18"/>
                <w:lang w:val="ru-RU" w:eastAsia="ru-RU" w:bidi="hi-IN"/>
              </w:rPr>
              <w:t>&lt;А16&gt;</w:t>
            </w:r>
            <w:bookmarkEnd w:id="18"/>
          </w:p>
        </w:tc>
      </w:tr>
      <w:tr w:rsidR="00A11A10" w:rsidRPr="007173DD" w:rsidTr="007173DD">
        <w:trPr>
          <w:trHeight w:val="264"/>
        </w:trPr>
        <w:tc>
          <w:tcPr>
            <w:tcW w:w="4905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A11A10" w:rsidRPr="00CB2BBD" w:rsidRDefault="00CB2BBD" w:rsidP="00CB2BBD">
            <w:pPr>
              <w:pStyle w:val="a0"/>
              <w:spacing w:after="0"/>
              <w:jc w:val="left"/>
              <w:rPr>
                <w:b/>
                <w:w w:val="0"/>
                <w:szCs w:val="18"/>
                <w:lang w:val="ru-RU"/>
              </w:rPr>
            </w:pPr>
            <w:r>
              <w:rPr>
                <w:b/>
                <w:w w:val="0"/>
                <w:szCs w:val="18"/>
                <w:lang w:val="ru-RU"/>
              </w:rPr>
              <w:t>Счет для платежей в пользу Стороны А:</w:t>
            </w:r>
            <w:bookmarkStart w:id="19" w:name="_GoBack"/>
            <w:bookmarkEnd w:id="19"/>
          </w:p>
        </w:tc>
        <w:tc>
          <w:tcPr>
            <w:tcW w:w="5007" w:type="dxa"/>
            <w:gridSpan w:val="2"/>
            <w:tcBorders>
              <w:top w:val="single" w:sz="4" w:space="0" w:color="000000"/>
              <w:left w:val="single" w:sz="4" w:space="0" w:color="auto"/>
              <w:bottom w:val="nil"/>
              <w:right w:val="single" w:sz="4" w:space="0" w:color="000000"/>
            </w:tcBorders>
          </w:tcPr>
          <w:p w:rsidR="00A11A10" w:rsidRPr="00CB2BBD" w:rsidRDefault="00CB2BBD">
            <w:pPr>
              <w:widowControl w:val="0"/>
              <w:jc w:val="both"/>
              <w:rPr>
                <w:rFonts w:cs="Mangal"/>
                <w:b/>
                <w:color w:val="000000"/>
                <w:szCs w:val="18"/>
                <w:lang w:val="ru-RU" w:eastAsia="ru-RU" w:bidi="hi-IN"/>
              </w:rPr>
            </w:pPr>
            <w:r>
              <w:rPr>
                <w:rFonts w:cs="Mangal"/>
                <w:b/>
                <w:color w:val="000000"/>
                <w:szCs w:val="18"/>
                <w:lang w:val="ru-RU" w:eastAsia="ru-RU" w:bidi="hi-IN"/>
              </w:rPr>
              <w:t>Счет для платежей в пользу Стороны Б:</w:t>
            </w:r>
          </w:p>
        </w:tc>
      </w:tr>
      <w:tr w:rsidR="00CB2BBD" w:rsidTr="007173DD">
        <w:trPr>
          <w:trHeight w:val="264"/>
        </w:trPr>
        <w:tc>
          <w:tcPr>
            <w:tcW w:w="490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B2BBD" w:rsidRPr="00CB2BBD" w:rsidRDefault="00CB2BBD">
            <w:pPr>
              <w:pStyle w:val="a0"/>
              <w:spacing w:after="0"/>
              <w:jc w:val="left"/>
              <w:rPr>
                <w:w w:val="0"/>
                <w:szCs w:val="18"/>
                <w:lang w:val="en-US"/>
              </w:rPr>
            </w:pPr>
            <w:bookmarkStart w:id="20" w:name="Side1Details"/>
            <w:r>
              <w:rPr>
                <w:w w:val="0"/>
                <w:szCs w:val="18"/>
                <w:lang w:val="en-US"/>
              </w:rPr>
              <w:t>&lt;</w:t>
            </w:r>
            <w:r>
              <w:rPr>
                <w:w w:val="0"/>
                <w:szCs w:val="18"/>
                <w:lang w:val="ru-RU"/>
              </w:rPr>
              <w:t>А17</w:t>
            </w:r>
            <w:r>
              <w:rPr>
                <w:w w:val="0"/>
                <w:szCs w:val="18"/>
                <w:lang w:val="en-US"/>
              </w:rPr>
              <w:t>&gt;</w:t>
            </w:r>
            <w:bookmarkEnd w:id="20"/>
          </w:p>
        </w:tc>
        <w:tc>
          <w:tcPr>
            <w:tcW w:w="5007" w:type="dxa"/>
            <w:gridSpan w:val="2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000000"/>
            </w:tcBorders>
          </w:tcPr>
          <w:p w:rsidR="00CB2BBD" w:rsidRDefault="00CB2BBD">
            <w:pPr>
              <w:widowControl w:val="0"/>
              <w:jc w:val="both"/>
              <w:rPr>
                <w:rFonts w:cs="Mangal"/>
                <w:b/>
                <w:color w:val="000000"/>
                <w:szCs w:val="18"/>
                <w:lang w:val="ru-RU" w:eastAsia="ru-RU" w:bidi="hi-IN"/>
              </w:rPr>
            </w:pPr>
            <w:bookmarkStart w:id="21" w:name="Side2Details"/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&lt;</w:t>
            </w:r>
            <w:r>
              <w:rPr>
                <w:rFonts w:cs="Mangal"/>
                <w:color w:val="000000"/>
                <w:szCs w:val="18"/>
                <w:lang w:val="ru-RU" w:eastAsia="ru-RU" w:bidi="hi-IN"/>
              </w:rPr>
              <w:t>А18</w:t>
            </w:r>
            <w:r>
              <w:rPr>
                <w:rFonts w:cs="Mangal"/>
                <w:color w:val="000000"/>
                <w:szCs w:val="18"/>
                <w:lang w:val="en-US" w:eastAsia="ru-RU" w:bidi="hi-IN"/>
              </w:rPr>
              <w:t>&gt;</w:t>
            </w:r>
            <w:bookmarkEnd w:id="21"/>
          </w:p>
        </w:tc>
      </w:tr>
      <w:tr w:rsidR="00A11A10" w:rsidTr="007173DD">
        <w:trPr>
          <w:gridAfter w:val="1"/>
          <w:wAfter w:w="1482" w:type="dxa"/>
        </w:trPr>
        <w:tc>
          <w:tcPr>
            <w:tcW w:w="4905" w:type="dxa"/>
            <w:tcBorders>
              <w:top w:val="single" w:sz="4" w:space="0" w:color="auto"/>
              <w:left w:val="none" w:sz="0" w:space="0" w:color="000000"/>
              <w:bottom w:val="none" w:sz="0" w:space="0" w:color="000000"/>
              <w:right w:val="none" w:sz="0" w:space="0" w:color="000000"/>
            </w:tcBorders>
          </w:tcPr>
          <w:p w:rsidR="00A11A10" w:rsidRDefault="00A11A10">
            <w:pPr>
              <w:pStyle w:val="a0"/>
              <w:spacing w:after="0"/>
              <w:ind w:left="284" w:hanging="284"/>
              <w:jc w:val="left"/>
              <w:rPr>
                <w:color w:val="FF0066"/>
                <w:w w:val="0"/>
                <w:szCs w:val="18"/>
                <w:lang w:val="ru-RU"/>
              </w:rPr>
            </w:pPr>
          </w:p>
        </w:tc>
        <w:tc>
          <w:tcPr>
            <w:tcW w:w="3525" w:type="dxa"/>
            <w:tcBorders>
              <w:top w:val="none" w:sz="0" w:space="0" w:color="000000"/>
              <w:left w:val="none" w:sz="0" w:space="0" w:color="000000"/>
              <w:bottom w:val="none" w:sz="0" w:space="0" w:color="000000"/>
              <w:right w:val="none" w:sz="0" w:space="0" w:color="000000"/>
            </w:tcBorders>
          </w:tcPr>
          <w:p w:rsidR="00A11A10" w:rsidRDefault="00A11A10">
            <w:pPr>
              <w:pStyle w:val="a0"/>
              <w:spacing w:after="120"/>
              <w:ind w:left="284" w:hanging="284"/>
              <w:rPr>
                <w:w w:val="0"/>
                <w:szCs w:val="18"/>
                <w:lang w:val="ru-RU"/>
              </w:rPr>
            </w:pPr>
          </w:p>
        </w:tc>
      </w:tr>
    </w:tbl>
    <w:p w:rsidR="00A11A10" w:rsidRDefault="00CB2BBD">
      <w:pPr>
        <w:pStyle w:val="a0"/>
        <w:spacing w:after="0"/>
        <w:ind w:firstLine="567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Настоящее Подтверждение отменяет и заменяет собой любую предшествующую переписку между нами в отношении настоящей Сделки (в том числе по Электронным средствам связи).</w:t>
      </w:r>
    </w:p>
    <w:p w:rsidR="00A11A10" w:rsidRDefault="00CB2BBD">
      <w:pPr>
        <w:pStyle w:val="a0"/>
        <w:spacing w:after="0"/>
        <w:ind w:firstLine="567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 xml:space="preserve">Просим подтвердить, что вышеизложенное правильно отражает условия Сделки, подписав и вернув нам приложенную </w:t>
      </w:r>
    </w:p>
    <w:p w:rsidR="00A11A10" w:rsidRDefault="00CB2BBD">
      <w:pPr>
        <w:pStyle w:val="a0"/>
        <w:spacing w:after="0"/>
        <w:ind w:firstLine="567"/>
        <w:rPr>
          <w:w w:val="0"/>
          <w:szCs w:val="18"/>
          <w:lang w:val="ru-RU"/>
        </w:rPr>
      </w:pPr>
      <w:r>
        <w:rPr>
          <w:w w:val="0"/>
          <w:szCs w:val="18"/>
          <w:lang w:val="ru-RU"/>
        </w:rPr>
        <w:t>Подтверждено по состоянию на дату, указанную на первой странице:</w:t>
      </w:r>
    </w:p>
    <w:p w:rsidR="00A11A10" w:rsidRDefault="00A11A10">
      <w:pPr>
        <w:pStyle w:val="a0"/>
        <w:spacing w:after="0"/>
        <w:ind w:firstLine="567"/>
        <w:rPr>
          <w:w w:val="0"/>
          <w:szCs w:val="18"/>
          <w:lang w:val="ru-RU"/>
        </w:rPr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4928"/>
        <w:gridCol w:w="4961"/>
      </w:tblGrid>
      <w:tr w:rsidR="00A11A10">
        <w:tc>
          <w:tcPr>
            <w:tcW w:w="4928" w:type="dxa"/>
            <w:tcBorders>
              <w:top w:val="none" w:sz="0" w:space="0" w:color="000000"/>
              <w:left w:val="none" w:sz="0" w:space="0" w:color="000000"/>
              <w:bottom w:val="none" w:sz="0" w:space="0" w:color="000000"/>
              <w:right w:val="none" w:sz="0" w:space="0" w:color="000000"/>
            </w:tcBorders>
          </w:tcPr>
          <w:p w:rsidR="00A11A10" w:rsidRDefault="00CB2BBD">
            <w:pPr>
              <w:pStyle w:val="a0"/>
              <w:spacing w:after="0"/>
              <w:ind w:left="284" w:hanging="284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Банк</w:t>
            </w:r>
          </w:p>
        </w:tc>
        <w:tc>
          <w:tcPr>
            <w:tcW w:w="4961" w:type="dxa"/>
            <w:tcBorders>
              <w:top w:val="none" w:sz="0" w:space="0" w:color="000000"/>
              <w:left w:val="none" w:sz="0" w:space="0" w:color="000000"/>
              <w:bottom w:val="none" w:sz="0" w:space="0" w:color="000000"/>
              <w:right w:val="none" w:sz="0" w:space="0" w:color="000000"/>
            </w:tcBorders>
          </w:tcPr>
          <w:p w:rsidR="00A11A10" w:rsidRDefault="00CB2BBD">
            <w:pPr>
              <w:pStyle w:val="a0"/>
              <w:spacing w:after="0"/>
              <w:ind w:left="34"/>
              <w:jc w:val="left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Клиент:</w:t>
            </w:r>
          </w:p>
        </w:tc>
      </w:tr>
      <w:tr w:rsidR="00A11A10" w:rsidRPr="007173DD">
        <w:tc>
          <w:tcPr>
            <w:tcW w:w="4928" w:type="dxa"/>
            <w:tcBorders>
              <w:top w:val="none" w:sz="0" w:space="0" w:color="000000"/>
              <w:left w:val="none" w:sz="0" w:space="0" w:color="000000"/>
              <w:bottom w:val="none" w:sz="0" w:space="0" w:color="000000"/>
              <w:right w:val="none" w:sz="0" w:space="0" w:color="000000"/>
            </w:tcBorders>
          </w:tcPr>
          <w:p w:rsidR="00A11A10" w:rsidRDefault="00CB2BBD">
            <w:pPr>
              <w:pStyle w:val="a0"/>
              <w:spacing w:after="0"/>
              <w:ind w:left="284" w:hanging="284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АО «</w:t>
            </w:r>
            <w:proofErr w:type="spellStart"/>
            <w:r>
              <w:rPr>
                <w:w w:val="0"/>
                <w:szCs w:val="18"/>
                <w:lang w:val="ru-RU"/>
              </w:rPr>
              <w:t>Россельхозбанк</w:t>
            </w:r>
            <w:proofErr w:type="spellEnd"/>
            <w:r>
              <w:rPr>
                <w:w w:val="0"/>
                <w:szCs w:val="18"/>
                <w:lang w:val="ru-RU"/>
              </w:rPr>
              <w:t>»</w:t>
            </w:r>
          </w:p>
          <w:p w:rsidR="00A11A10" w:rsidRDefault="00CB2BBD">
            <w:pPr>
              <w:pStyle w:val="a0"/>
              <w:spacing w:after="80"/>
              <w:ind w:left="284" w:hanging="284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______________________</w:t>
            </w:r>
          </w:p>
          <w:p w:rsidR="00A11A10" w:rsidRDefault="00CB2BBD">
            <w:pPr>
              <w:pStyle w:val="a0"/>
              <w:spacing w:after="0"/>
              <w:ind w:left="284" w:hanging="284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Ф. И. О.:</w:t>
            </w:r>
          </w:p>
          <w:p w:rsidR="00A11A10" w:rsidRDefault="00CB2BBD">
            <w:pPr>
              <w:pStyle w:val="a0"/>
              <w:spacing w:after="80"/>
              <w:ind w:left="284" w:hanging="284"/>
              <w:rPr>
                <w:w w:val="0"/>
                <w:szCs w:val="18"/>
                <w:lang w:val="en-US"/>
              </w:rPr>
            </w:pPr>
            <w:r>
              <w:rPr>
                <w:w w:val="0"/>
                <w:szCs w:val="18"/>
                <w:lang w:val="ru-RU"/>
              </w:rPr>
              <w:t>Должность:</w:t>
            </w:r>
            <w:r>
              <w:rPr>
                <w:w w:val="0"/>
                <w:szCs w:val="18"/>
                <w:lang w:val="en-US"/>
              </w:rPr>
              <w:t xml:space="preserve"> </w:t>
            </w:r>
            <w:bookmarkStart w:id="22" w:name="Post"/>
          </w:p>
          <w:p w:rsidR="00A11A10" w:rsidRDefault="00CB2BBD">
            <w:pPr>
              <w:pStyle w:val="a0"/>
              <w:spacing w:after="80"/>
              <w:ind w:left="284" w:hanging="284"/>
              <w:rPr>
                <w:w w:val="0"/>
                <w:szCs w:val="18"/>
                <w:lang w:val="en-US"/>
              </w:rPr>
            </w:pPr>
            <w:r>
              <w:rPr>
                <w:w w:val="0"/>
                <w:szCs w:val="18"/>
                <w:lang w:val="en-US"/>
              </w:rPr>
              <w:t>&lt;A2</w:t>
            </w:r>
            <w:r>
              <w:rPr>
                <w:w w:val="0"/>
                <w:szCs w:val="18"/>
                <w:lang w:val="ru-RU"/>
              </w:rPr>
              <w:t>0</w:t>
            </w:r>
            <w:r>
              <w:rPr>
                <w:w w:val="0"/>
                <w:szCs w:val="18"/>
                <w:lang w:val="en-US"/>
              </w:rPr>
              <w:t>&gt;</w:t>
            </w:r>
            <w:bookmarkEnd w:id="22"/>
          </w:p>
        </w:tc>
        <w:tc>
          <w:tcPr>
            <w:tcW w:w="4961" w:type="dxa"/>
            <w:tcBorders>
              <w:top w:val="none" w:sz="0" w:space="0" w:color="000000"/>
              <w:left w:val="none" w:sz="0" w:space="0" w:color="000000"/>
              <w:bottom w:val="none" w:sz="0" w:space="0" w:color="000000"/>
              <w:right w:val="none" w:sz="0" w:space="0" w:color="000000"/>
            </w:tcBorders>
          </w:tcPr>
          <w:p w:rsidR="00A11A10" w:rsidRDefault="00CB2BBD">
            <w:pPr>
              <w:pStyle w:val="a0"/>
              <w:spacing w:after="0"/>
              <w:ind w:left="34"/>
              <w:rPr>
                <w:w w:val="0"/>
                <w:szCs w:val="18"/>
                <w:lang w:val="ru-RU"/>
              </w:rPr>
            </w:pPr>
            <w:bookmarkStart w:id="23" w:name="Contractor1"/>
            <w:r>
              <w:rPr>
                <w:w w:val="0"/>
                <w:szCs w:val="18"/>
                <w:lang w:val="ru-RU"/>
              </w:rPr>
              <w:t>&lt;</w:t>
            </w:r>
            <w:r>
              <w:rPr>
                <w:w w:val="0"/>
                <w:szCs w:val="18"/>
                <w:lang w:val="en-US"/>
              </w:rPr>
              <w:t>A</w:t>
            </w:r>
            <w:r>
              <w:rPr>
                <w:w w:val="0"/>
                <w:szCs w:val="18"/>
                <w:lang w:val="ru-RU"/>
              </w:rPr>
              <w:t>19&gt;</w:t>
            </w:r>
            <w:bookmarkEnd w:id="23"/>
          </w:p>
          <w:p w:rsidR="00A11A10" w:rsidRDefault="00CB2BBD">
            <w:pPr>
              <w:pStyle w:val="a0"/>
              <w:spacing w:after="80"/>
              <w:ind w:left="34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______________________</w:t>
            </w:r>
          </w:p>
          <w:p w:rsidR="00A11A10" w:rsidRDefault="00CB2BBD">
            <w:pPr>
              <w:pStyle w:val="a0"/>
              <w:spacing w:after="0"/>
              <w:ind w:left="34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Ф. И. О.:</w:t>
            </w:r>
          </w:p>
          <w:p w:rsidR="00A11A10" w:rsidRDefault="00CB2BBD">
            <w:pPr>
              <w:pStyle w:val="a0"/>
              <w:spacing w:after="80"/>
              <w:ind w:left="34"/>
              <w:jc w:val="left"/>
              <w:rPr>
                <w:w w:val="0"/>
                <w:szCs w:val="18"/>
                <w:lang w:val="ru-RU"/>
              </w:rPr>
            </w:pPr>
            <w:r>
              <w:rPr>
                <w:w w:val="0"/>
                <w:szCs w:val="18"/>
                <w:lang w:val="ru-RU"/>
              </w:rPr>
              <w:t>Должность:</w:t>
            </w:r>
          </w:p>
        </w:tc>
      </w:tr>
    </w:tbl>
    <w:p w:rsidR="00CB2BBD" w:rsidRPr="00CB2BBD" w:rsidRDefault="00CB2BBD">
      <w:pPr>
        <w:rPr>
          <w:lang w:val="ru-RU"/>
        </w:rPr>
      </w:pPr>
    </w:p>
    <w:sectPr w:rsidR="00CB2BBD" w:rsidRPr="00CB2BBD">
      <w:pgSz w:w="11906" w:h="16838"/>
      <w:pgMar w:top="1134" w:right="850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auto"/>
    <w:pitch w:val="default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D250C93"/>
    <w:multiLevelType w:val="multilevel"/>
    <w:tmpl w:val="24A2D0B0"/>
    <w:lvl w:ilvl="0">
      <w:start w:val="1"/>
      <w:numFmt w:val="decimal"/>
      <w:pStyle w:val="FWBL1"/>
      <w:lvlText w:val="%1."/>
      <w:lvlJc w:val="left"/>
      <w:pPr>
        <w:tabs>
          <w:tab w:val="num" w:pos="720"/>
        </w:tabs>
        <w:ind w:left="0" w:firstLine="0"/>
      </w:pPr>
      <w:rPr>
        <w:rFonts w:ascii="Times New Roman" w:hAnsi="Times New Roman"/>
        <w:b/>
        <w:i w:val="0"/>
        <w:caps w:val="0"/>
        <w:color w:val="000000"/>
        <w:u w:val="none"/>
      </w:rPr>
    </w:lvl>
    <w:lvl w:ilvl="1">
      <w:start w:val="1"/>
      <w:numFmt w:val="decimal"/>
      <w:pStyle w:val="FWBL2"/>
      <w:lvlText w:val="%1.%2"/>
      <w:lvlJc w:val="left"/>
      <w:pPr>
        <w:tabs>
          <w:tab w:val="num" w:pos="720"/>
        </w:tabs>
        <w:ind w:left="0" w:firstLine="0"/>
      </w:pPr>
      <w:rPr>
        <w:rFonts w:ascii="Times New Roman" w:hAnsi="Times New Roman"/>
        <w:b w:val="0"/>
        <w:i w:val="0"/>
        <w:caps w:val="0"/>
        <w:color w:val="000000"/>
        <w:u w:val="none"/>
      </w:rPr>
    </w:lvl>
    <w:lvl w:ilvl="2">
      <w:start w:val="1"/>
      <w:numFmt w:val="lowerLetter"/>
      <w:pStyle w:val="FWBL3"/>
      <w:lvlText w:val="(%3)"/>
      <w:lvlJc w:val="left"/>
      <w:pPr>
        <w:tabs>
          <w:tab w:val="num" w:pos="720"/>
        </w:tabs>
        <w:ind w:left="720" w:hanging="720"/>
      </w:pPr>
      <w:rPr>
        <w:rFonts w:ascii="Times New Roman" w:hAnsi="Times New Roman"/>
        <w:b w:val="0"/>
        <w:i w:val="0"/>
        <w:caps w:val="0"/>
        <w:color w:val="000000"/>
        <w:u w:val="none"/>
      </w:rPr>
    </w:lvl>
    <w:lvl w:ilvl="3">
      <w:start w:val="1"/>
      <w:numFmt w:val="lowerRoman"/>
      <w:pStyle w:val="FWBL4"/>
      <w:lvlText w:val="(%4)"/>
      <w:lvlJc w:val="right"/>
      <w:pPr>
        <w:tabs>
          <w:tab w:val="num" w:pos="1440"/>
        </w:tabs>
        <w:ind w:left="1440" w:hanging="216"/>
      </w:pPr>
      <w:rPr>
        <w:rFonts w:ascii="Times New Roman" w:hAnsi="Times New Roman"/>
        <w:b w:val="0"/>
        <w:i w:val="0"/>
        <w:caps w:val="0"/>
        <w:color w:val="000000"/>
        <w:u w:val="none"/>
      </w:rPr>
    </w:lvl>
    <w:lvl w:ilvl="4">
      <w:start w:val="1"/>
      <w:numFmt w:val="upperLetter"/>
      <w:pStyle w:val="FWBL5"/>
      <w:lvlText w:val="(%5)"/>
      <w:lvlJc w:val="left"/>
      <w:pPr>
        <w:tabs>
          <w:tab w:val="num" w:pos="2160"/>
        </w:tabs>
        <w:ind w:left="2160" w:hanging="720"/>
      </w:pPr>
      <w:rPr>
        <w:rFonts w:ascii="Times New Roman" w:hAnsi="Times New Roman"/>
        <w:b w:val="0"/>
        <w:i w:val="0"/>
        <w:caps w:val="0"/>
        <w:color w:val="000000"/>
        <w:u w:val="none"/>
      </w:rPr>
    </w:lvl>
    <w:lvl w:ilvl="5">
      <w:start w:val="1"/>
      <w:numFmt w:val="upperRoman"/>
      <w:pStyle w:val="FWBL6"/>
      <w:lvlText w:val="(%6)"/>
      <w:lvlJc w:val="right"/>
      <w:pPr>
        <w:tabs>
          <w:tab w:val="num" w:pos="2880"/>
        </w:tabs>
        <w:ind w:left="2880" w:hanging="216"/>
      </w:pPr>
      <w:rPr>
        <w:rFonts w:ascii="Times New Roman" w:hAnsi="Times New Roman"/>
        <w:b w:val="0"/>
        <w:i w:val="0"/>
        <w:caps w:val="0"/>
        <w:color w:val="000000"/>
        <w:u w:val="none"/>
      </w:rPr>
    </w:lvl>
    <w:lvl w:ilvl="6">
      <w:start w:val="27"/>
      <w:numFmt w:val="lowerLetter"/>
      <w:pStyle w:val="FWBL7"/>
      <w:lvlText w:val="(%7)"/>
      <w:lvlJc w:val="left"/>
      <w:pPr>
        <w:tabs>
          <w:tab w:val="num" w:pos="3600"/>
        </w:tabs>
        <w:ind w:left="3600" w:hanging="720"/>
      </w:pPr>
      <w:rPr>
        <w:rFonts w:ascii="Times New Roman" w:hAnsi="Times New Roman"/>
        <w:b w:val="0"/>
        <w:i w:val="0"/>
        <w:caps w:val="0"/>
        <w:color w:val="000000"/>
        <w:u w:val="none"/>
      </w:rPr>
    </w:lvl>
    <w:lvl w:ilvl="7">
      <w:start w:val="1"/>
      <w:numFmt w:val="decimal"/>
      <w:pStyle w:val="FWBL8"/>
      <w:lvlText w:val="(%8)"/>
      <w:lvlJc w:val="left"/>
      <w:pPr>
        <w:tabs>
          <w:tab w:val="num" w:pos="4320"/>
        </w:tabs>
        <w:ind w:left="4320" w:hanging="720"/>
      </w:pPr>
      <w:rPr>
        <w:rFonts w:ascii="Times New Roman" w:hAnsi="Times New Roman"/>
        <w:b w:val="0"/>
        <w:i w:val="0"/>
        <w:caps w:val="0"/>
        <w:color w:val="000000"/>
        <w:u w:val="none"/>
      </w:rPr>
    </w:lvl>
    <w:lvl w:ilvl="8">
      <w:start w:val="1"/>
      <w:numFmt w:val="lowerRoman"/>
      <w:lvlText w:val="%9)"/>
      <w:lvlJc w:val="left"/>
      <w:pPr>
        <w:tabs>
          <w:tab w:val="num" w:pos="5760"/>
        </w:tabs>
        <w:ind w:left="5760" w:hanging="720"/>
      </w:pPr>
      <w:rPr>
        <w:rFonts w:ascii="Times New Roman" w:hAnsi="Times New Roman"/>
        <w:b w:val="0"/>
        <w:i w:val="0"/>
        <w:caps w:val="0"/>
        <w:color w:val="000000"/>
        <w:u w:val="no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spaceForUL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73DD"/>
    <w:rsid w:val="007173DD"/>
    <w:rsid w:val="00A11A10"/>
    <w:rsid w:val="00CB2B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rFonts w:ascii="Times New Roman" w:eastAsia="Times New Roman" w:hAnsi="Times New Roman"/>
      <w:sz w:val="18"/>
      <w:szCs w:val="24"/>
      <w:lang w:val="en-GB" w:eastAsia="en-US"/>
    </w:rPr>
  </w:style>
  <w:style w:type="paragraph" w:styleId="5">
    <w:name w:val="heading 5"/>
    <w:basedOn w:val="a0"/>
    <w:next w:val="a0"/>
    <w:link w:val="50"/>
    <w:qFormat/>
    <w:pPr>
      <w:keepNext/>
      <w:keepLines/>
      <w:tabs>
        <w:tab w:val="num" w:pos="360"/>
      </w:tabs>
      <w:ind w:left="1008" w:hanging="432"/>
      <w:jc w:val="center"/>
      <w:outlineLvl w:val="4"/>
    </w:pPr>
    <w:rPr>
      <w:b/>
      <w:caps/>
    </w:rPr>
  </w:style>
  <w:style w:type="paragraph" w:styleId="6">
    <w:name w:val="heading 6"/>
    <w:basedOn w:val="a0"/>
    <w:next w:val="a0"/>
    <w:link w:val="60"/>
    <w:qFormat/>
    <w:pPr>
      <w:keepNext/>
      <w:tabs>
        <w:tab w:val="num" w:pos="360"/>
      </w:tabs>
      <w:ind w:left="1152" w:hanging="432"/>
      <w:jc w:val="center"/>
      <w:outlineLvl w:val="5"/>
    </w:pPr>
    <w:rPr>
      <w:b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50">
    <w:name w:val="Заголовок 5 Знак"/>
    <w:link w:val="5"/>
    <w:rPr>
      <w:rFonts w:ascii="Times New Roman" w:eastAsia="Times New Roman" w:hAnsi="Times New Roman" w:cs="Times New Roman"/>
      <w:b/>
      <w:caps/>
      <w:sz w:val="18"/>
      <w:szCs w:val="24"/>
      <w:lang w:val="en-GB"/>
    </w:rPr>
  </w:style>
  <w:style w:type="character" w:customStyle="1" w:styleId="60">
    <w:name w:val="Заголовок 6 Знак"/>
    <w:link w:val="6"/>
    <w:rPr>
      <w:rFonts w:ascii="Times New Roman" w:eastAsia="Times New Roman" w:hAnsi="Times New Roman" w:cs="Times New Roman"/>
      <w:b/>
      <w:sz w:val="18"/>
      <w:szCs w:val="24"/>
      <w:lang w:val="en-GB"/>
    </w:rPr>
  </w:style>
  <w:style w:type="paragraph" w:styleId="a0">
    <w:name w:val="Body Text"/>
    <w:basedOn w:val="a"/>
    <w:link w:val="a4"/>
    <w:pPr>
      <w:spacing w:after="200"/>
      <w:jc w:val="both"/>
    </w:pPr>
  </w:style>
  <w:style w:type="character" w:customStyle="1" w:styleId="a4">
    <w:name w:val="Основной текст Знак"/>
    <w:link w:val="a0"/>
    <w:rPr>
      <w:rFonts w:ascii="Times New Roman" w:eastAsia="Times New Roman" w:hAnsi="Times New Roman" w:cs="Times New Roman"/>
      <w:sz w:val="18"/>
      <w:szCs w:val="24"/>
      <w:lang w:val="en-GB"/>
    </w:rPr>
  </w:style>
  <w:style w:type="character" w:styleId="a5">
    <w:name w:val="footnote reference"/>
    <w:rPr>
      <w:vertAlign w:val="superscript"/>
    </w:rPr>
  </w:style>
  <w:style w:type="paragraph" w:styleId="a6">
    <w:name w:val="footnote text"/>
    <w:basedOn w:val="a0"/>
    <w:link w:val="a7"/>
    <w:pPr>
      <w:spacing w:after="80"/>
      <w:ind w:left="357" w:hanging="357"/>
    </w:pPr>
    <w:rPr>
      <w:sz w:val="16"/>
      <w:szCs w:val="20"/>
    </w:rPr>
  </w:style>
  <w:style w:type="character" w:customStyle="1" w:styleId="a7">
    <w:name w:val="Текст сноски Знак"/>
    <w:link w:val="a6"/>
    <w:rPr>
      <w:rFonts w:ascii="Times New Roman" w:eastAsia="Times New Roman" w:hAnsi="Times New Roman" w:cs="Times New Roman"/>
      <w:sz w:val="16"/>
      <w:szCs w:val="20"/>
      <w:lang w:val="en-GB"/>
    </w:rPr>
  </w:style>
  <w:style w:type="paragraph" w:customStyle="1" w:styleId="FWBL1">
    <w:name w:val="FWB_L1"/>
    <w:basedOn w:val="a"/>
    <w:next w:val="FWBL2"/>
    <w:pPr>
      <w:keepNext/>
      <w:keepLines/>
      <w:numPr>
        <w:numId w:val="1"/>
      </w:numPr>
      <w:spacing w:after="200"/>
      <w:outlineLvl w:val="0"/>
    </w:pPr>
    <w:rPr>
      <w:b/>
      <w:smallCaps/>
      <w:szCs w:val="20"/>
    </w:rPr>
  </w:style>
  <w:style w:type="paragraph" w:customStyle="1" w:styleId="FWBL2">
    <w:name w:val="FWB_L2"/>
    <w:basedOn w:val="FWBL1"/>
    <w:pPr>
      <w:numPr>
        <w:ilvl w:val="1"/>
      </w:numPr>
    </w:pPr>
  </w:style>
  <w:style w:type="paragraph" w:customStyle="1" w:styleId="FWBL3">
    <w:name w:val="FWB_L3"/>
    <w:basedOn w:val="FWBL2"/>
    <w:pPr>
      <w:numPr>
        <w:ilvl w:val="2"/>
      </w:numPr>
      <w:ind w:left="0" w:firstLine="0"/>
    </w:pPr>
  </w:style>
  <w:style w:type="paragraph" w:customStyle="1" w:styleId="FWBL4">
    <w:name w:val="FWB_L4"/>
    <w:basedOn w:val="FWBL3"/>
    <w:pPr>
      <w:keepNext w:val="0"/>
      <w:keepLines w:val="0"/>
      <w:numPr>
        <w:ilvl w:val="3"/>
      </w:numPr>
      <w:jc w:val="both"/>
      <w:outlineLvl w:val="9"/>
    </w:pPr>
  </w:style>
  <w:style w:type="paragraph" w:customStyle="1" w:styleId="FWBL5">
    <w:name w:val="FWB_L5"/>
    <w:basedOn w:val="FWBL4"/>
    <w:pPr>
      <w:numPr>
        <w:ilvl w:val="4"/>
      </w:numPr>
    </w:pPr>
  </w:style>
  <w:style w:type="paragraph" w:customStyle="1" w:styleId="FWBL6">
    <w:name w:val="FWB_L6"/>
    <w:basedOn w:val="FWBL5"/>
    <w:pPr>
      <w:numPr>
        <w:ilvl w:val="5"/>
      </w:numPr>
    </w:pPr>
  </w:style>
  <w:style w:type="paragraph" w:customStyle="1" w:styleId="FWBL7">
    <w:name w:val="FWB_L7"/>
    <w:basedOn w:val="FWBL6"/>
    <w:pPr>
      <w:numPr>
        <w:ilvl w:val="6"/>
      </w:numPr>
    </w:pPr>
  </w:style>
  <w:style w:type="paragraph" w:customStyle="1" w:styleId="FWBL8">
    <w:name w:val="FWB_L8"/>
    <w:basedOn w:val="FWBL7"/>
    <w:pPr>
      <w:numPr>
        <w:ilvl w:val="7"/>
      </w:numPr>
      <w:tabs>
        <w:tab w:val="clear" w:pos="4320"/>
        <w:tab w:val="num" w:pos="3600"/>
      </w:tabs>
      <w:ind w:left="3600"/>
    </w:pPr>
  </w:style>
  <w:style w:type="character" w:styleId="a8">
    <w:name w:val="annotation reference"/>
    <w:rPr>
      <w:sz w:val="16"/>
      <w:szCs w:val="16"/>
    </w:rPr>
  </w:style>
  <w:style w:type="paragraph" w:styleId="a9">
    <w:name w:val="annotation text"/>
    <w:basedOn w:val="a"/>
    <w:link w:val="aa"/>
    <w:rPr>
      <w:sz w:val="20"/>
      <w:szCs w:val="20"/>
      <w:lang w:val="ru-RU" w:eastAsia="ru-RU"/>
    </w:rPr>
  </w:style>
  <w:style w:type="character" w:customStyle="1" w:styleId="aa">
    <w:name w:val="Текст примечания Знак"/>
    <w:link w:val="a9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b">
    <w:name w:val="Hyperlink"/>
    <w:rPr>
      <w:color w:val="0000FF"/>
      <w:spacing w:val="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A79ADF-6B6C-40EE-871D-63EF27C8A2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PFI_3_podtver.dotx</Template>
  <TotalTime>1</TotalTime>
  <Pages>1</Pages>
  <Words>433</Words>
  <Characters>2471</Characters>
  <Application>Microsoft Office Word</Application>
  <DocSecurity>0</DocSecurity>
  <Lines>20</Lines>
  <Paragraphs>5</Paragraphs>
  <ScaleCrop>false</ScaleCrop>
  <Company/>
  <LinksUpToDate>false</LinksUpToDate>
  <CharactersWithSpaces>2899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Vrubel Vyacheslav</dc:creator>
  <cp:lastModifiedBy>Vrubel Vyacheslav</cp:lastModifiedBy>
  <cp:revision>1</cp:revision>
  <dcterms:created xsi:type="dcterms:W3CDTF">2025-03-04T08:05:00Z</dcterms:created>
  <dcterms:modified xsi:type="dcterms:W3CDTF">2025-03-04T08:06:00Z</dcterms:modified>
  <cp:version>1048576</cp:version>
</cp:coreProperties>
</file>