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rPr>
          <w:rFonts w:ascii="JetBrains Mono" w:hAnsi="JetBrains Mono"/>
          <w:color w:val="BCBEC4"/>
          <w:shd w:fill="1E1F22" w:val="clear"/>
        </w:rPr>
      </w:pPr>
      <w:r>
        <w:t xml:space="preserve">Инструкция </w:t>
      </w:r>
      <w:r>
        <w:rPr>
          <w:rFonts w:ascii="JetBrains Mono" w:hAnsi="JetBrains Mono"/>
          <w:color w:val="BCBEC4"/>
          <w:shd w:fill="1E1F22" w:val="clear"/>
        </w:rPr>
        <w:t>BIQ-29836</w:t>
      </w:r>
    </w:p>
    <w:p w14:paraId="02000000">
      <w:pPr>
        <w:pStyle w:val="Style_2"/>
      </w:pPr>
    </w:p>
    <w:tbl>
      <w:tblPr>
        <w:tblStyle w:val="Style_3"/>
        <w:tblW w:type="auto" w:w="0"/>
        <w:tblBorders>
          <w:top w:color="000000" w:sz="6" w:val="single"/>
          <w:left w:color="000000" w:sz="6" w:val="single"/>
          <w:bottom w:color="000000" w:sz="6" w:val="single"/>
          <w:right w:color="000000" w:sz="6" w:val="single"/>
        </w:tblBorders>
        <w:tblLayout w:type="fixed"/>
        <w:tblCellMar>
          <w:top w:type="dxa" w:w="15"/>
          <w:left w:type="dxa" w:w="15"/>
          <w:bottom w:type="dxa" w:w="15"/>
          <w:right w:type="dxa" w:w="15"/>
        </w:tblCellMar>
      </w:tblPr>
      <w:tblGrid>
        <w:gridCol w:w="4270"/>
        <w:gridCol w:w="3969"/>
      </w:tblGrid>
      <w:tr>
        <w:tc>
          <w:tcPr>
            <w:tcW w:type="dxa" w:w="427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03000000">
            <w:pPr>
              <w:pStyle w:val="Style_2"/>
            </w:pPr>
            <w:r>
              <w:rPr>
                <w:rStyle w:val="Style_4_ch"/>
              </w:rPr>
              <w:t>Автор:</w:t>
            </w:r>
            <w:r>
              <w:rPr>
                <w:rStyle w:val="Style_4_ch"/>
              </w:rPr>
              <w:t xml:space="preserve"> </w:t>
            </w:r>
            <w:r>
              <w:t>Тихомиров Дмитрий Александрович</w:t>
            </w:r>
          </w:p>
        </w:tc>
        <w:tc>
          <w:tcPr>
            <w:tcW w:type="dxa" w:w="396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04000000">
            <w:pPr>
              <w:pStyle w:val="Style_2"/>
            </w:pPr>
            <w:r>
              <w:rPr>
                <w:rStyle w:val="Style_4_ch"/>
              </w:rPr>
              <w:t>Дата:</w:t>
            </w:r>
            <w:r>
              <w:rPr>
                <w:rStyle w:val="Style_4_ch"/>
              </w:rPr>
              <w:t xml:space="preserve"> </w:t>
            </w:r>
            <w:r>
              <w:rPr>
                <w:rStyle w:val="Style_4_ch"/>
              </w:rPr>
              <w:t>17</w:t>
            </w:r>
            <w:r>
              <w:rPr>
                <w:rStyle w:val="Style_4_ch"/>
              </w:rPr>
              <w:t>.11.</w:t>
            </w:r>
            <w:r>
              <w:rPr>
                <w:rStyle w:val="Style_4_ch"/>
              </w:rPr>
              <w:t>2025</w:t>
            </w:r>
          </w:p>
        </w:tc>
      </w:tr>
      <w:tr>
        <w:tc>
          <w:tcPr>
            <w:tcW w:type="dxa" w:w="427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05000000">
            <w:pPr>
              <w:pStyle w:val="Style_2"/>
              <w:rPr>
                <w:rFonts w:ascii="JetBrains Mono" w:hAnsi="JetBrains Mono"/>
                <w:color w:val="BCBEC4"/>
                <w:shd w:fill="1E1F22" w:val="clear"/>
              </w:rPr>
            </w:pPr>
            <w:r>
              <w:rPr>
                <w:rStyle w:val="Style_4_ch"/>
              </w:rPr>
              <w:t>BIQ:</w:t>
            </w:r>
            <w:r>
              <w:rPr>
                <w:rStyle w:val="Style_5_ch"/>
                <w:b w:val="1"/>
              </w:rPr>
              <w:t xml:space="preserve"> </w:t>
            </w:r>
            <w:r>
              <w:rPr>
                <w:rFonts w:ascii="JetBrains Mono" w:hAnsi="JetBrains Mono"/>
                <w:color w:val="BCBEC4"/>
                <w:shd w:fill="1E1F22" w:val="clear"/>
              </w:rPr>
              <w:t>BIQ-29836</w:t>
            </w:r>
          </w:p>
          <w:p w14:paraId="06000000">
            <w:pPr>
              <w:pStyle w:val="Style_2"/>
            </w:pPr>
          </w:p>
        </w:tc>
        <w:tc>
          <w:tcPr>
            <w:tcW w:type="dxa" w:w="396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07000000">
            <w:pPr>
              <w:pStyle w:val="Style_2"/>
            </w:pPr>
          </w:p>
        </w:tc>
      </w:tr>
      <w:tr>
        <w:trPr>
          <w:trHeight w:hRule="atLeast" w:val="200"/>
        </w:trPr>
        <w:tc>
          <w:tcPr>
            <w:tcW w:type="dxa" w:w="8239"/>
            <w:gridSpan w:val="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08000000">
            <w:pPr>
              <w:pStyle w:val="Style_2"/>
            </w:pPr>
            <w:r>
              <w:rPr>
                <w:rStyle w:val="Style_4_ch"/>
              </w:rPr>
              <w:t>Настройки меню в пользовательском интерфейсе:</w:t>
            </w:r>
            <w:r>
              <w:t xml:space="preserve"> </w:t>
            </w:r>
            <w:r>
              <w:rPr>
                <w:b w:val="1"/>
                <w:u w:val="single"/>
              </w:rPr>
              <w:t>Нет</w:t>
            </w:r>
          </w:p>
        </w:tc>
      </w:tr>
    </w:tbl>
    <w:p w14:paraId="09000000">
      <w:pPr>
        <w:pStyle w:val="Style_2"/>
      </w:pPr>
    </w:p>
    <w:p w14:paraId="0A000000">
      <w:pPr>
        <w:pStyle w:val="Style_2"/>
        <w:rPr>
          <w:color w:val="FF0000"/>
        </w:rPr>
      </w:pPr>
    </w:p>
    <w:p w14:paraId="0B000000">
      <w:pPr>
        <w:pStyle w:val="Style_2"/>
        <w:ind/>
        <w:jc w:val="both"/>
        <w:rPr>
          <w:rStyle w:val="Style_5_ch"/>
          <w:i w:val="0"/>
        </w:rPr>
      </w:pPr>
      <w:r>
        <w:rPr>
          <w:rStyle w:val="Style_5_ch"/>
          <w:i w:val="0"/>
        </w:rPr>
        <w:tab/>
      </w:r>
      <w:r>
        <w:rPr>
          <w:rStyle w:val="Style_5_ch"/>
          <w:i w:val="0"/>
        </w:rPr>
        <w:t>После выполнения все</w:t>
      </w:r>
      <w:r>
        <w:rPr>
          <w:rStyle w:val="Style_5_ch"/>
          <w:i w:val="0"/>
        </w:rPr>
        <w:t>х</w:t>
      </w:r>
      <w:r>
        <w:rPr>
          <w:rStyle w:val="Style_5_ch"/>
          <w:i w:val="0"/>
        </w:rPr>
        <w:t xml:space="preserve"> работ по </w:t>
      </w:r>
      <w:r>
        <w:rPr>
          <w:rStyle w:val="Style_5_ch"/>
          <w:i w:val="0"/>
        </w:rPr>
        <w:t xml:space="preserve">установке </w:t>
      </w:r>
      <w:r>
        <w:rPr>
          <w:rStyle w:val="Style_5_ch"/>
          <w:i w:val="0"/>
        </w:rPr>
        <w:t>релиз</w:t>
      </w:r>
      <w:r>
        <w:rPr>
          <w:rStyle w:val="Style_5_ch"/>
          <w:i w:val="0"/>
        </w:rPr>
        <w:t xml:space="preserve">а выполнить </w:t>
      </w:r>
      <w:r>
        <w:rPr>
          <w:rStyle w:val="Style_5_ch"/>
          <w:i w:val="0"/>
        </w:rPr>
        <w:t>обновление</w:t>
      </w:r>
      <w:r>
        <w:rPr>
          <w:rStyle w:val="Style_5_ch"/>
          <w:i w:val="0"/>
        </w:rPr>
        <w:t xml:space="preserve"> приложения для</w:t>
      </w:r>
      <w:r>
        <w:rPr>
          <w:rStyle w:val="Style_5_ch"/>
          <w:i w:val="0"/>
        </w:rPr>
        <w:t xml:space="preserve"> </w:t>
      </w:r>
      <w:r>
        <w:rPr>
          <w:rStyle w:val="Style_5_ch"/>
          <w:i w:val="0"/>
        </w:rPr>
        <w:t>Apache</w:t>
      </w:r>
      <w:r>
        <w:rPr>
          <w:rStyle w:val="Style_5_ch"/>
          <w:i w:val="0"/>
        </w:rPr>
        <w:t xml:space="preserve"> </w:t>
      </w:r>
      <w:r>
        <w:rPr>
          <w:rStyle w:val="Style_5_ch"/>
          <w:i w:val="0"/>
        </w:rPr>
        <w:t>Tomcat</w:t>
      </w:r>
      <w:r>
        <w:rPr>
          <w:rStyle w:val="Style_5_ch"/>
          <w:i w:val="0"/>
        </w:rPr>
        <w:t xml:space="preserve"> (на всех серверах, где приложение было ранее установлено)</w:t>
      </w:r>
      <w:r>
        <w:rPr>
          <w:rStyle w:val="Style_5_ch"/>
          <w:i w:val="0"/>
        </w:rPr>
        <w:t>:</w:t>
      </w:r>
    </w:p>
    <w:p w14:paraId="0C000000">
      <w:pPr>
        <w:pStyle w:val="Style_2"/>
        <w:numPr>
          <w:ilvl w:val="0"/>
          <w:numId w:val="1"/>
        </w:numPr>
      </w:pPr>
      <w:r>
        <w:t xml:space="preserve">Сделать резервную копию </w:t>
      </w:r>
      <w:r>
        <w:t>JEE</w:t>
      </w:r>
      <w:r>
        <w:t xml:space="preserve"> </w:t>
      </w:r>
      <w:r>
        <w:t>приложения СОФР</w:t>
      </w:r>
    </w:p>
    <w:p w14:paraId="0D000000">
      <w:pPr>
        <w:pStyle w:val="Style_2"/>
        <w:numPr>
          <w:ilvl w:val="0"/>
          <w:numId w:val="1"/>
        </w:numPr>
      </w:pPr>
      <w:r>
        <w:t>Обновить</w:t>
      </w:r>
      <w:r>
        <w:t xml:space="preserve"> </w:t>
      </w:r>
      <w:r>
        <w:t xml:space="preserve">СОФР из </w:t>
      </w:r>
      <w:r>
        <w:rPr>
          <w:b w:val="1"/>
        </w:rPr>
        <w:t>rs-bank-v-6-123</w:t>
      </w:r>
      <w:r>
        <w:rPr>
          <w:b w:val="1"/>
        </w:rPr>
        <w:t>.0</w:t>
      </w:r>
      <w:r>
        <w:rPr>
          <w:b w:val="1"/>
        </w:rPr>
        <w:t>.0.war(для Oracle)</w:t>
      </w:r>
      <w:r>
        <w:t xml:space="preserve">  и из </w:t>
      </w:r>
      <w:r>
        <w:rPr>
          <w:b w:val="1"/>
        </w:rPr>
        <w:t>rs-bank-v-6-122</w:t>
      </w:r>
      <w:r>
        <w:rPr>
          <w:b w:val="1"/>
        </w:rPr>
        <w:t>.0</w:t>
      </w:r>
      <w:r>
        <w:rPr>
          <w:b w:val="1"/>
        </w:rPr>
        <w:t>.0.war(для Postgres)</w:t>
      </w:r>
      <w:r>
        <w:t xml:space="preserve"> </w:t>
      </w:r>
      <w:r>
        <w:t xml:space="preserve">по стандартной технологии </w:t>
      </w:r>
      <w:r>
        <w:t>обновления</w:t>
      </w:r>
      <w:r>
        <w:t xml:space="preserve"> приложений.</w:t>
      </w:r>
    </w:p>
    <w:p w14:paraId="0E000000">
      <w:pPr>
        <w:pStyle w:val="Style_2"/>
        <w:numPr>
          <w:ilvl w:val="0"/>
          <w:numId w:val="1"/>
        </w:numPr>
      </w:pPr>
      <w:r>
        <w:t xml:space="preserve">После </w:t>
      </w:r>
      <w:r>
        <w:t>обновления</w:t>
      </w:r>
      <w:r>
        <w:t xml:space="preserve"> убедит</w:t>
      </w:r>
      <w:r>
        <w:t>ь</w:t>
      </w:r>
      <w:r>
        <w:t>ся в работоспособности приложения. Для этог</w:t>
      </w:r>
      <w:bookmarkStart w:id="1" w:name="_GoBack"/>
      <w:bookmarkEnd w:id="1"/>
      <w:r>
        <w:t>о</w:t>
      </w:r>
      <w:r>
        <w:t>:</w:t>
      </w:r>
    </w:p>
    <w:p w14:paraId="0F000000">
      <w:pPr>
        <w:pStyle w:val="Style_2"/>
        <w:numPr>
          <w:ilvl w:val="1"/>
          <w:numId w:val="1"/>
        </w:numPr>
      </w:pPr>
      <w:r>
        <w:t xml:space="preserve"> в любом </w:t>
      </w:r>
      <w:r>
        <w:t xml:space="preserve">редакторе открыть любой лог </w:t>
      </w:r>
      <w:r>
        <w:t>воркера</w:t>
      </w:r>
      <w:r>
        <w:t xml:space="preserve"> </w:t>
      </w:r>
      <w:r>
        <w:t>(</w:t>
      </w:r>
      <w:r>
        <w:t>./</w:t>
      </w:r>
      <w:r>
        <w:t>Obj</w:t>
      </w:r>
      <w:r>
        <w:t>/</w:t>
      </w:r>
      <w:r>
        <w:t>trace</w:t>
      </w:r>
      <w:r>
        <w:t>/</w:t>
      </w:r>
      <w:r>
        <w:t>worker</w:t>
      </w:r>
      <w:r>
        <w:t>*</w:t>
      </w:r>
      <w:r>
        <w:t>)</w:t>
      </w:r>
      <w:r>
        <w:t xml:space="preserve"> </w:t>
      </w:r>
      <w:r>
        <w:t xml:space="preserve">и убедиться в отсутствии ошибок </w:t>
      </w:r>
    </w:p>
    <w:p w14:paraId="10000000">
      <w:pPr>
        <w:pStyle w:val="Style_2"/>
        <w:numPr>
          <w:ilvl w:val="1"/>
          <w:numId w:val="1"/>
        </w:numPr>
      </w:pPr>
      <w:r>
        <w:t xml:space="preserve">Убедиться в отсутствии ошибок в логе </w:t>
      </w:r>
      <w:r>
        <w:t>Tomcat</w:t>
      </w:r>
    </w:p>
    <w:p w14:paraId="11000000">
      <w:pPr>
        <w:numPr>
          <w:numId w:val="1"/>
        </w:numPr>
        <w:spacing w:after="120" w:before="120"/>
        <w:ind w:firstLine="0" w:left="120" w:right="120"/>
      </w:pPr>
      <w:r>
        <w:t xml:space="preserve">Обновить конфигурацию брокера Artemis MQ, таблица </w:t>
      </w:r>
      <w:r>
        <w:t xml:space="preserve">dqueuews_dbt – очередь, таблица </w:t>
      </w:r>
      <w:r>
        <w:t xml:space="preserve">dqueuedirectionsws_dbt - </w:t>
      </w:r>
      <w:r>
        <w:t>параметры подключения.</w:t>
      </w:r>
    </w:p>
    <w:p w14:paraId="12000000">
      <w:pPr>
        <w:spacing w:after="120" w:before="120"/>
        <w:ind w:firstLine="0" w:left="120" w:right="120"/>
      </w:pPr>
    </w:p>
    <w:p w14:paraId="13000000">
      <w:pPr>
        <w:numPr>
          <w:numId w:val="1"/>
        </w:numPr>
        <w:spacing w:after="120" w:before="120"/>
        <w:ind w:firstLine="0" w:left="120" w:right="120"/>
      </w:pPr>
      <w:r>
        <w:t>Проверить, что приложение подключается к Artemis</w:t>
      </w:r>
    </w:p>
    <w:p w14:paraId="14000000">
      <w:pPr>
        <w:pStyle w:val="Style_2"/>
      </w:pPr>
    </w:p>
    <w:p w14:paraId="15000000">
      <w:pPr>
        <w:pStyle w:val="Style_2"/>
      </w:pPr>
      <w:r>
        <w:t xml:space="preserve">При возникновении проблем с новой версией </w:t>
      </w:r>
      <w:r>
        <w:t>JEE</w:t>
      </w:r>
      <w:r>
        <w:t xml:space="preserve"> </w:t>
      </w:r>
      <w:r>
        <w:t xml:space="preserve">приложения </w:t>
      </w:r>
      <w:r>
        <w:t>СОФР</w:t>
      </w:r>
      <w:r>
        <w:t xml:space="preserve"> откатить приложение </w:t>
      </w:r>
      <w:r>
        <w:t>из резервной копии,</w:t>
      </w:r>
      <w:r>
        <w:t xml:space="preserve"> сделанной в п.1.</w:t>
      </w:r>
    </w:p>
    <w:p w14:paraId="16000000">
      <w:pPr>
        <w:pStyle w:val="Style_2"/>
      </w:pPr>
    </w:p>
    <w:sectPr>
      <w:pgSz w:h="15840" w:orient="portrait" w:w="12240"/>
      <w:pgMar w:bottom="1440" w:footer="720" w:gutter="0" w:header="720" w:left="1440" w:right="1440" w:top="144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  <w:rPr>
      <w:sz w:val="24"/>
    </w:rPr>
  </w:style>
  <w:style w:default="1" w:styleId="Style_6_ch" w:type="character">
    <w:name w:val="Normal"/>
    <w:link w:val="Style_6"/>
    <w:rPr>
      <w:sz w:val="24"/>
    </w:rPr>
  </w:style>
  <w:style w:styleId="Style_7" w:type="paragraph">
    <w:name w:val="toc 2"/>
    <w:next w:val="Style_6"/>
    <w:link w:val="Style_7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8" w:type="paragraph">
    <w:name w:val="toc 4"/>
    <w:next w:val="Style_6"/>
    <w:link w:val="Style_8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8_ch" w:type="character">
    <w:name w:val="toc 4"/>
    <w:link w:val="Style_8"/>
    <w:rPr>
      <w:rFonts w:ascii="XO Thames" w:hAnsi="XO Thames"/>
      <w:sz w:val="28"/>
    </w:rPr>
  </w:style>
  <w:style w:styleId="Style_9" w:type="paragraph">
    <w:name w:val="HTML Preformatted"/>
    <w:basedOn w:val="Style_6"/>
    <w:link w:val="Style_9_ch"/>
    <w:pPr>
      <w:tabs>
        <w:tab w:leader="none" w:pos="916" w:val="left"/>
        <w:tab w:leader="none" w:pos="1832" w:val="left"/>
        <w:tab w:leader="none" w:pos="2748" w:val="left"/>
        <w:tab w:leader="none" w:pos="3664" w:val="left"/>
        <w:tab w:leader="none" w:pos="4580" w:val="left"/>
        <w:tab w:leader="none" w:pos="5496" w:val="left"/>
        <w:tab w:leader="none" w:pos="6412" w:val="left"/>
        <w:tab w:leader="none" w:pos="7328" w:val="left"/>
        <w:tab w:leader="none" w:pos="8244" w:val="left"/>
        <w:tab w:leader="none" w:pos="9160" w:val="left"/>
        <w:tab w:leader="none" w:pos="10076" w:val="left"/>
        <w:tab w:leader="none" w:pos="10992" w:val="left"/>
        <w:tab w:leader="none" w:pos="11908" w:val="left"/>
        <w:tab w:leader="none" w:pos="12824" w:val="left"/>
        <w:tab w:leader="none" w:pos="13740" w:val="left"/>
        <w:tab w:leader="none" w:pos="14656" w:val="left"/>
      </w:tabs>
      <w:ind/>
    </w:pPr>
    <w:rPr>
      <w:rFonts w:ascii="Courier New" w:hAnsi="Courier New"/>
      <w:sz w:val="20"/>
    </w:rPr>
  </w:style>
  <w:style w:styleId="Style_9_ch" w:type="character">
    <w:name w:val="HTML Preformatted"/>
    <w:basedOn w:val="Style_6_ch"/>
    <w:link w:val="Style_9"/>
    <w:rPr>
      <w:rFonts w:ascii="Courier New" w:hAnsi="Courier New"/>
      <w:sz w:val="20"/>
    </w:rPr>
  </w:style>
  <w:style w:styleId="Style_10" w:type="paragraph">
    <w:name w:val="toc 6"/>
    <w:next w:val="Style_6"/>
    <w:link w:val="Style_10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0_ch" w:type="character">
    <w:name w:val="toc 6"/>
    <w:link w:val="Style_10"/>
    <w:rPr>
      <w:rFonts w:ascii="XO Thames" w:hAnsi="XO Thames"/>
      <w:sz w:val="28"/>
    </w:rPr>
  </w:style>
  <w:style w:styleId="Style_11" w:type="paragraph">
    <w:name w:val="toc 7"/>
    <w:next w:val="Style_6"/>
    <w:link w:val="Style_11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1_ch" w:type="character">
    <w:name w:val="toc 7"/>
    <w:link w:val="Style_11"/>
    <w:rPr>
      <w:rFonts w:ascii="XO Thames" w:hAnsi="XO Thames"/>
      <w:sz w:val="28"/>
    </w:rPr>
  </w:style>
  <w:style w:styleId="Style_5" w:type="paragraph">
    <w:name w:val="Emphasis"/>
    <w:basedOn w:val="Style_12"/>
    <w:link w:val="Style_5_ch"/>
    <w:rPr>
      <w:i w:val="1"/>
    </w:rPr>
  </w:style>
  <w:style w:styleId="Style_5_ch" w:type="character">
    <w:name w:val="Emphasis"/>
    <w:basedOn w:val="Style_12_ch"/>
    <w:link w:val="Style_5"/>
    <w:rPr>
      <w:i w:val="1"/>
    </w:rPr>
  </w:style>
  <w:style w:styleId="Style_13" w:type="paragraph">
    <w:name w:val="Endnote"/>
    <w:link w:val="Style_13_ch"/>
    <w:pPr>
      <w:ind w:firstLine="851" w:left="0"/>
      <w:jc w:val="both"/>
    </w:pPr>
    <w:rPr>
      <w:rFonts w:ascii="XO Thames" w:hAnsi="XO Thames"/>
      <w:sz w:val="22"/>
    </w:rPr>
  </w:style>
  <w:style w:styleId="Style_13_ch" w:type="character">
    <w:name w:val="Endnote"/>
    <w:link w:val="Style_13"/>
    <w:rPr>
      <w:rFonts w:ascii="XO Thames" w:hAnsi="XO Thames"/>
      <w:sz w:val="22"/>
    </w:rPr>
  </w:style>
  <w:style w:styleId="Style_14" w:type="paragraph">
    <w:name w:val="heading 3"/>
    <w:basedOn w:val="Style_6"/>
    <w:next w:val="Style_6"/>
    <w:link w:val="Style_14_ch"/>
    <w:uiPriority w:val="9"/>
    <w:qFormat/>
    <w:pPr>
      <w:keepNext w:val="1"/>
      <w:keepLines w:val="1"/>
      <w:spacing w:before="40"/>
      <w:ind/>
      <w:outlineLvl w:val="2"/>
    </w:pPr>
    <w:rPr>
      <w:rFonts w:asciiTheme="majorAscii" w:hAnsiTheme="majorHAnsi"/>
      <w:color w:themeColor="accent1" w:themeShade="7F" w:val="1F4E79"/>
    </w:rPr>
  </w:style>
  <w:style w:styleId="Style_14_ch" w:type="character">
    <w:name w:val="heading 3"/>
    <w:basedOn w:val="Style_6_ch"/>
    <w:link w:val="Style_14"/>
    <w:rPr>
      <w:rFonts w:asciiTheme="majorAscii" w:hAnsiTheme="majorHAnsi"/>
      <w:color w:themeColor="accent1" w:themeShade="7F" w:val="1F4E79"/>
    </w:rPr>
  </w:style>
  <w:style w:styleId="Style_12" w:type="paragraph">
    <w:name w:val="Default Paragraph Font"/>
    <w:link w:val="Style_12_ch"/>
  </w:style>
  <w:style w:styleId="Style_12_ch" w:type="character">
    <w:name w:val="Default Paragraph Font"/>
    <w:link w:val="Style_12"/>
  </w:style>
  <w:style w:styleId="Style_15" w:type="paragraph">
    <w:name w:val="ds-markdown-paragraph"/>
    <w:basedOn w:val="Style_6"/>
    <w:link w:val="Style_15_ch"/>
    <w:pPr>
      <w:spacing w:afterAutospacing="on" w:beforeAutospacing="on"/>
      <w:ind/>
    </w:pPr>
  </w:style>
  <w:style w:styleId="Style_15_ch" w:type="character">
    <w:name w:val="ds-markdown-paragraph"/>
    <w:basedOn w:val="Style_6_ch"/>
    <w:link w:val="Style_15"/>
  </w:style>
  <w:style w:styleId="Style_16" w:type="paragraph">
    <w:name w:val="toc 3"/>
    <w:next w:val="Style_6"/>
    <w:link w:val="Style_16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6_ch" w:type="character">
    <w:name w:val="toc 3"/>
    <w:link w:val="Style_16"/>
    <w:rPr>
      <w:rFonts w:ascii="XO Thames" w:hAnsi="XO Thames"/>
      <w:sz w:val="28"/>
    </w:rPr>
  </w:style>
  <w:style w:styleId="Style_17" w:type="paragraph">
    <w:name w:val="code-info-button-text"/>
    <w:basedOn w:val="Style_12"/>
    <w:link w:val="Style_17_ch"/>
  </w:style>
  <w:style w:styleId="Style_17_ch" w:type="character">
    <w:name w:val="code-info-button-text"/>
    <w:basedOn w:val="Style_12_ch"/>
    <w:link w:val="Style_17"/>
  </w:style>
  <w:style w:styleId="Style_18" w:type="paragraph">
    <w:name w:val="heading 5"/>
    <w:next w:val="Style_6"/>
    <w:link w:val="Style_1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8_ch" w:type="character">
    <w:name w:val="heading 5"/>
    <w:link w:val="Style_18"/>
    <w:rPr>
      <w:rFonts w:ascii="XO Thames" w:hAnsi="XO Thames"/>
      <w:b w:val="1"/>
      <w:sz w:val="22"/>
    </w:rPr>
  </w:style>
  <w:style w:styleId="Style_4" w:type="paragraph">
    <w:name w:val="Strong"/>
    <w:basedOn w:val="Style_12"/>
    <w:link w:val="Style_4_ch"/>
    <w:rPr>
      <w:b w:val="1"/>
    </w:rPr>
  </w:style>
  <w:style w:styleId="Style_4_ch" w:type="character">
    <w:name w:val="Strong"/>
    <w:basedOn w:val="Style_12_ch"/>
    <w:link w:val="Style_4"/>
    <w:rPr>
      <w:b w:val="1"/>
    </w:rPr>
  </w:style>
  <w:style w:styleId="Style_1" w:type="paragraph">
    <w:name w:val="heading 1"/>
    <w:basedOn w:val="Style_6"/>
    <w:link w:val="Style_1_ch"/>
    <w:uiPriority w:val="9"/>
    <w:qFormat/>
    <w:pPr>
      <w:spacing w:afterAutospacing="on" w:beforeAutospacing="on"/>
      <w:ind/>
      <w:outlineLvl w:val="0"/>
    </w:pPr>
    <w:rPr>
      <w:b w:val="1"/>
      <w:sz w:val="48"/>
    </w:rPr>
  </w:style>
  <w:style w:styleId="Style_1_ch" w:type="character">
    <w:name w:val="heading 1"/>
    <w:basedOn w:val="Style_6_ch"/>
    <w:link w:val="Style_1"/>
    <w:rPr>
      <w:b w:val="1"/>
      <w:sz w:val="48"/>
    </w:rPr>
  </w:style>
  <w:style w:styleId="Style_19" w:type="paragraph">
    <w:name w:val="d813de27"/>
    <w:basedOn w:val="Style_12"/>
    <w:link w:val="Style_19_ch"/>
  </w:style>
  <w:style w:styleId="Style_19_ch" w:type="character">
    <w:name w:val="d813de27"/>
    <w:basedOn w:val="Style_12_ch"/>
    <w:link w:val="Style_19"/>
  </w:style>
  <w:style w:styleId="Style_20" w:type="paragraph">
    <w:name w:val="Hyperlink"/>
    <w:basedOn w:val="Style_12"/>
    <w:link w:val="Style_20_ch"/>
    <w:rPr>
      <w:color w:themeColor="hyperlink" w:val="0563C1"/>
      <w:u w:val="single"/>
    </w:rPr>
  </w:style>
  <w:style w:styleId="Style_20_ch" w:type="character">
    <w:name w:val="Hyperlink"/>
    <w:basedOn w:val="Style_12_ch"/>
    <w:link w:val="Style_20"/>
    <w:rPr>
      <w:color w:themeColor="hyperlink" w:val="0563C1"/>
      <w:u w:val="single"/>
    </w:rPr>
  </w:style>
  <w:style w:styleId="Style_21" w:type="paragraph">
    <w:name w:val="Footnote"/>
    <w:link w:val="Style_21_ch"/>
    <w:pPr>
      <w:ind w:firstLine="851" w:left="0"/>
      <w:jc w:val="both"/>
    </w:pPr>
    <w:rPr>
      <w:rFonts w:ascii="XO Thames" w:hAnsi="XO Thames"/>
      <w:sz w:val="22"/>
    </w:rPr>
  </w:style>
  <w:style w:styleId="Style_21_ch" w:type="character">
    <w:name w:val="Footnote"/>
    <w:link w:val="Style_21"/>
    <w:rPr>
      <w:rFonts w:ascii="XO Thames" w:hAnsi="XO Thames"/>
      <w:sz w:val="22"/>
    </w:rPr>
  </w:style>
  <w:style w:styleId="Style_22" w:type="paragraph">
    <w:name w:val="toc 1"/>
    <w:next w:val="Style_6"/>
    <w:link w:val="Style_2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22_ch" w:type="character">
    <w:name w:val="toc 1"/>
    <w:link w:val="Style_22"/>
    <w:rPr>
      <w:rFonts w:ascii="XO Thames" w:hAnsi="XO Thames"/>
      <w:b w:val="1"/>
      <w:sz w:val="28"/>
    </w:rPr>
  </w:style>
  <w:style w:styleId="Style_23" w:type="paragraph">
    <w:name w:val="Header and Footer"/>
    <w:link w:val="Style_23_ch"/>
    <w:pPr>
      <w:spacing w:line="240" w:lineRule="auto"/>
      <w:ind/>
      <w:jc w:val="both"/>
    </w:pPr>
    <w:rPr>
      <w:rFonts w:ascii="XO Thames" w:hAnsi="XO Thames"/>
      <w:sz w:val="28"/>
    </w:rPr>
  </w:style>
  <w:style w:styleId="Style_23_ch" w:type="character">
    <w:name w:val="Header and Footer"/>
    <w:link w:val="Style_23"/>
    <w:rPr>
      <w:rFonts w:ascii="XO Thames" w:hAnsi="XO Thames"/>
      <w:sz w:val="28"/>
    </w:rPr>
  </w:style>
  <w:style w:styleId="Style_24" w:type="paragraph">
    <w:name w:val="toc 9"/>
    <w:next w:val="Style_6"/>
    <w:link w:val="Style_2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4_ch" w:type="character">
    <w:name w:val="toc 9"/>
    <w:link w:val="Style_24"/>
    <w:rPr>
      <w:rFonts w:ascii="XO Thames" w:hAnsi="XO Thames"/>
      <w:sz w:val="28"/>
    </w:rPr>
  </w:style>
  <w:style w:styleId="Style_25" w:type="paragraph">
    <w:name w:val="HTML Code"/>
    <w:basedOn w:val="Style_12"/>
    <w:link w:val="Style_25_ch"/>
    <w:rPr>
      <w:rFonts w:ascii="Courier New" w:hAnsi="Courier New"/>
      <w:sz w:val="20"/>
    </w:rPr>
  </w:style>
  <w:style w:styleId="Style_25_ch" w:type="character">
    <w:name w:val="HTML Code"/>
    <w:basedOn w:val="Style_12_ch"/>
    <w:link w:val="Style_25"/>
    <w:rPr>
      <w:rFonts w:ascii="Courier New" w:hAnsi="Courier New"/>
      <w:sz w:val="20"/>
    </w:rPr>
  </w:style>
  <w:style w:styleId="Style_26" w:type="paragraph">
    <w:name w:val="toc 8"/>
    <w:next w:val="Style_6"/>
    <w:link w:val="Style_2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6_ch" w:type="character">
    <w:name w:val="toc 8"/>
    <w:link w:val="Style_26"/>
    <w:rPr>
      <w:rFonts w:ascii="XO Thames" w:hAnsi="XO Thames"/>
      <w:sz w:val="28"/>
    </w:rPr>
  </w:style>
  <w:style w:styleId="Style_27" w:type="paragraph">
    <w:name w:val="msonormal"/>
    <w:basedOn w:val="Style_6"/>
    <w:link w:val="Style_27_ch"/>
    <w:pPr>
      <w:spacing w:afterAutospacing="on" w:beforeAutospacing="on"/>
      <w:ind/>
    </w:pPr>
  </w:style>
  <w:style w:styleId="Style_27_ch" w:type="character">
    <w:name w:val="msonormal"/>
    <w:basedOn w:val="Style_6_ch"/>
    <w:link w:val="Style_27"/>
  </w:style>
  <w:style w:styleId="Style_28" w:type="paragraph">
    <w:name w:val="toc 5"/>
    <w:next w:val="Style_6"/>
    <w:link w:val="Style_28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8_ch" w:type="character">
    <w:name w:val="toc 5"/>
    <w:link w:val="Style_28"/>
    <w:rPr>
      <w:rFonts w:ascii="XO Thames" w:hAnsi="XO Thames"/>
      <w:sz w:val="28"/>
    </w:rPr>
  </w:style>
  <w:style w:styleId="Style_29" w:type="paragraph">
    <w:name w:val="Subtitle"/>
    <w:next w:val="Style_6"/>
    <w:link w:val="Style_29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9_ch" w:type="character">
    <w:name w:val="Subtitle"/>
    <w:link w:val="Style_29"/>
    <w:rPr>
      <w:rFonts w:ascii="XO Thames" w:hAnsi="XO Thames"/>
      <w:i w:val="1"/>
      <w:sz w:val="24"/>
    </w:rPr>
  </w:style>
  <w:style w:styleId="Style_30" w:type="paragraph">
    <w:name w:val="token"/>
    <w:basedOn w:val="Style_12"/>
    <w:link w:val="Style_30_ch"/>
  </w:style>
  <w:style w:styleId="Style_30_ch" w:type="character">
    <w:name w:val="token"/>
    <w:basedOn w:val="Style_12_ch"/>
    <w:link w:val="Style_30"/>
  </w:style>
  <w:style w:styleId="Style_31" w:type="paragraph">
    <w:name w:val="Title"/>
    <w:next w:val="Style_6"/>
    <w:link w:val="Style_31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31_ch" w:type="character">
    <w:name w:val="Title"/>
    <w:link w:val="Style_31"/>
    <w:rPr>
      <w:rFonts w:ascii="XO Thames" w:hAnsi="XO Thames"/>
      <w:b w:val="1"/>
      <w:caps w:val="1"/>
      <w:sz w:val="40"/>
    </w:rPr>
  </w:style>
  <w:style w:styleId="Style_32" w:type="paragraph">
    <w:name w:val="heading 4"/>
    <w:basedOn w:val="Style_6"/>
    <w:next w:val="Style_6"/>
    <w:link w:val="Style_32_ch"/>
    <w:uiPriority w:val="9"/>
    <w:qFormat/>
    <w:pPr>
      <w:keepNext w:val="1"/>
      <w:keepLines w:val="1"/>
      <w:spacing w:before="40"/>
      <w:ind/>
      <w:outlineLvl w:val="3"/>
    </w:pPr>
    <w:rPr>
      <w:rFonts w:asciiTheme="majorAscii" w:hAnsiTheme="majorHAnsi"/>
      <w:i w:val="1"/>
      <w:color w:themeColor="accent1" w:themeShade="BF" w:val="2E75B5"/>
    </w:rPr>
  </w:style>
  <w:style w:styleId="Style_32_ch" w:type="character">
    <w:name w:val="heading 4"/>
    <w:basedOn w:val="Style_6_ch"/>
    <w:link w:val="Style_32"/>
    <w:rPr>
      <w:rFonts w:asciiTheme="majorAscii" w:hAnsiTheme="majorHAnsi"/>
      <w:i w:val="1"/>
      <w:color w:themeColor="accent1" w:themeShade="BF" w:val="2E75B5"/>
    </w:rPr>
  </w:style>
  <w:style w:styleId="Style_2" w:type="paragraph">
    <w:name w:val="Normal (Web)"/>
    <w:basedOn w:val="Style_6"/>
    <w:link w:val="Style_2_ch"/>
    <w:pPr>
      <w:spacing w:afterAutospacing="on" w:beforeAutospacing="on"/>
      <w:ind/>
    </w:pPr>
  </w:style>
  <w:style w:styleId="Style_2_ch" w:type="character">
    <w:name w:val="Normal (Web)"/>
    <w:basedOn w:val="Style_6_ch"/>
    <w:link w:val="Style_2"/>
  </w:style>
  <w:style w:styleId="Style_33" w:type="paragraph">
    <w:name w:val="heading 2"/>
    <w:next w:val="Style_6"/>
    <w:link w:val="Style_33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33_ch" w:type="character">
    <w:name w:val="heading 2"/>
    <w:link w:val="Style_33"/>
    <w:rPr>
      <w:rFonts w:ascii="XO Thames" w:hAnsi="XO Thames"/>
      <w:b w:val="1"/>
      <w:sz w:val="28"/>
    </w:rPr>
  </w:style>
  <w:style w:styleId="Style_34" w:type="paragraph">
    <w:name w:val="List Paragraph"/>
    <w:basedOn w:val="Style_6"/>
    <w:link w:val="Style_34_ch"/>
    <w:pPr>
      <w:ind w:firstLine="0" w:left="720"/>
      <w:contextualSpacing w:val="1"/>
    </w:pPr>
  </w:style>
  <w:style w:styleId="Style_34_ch" w:type="character">
    <w:name w:val="List Paragraph"/>
    <w:basedOn w:val="Style_6_ch"/>
    <w:link w:val="Style_34"/>
  </w:style>
  <w:style w:default="1" w:styleId="Style_3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2025-11-17T09:10:45Z</dcterms:modified>
</cp:coreProperties>
</file>