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72-00-00 Engine - Maintenance Practices</w:t>
      </w:r>
    </w:p>
    <w:p>
      <w:r>
        <w:rPr>
          <w:i w:val="0"/>
        </w:rPr>
        <w:t xml:space="preserve">Remove the </w:t>
      </w:r>
      <w:r>
        <w:rPr>
          <w:b/>
        </w:rPr>
        <w:t>bolt</w:t>
      </w:r>
      <w:r>
        <w:t xml:space="preserve"> and washer PN </w:t>
      </w:r>
      <w:r>
        <w:rPr>
          <w:u w:val="single"/>
        </w:rPr>
        <w:t>201587001</w:t>
      </w:r>
      <w:r>
        <w:t>. Torque to 45 ± 5 N·m.</w:t>
      </w:r>
    </w:p>
    <w:p>
      <w:r>
        <w:t>WARNING: Do not exceed 50 N·m.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Part Number</w:t>
            </w:r>
          </w:p>
        </w:tc>
        <w:tc>
          <w:tcPr>
            <w:tcW w:type="dxa" w:w="4320"/>
          </w:tcPr>
          <w:p>
            <w:r>
              <w:t>A1234-56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