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1brnf25ftawk" w:id="0"/>
      <w:bookmarkEnd w:id="0"/>
      <w:r w:rsidDel="00000000" w:rsidR="00000000" w:rsidRPr="00000000">
        <w:rPr>
          <w:rtl w:val="0"/>
        </w:rPr>
        <w:t xml:space="preserve">Comprehensive Analysis of Web Application Servers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4"/>
        <w:rPr/>
      </w:pPr>
      <w:bookmarkStart w:colFirst="0" w:colLast="0" w:name="_r8x8fop8ft8j" w:id="1"/>
      <w:bookmarkEnd w:id="1"/>
      <w:r w:rsidDel="00000000" w:rsidR="00000000" w:rsidRPr="00000000">
        <w:rPr>
          <w:rtl w:val="0"/>
        </w:rPr>
        <w:t xml:space="preserve">Defining Web Application Servers and Their Role in Web Hosting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web application server is a software framework that enables the development, deployment, and management of web applications. It acts as an intermediary between the client (web browser) and the server-side application, facilitating communication, request processing, and response generation. Web application servers play a crucial role in web hosting, as they provide a platform for hosting and serving web applications, ensuring efficient and scalable deployment of web-based services.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4"/>
        <w:rPr/>
      </w:pPr>
      <w:bookmarkStart w:colFirst="0" w:colLast="0" w:name="_33nlzs1use8v" w:id="2"/>
      <w:bookmarkEnd w:id="2"/>
      <w:r w:rsidDel="00000000" w:rsidR="00000000" w:rsidRPr="00000000">
        <w:rPr>
          <w:rtl w:val="0"/>
        </w:rPr>
        <w:t xml:space="preserve">Individual Web Server Analysis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Apache HTTP Server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Apache HTTP Server is an open-source, cross-platform web server software that has been the most popular web server software since 1996.</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Highly customizable and flexible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Supports a wide range of operating systems and platforms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Large community and extensive documentation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Steep learning curve due to complex configuration options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Resource-intensive, which can lead to performance issues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Not optimized for high-traffic websites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Suitability: Low to medium traffic levels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Horizontal scalability through load balancing and clustering, vertical scalability through hardware upgrades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Features: Supports load balancing, clustering, and redundancy for high availability</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Nginx</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Nginx is an open-source, lightweight, and high-performance web server software that excels at handling high traffic and concurrent connections.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High-performance and efficient, handling high traffic and concurrent connections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Low resource usage, making it suitable for low-end hardware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Simple and easy-to-configure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Limited support for dynamic content and CGI scripts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Steeper learning curve for advanced configurations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Limited support for Windows platforms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Suitability: Medium to high traffic levels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Horizontal scalability through load balancing and clustering, vertical scalability through hardware upgrades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Features: Supports load balancing, clustering, and redundancy for high availability</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Microsoft IIS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Microsoft Internet Information Services (IIS) is a proprietary web server software developed by Microsoft, optimized for Windows platforms.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Tight integration with Microsoft ecosystem (e.g., ASP.NET, SQL Server)</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Easy-to-use and intuitive configuration interface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Robust security features and support for SSL/TLS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Limited support for non-Windows platforms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Resource-intensive, which can lead to performance issues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Proprietary, which can limit customization and flexibility</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Suitability: Low to medium traffic levels, specifically for Windows-based applications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Horizontal scalability through load balancing and clustering, vertical scalability through hardware upgrades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Features: Supports load balancing, clustering, and redundancy for high availability</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Tomcat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Apache Tomcat is an open-source, Java-based web server software that provides a servlet container for hosting Java-based web applications.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Optimized for Java-based web applications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Supports a wide range of Java-based technologies (e.g., Servlet, JSP, JSF)</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Robust security features and support for SSL/TLS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Limited support for non-Java-based applications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Resource-intensive, which can lead to performance issues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Complex configuration options for non-Java experts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Suitability: Low to medium traffic levels, specifically for Java-based applications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Horizontal scalability through load balancing and clustering, vertical scalability through hardware upgrades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Features: Supports load balancing, clustering, and redundancy for high availability</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Node.js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Node.js is an open-source, JavaScript-based runtime environment that allows developers to run JavaScript on the server-side.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High-performance and efficient, handling high traffic and concurrent connections</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Supports real-time, event-driven applications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Fast and lightweight, suitable for low-end hardware</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Limited support for traditional web server functionality</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Steeper learning curve for developers without JavaScript experience</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Limited support for Windows platforms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Suitability: Medium to high traffic levels, specifically for real-time and event-driven applications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Horizontal scalability through load balancing and clustering, vertical scalability through hardware upgrades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Features: Supports load balancing, clustering, and redundancy for high availability</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Comparison Table:</w:t>
      </w:r>
    </w:p>
    <w:tbl>
      <w:tblPr>
        <w:tblStyle w:val="Table1"/>
        <w:tblpPr w:leftFromText="180" w:rightFromText="180" w:topFromText="180" w:bottomFromText="180" w:vertAnchor="page" w:horzAnchor="page" w:tblpX="1200" w:tblpY="1730.92529296875"/>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55"/>
        <w:gridCol w:w="1260"/>
        <w:gridCol w:w="1335"/>
        <w:gridCol w:w="1230"/>
        <w:gridCol w:w="1140"/>
        <w:gridCol w:w="1605"/>
        <w:tblGridChange w:id="0">
          <w:tblGrid>
            <w:gridCol w:w="1215"/>
            <w:gridCol w:w="1455"/>
            <w:gridCol w:w="1260"/>
            <w:gridCol w:w="1335"/>
            <w:gridCol w:w="1230"/>
            <w:gridCol w:w="1140"/>
            <w:gridCol w:w="1605"/>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78">
            <w:pPr>
              <w:widowControl w:val="0"/>
              <w:spacing w:line="240" w:lineRule="auto"/>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Web 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79">
            <w:pPr>
              <w:widowControl w:val="0"/>
              <w:spacing w:line="240" w:lineRule="auto"/>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7A">
            <w:pPr>
              <w:widowControl w:val="0"/>
              <w:spacing w:line="240" w:lineRule="auto"/>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Pros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7B">
            <w:pPr>
              <w:widowControl w:val="0"/>
              <w:spacing w:line="240" w:lineRule="auto"/>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Cons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7C">
            <w:pPr>
              <w:widowControl w:val="0"/>
              <w:spacing w:line="240" w:lineRule="auto"/>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Suitability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7D">
            <w:pPr>
              <w:widowControl w:val="0"/>
              <w:spacing w:line="240" w:lineRule="auto"/>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Scalability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7E">
            <w:pPr>
              <w:widowControl w:val="0"/>
              <w:spacing w:line="240" w:lineRule="auto"/>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Availability Features</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7F">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Apache HTTP Server</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80">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Open-source, cross-platform</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81">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Highly customizable, flexible</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82">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Steep learning curve, resource-</w:t>
            </w:r>
          </w:p>
          <w:p w:rsidR="00000000" w:rsidDel="00000000" w:rsidP="00000000" w:rsidRDefault="00000000" w:rsidRPr="00000000" w14:paraId="00000083">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intensive</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84">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Low to medium traffic</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85">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Horizontal, vertical</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86">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Load balancing, clustering, redundancy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87">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Nginx</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88">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Open-source, lightweight</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89">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High-performance, efficient</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8A">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Limited support for dynamic content</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8B">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Medium to high traffic</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8C">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Horizontal, vertical</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8D">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Load balancing, clustering, redundancy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8E">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Microsoft IIS</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8F">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Proprietary, Windows-based</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90">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Tight integration with Microsoft ecosystem</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91">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Limited support for non-Windows platforms</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92">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Low to medium traffic</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93">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Horizontal, vertical</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94">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Load balancing, clustering, redundancy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95">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Tomcat</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96">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Open-source, Java-based</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97">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Optimized for Java-based applications</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98">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Limited support for non-Java applications</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99">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Low to medium traffic</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9A">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Horizontal, vertical</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9B">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Load balancing, clustering, redundancy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9C">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Node.js</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9D">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Open-source, JavaScript-based</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9E">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High-performance, efficient</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9F">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Limited support for traditional web server functionality</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A0">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Medium to high traffic</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A1">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Horizontal, vertical</w:t>
            </w:r>
          </w:p>
        </w:tc>
        <w:tc>
          <w:tcPr>
            <w:tcBorders>
              <w:top w:color="000000" w:space="0" w:sz="6" w:val="single"/>
              <w:left w:color="000000" w:space="0" w:sz="6" w:val="single"/>
              <w:bottom w:color="000000" w:space="0" w:sz="6" w:val="single"/>
              <w:right w:color="000000" w:space="0" w:sz="6" w:val="single"/>
            </w:tcBorders>
            <w:tcMar>
              <w:top w:w="28.34645669291339" w:type="dxa"/>
              <w:left w:w="28.34645669291339" w:type="dxa"/>
              <w:bottom w:w="28.34645669291339" w:type="dxa"/>
              <w:right w:w="28.34645669291339" w:type="dxa"/>
            </w:tcMar>
          </w:tcPr>
          <w:p w:rsidR="00000000" w:rsidDel="00000000" w:rsidP="00000000" w:rsidRDefault="00000000" w:rsidRPr="00000000" w14:paraId="000000A2">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Load balancing, clustering, redundancy</w:t>
            </w:r>
          </w:p>
        </w:tc>
      </w:tr>
    </w:tbl>
    <w:p w:rsidR="00000000" w:rsidDel="00000000" w:rsidP="00000000" w:rsidRDefault="00000000" w:rsidRPr="00000000" w14:paraId="000000A3">
      <w:pPr>
        <w:rPr/>
      </w:pPr>
      <w:r w:rsidDel="00000000" w:rsidR="00000000" w:rsidRPr="00000000">
        <w:rPr>
          <w:rtl w:val="0"/>
        </w:rPr>
        <w:t xml:space="preserve">Case Study: High-Traffic E-commerce Website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For a high-traffic e-commerce website, I recommend using Nginx as the web server. Nginx's high-performance capabilities, efficient resource usage, and scalability features make it an ideal choice for handling high traffic and concurrent connections. Additionally, Nginx's support for load balancing, clustering, and redundancy ensures high availability and fault tolerance.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This configuration snippet demonstrates a simple Nginx setup with load balancing and proxying to a backend server.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Emerging Trends in Web Application Servers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1. Serverless Architecture: Serverless architecture is gaining popularity, where the application server is abstracted away, and the focus shifts to functions-as-a-service (FaaS). This trend is expected to impact the choice of web application servers, as developers may opt for serverless platforms like AWS Lambda or Google Cloud Functions.</w:t>
      </w:r>
    </w:p>
    <w:p w:rsidR="00000000" w:rsidDel="00000000" w:rsidP="00000000" w:rsidRDefault="00000000" w:rsidRPr="00000000" w14:paraId="000000AD">
      <w:pPr>
        <w:rPr/>
      </w:pPr>
      <w:r w:rsidDel="00000000" w:rsidR="00000000" w:rsidRPr="00000000">
        <w:rPr>
          <w:rtl w:val="0"/>
        </w:rPr>
        <w:t xml:space="preserve">2. Containerization: Containerization using Docker and Kubernetes is becoming increasingly popular, allowing for efficient deployment, scaling, and management of web applications. This trend is expected to influence the choice of web application servers, as developers may opt for containerized deployments.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General Guidelines for Choosing the Right Web Application Server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 Assess Traffic Levels: Choose a web server that can handle the expected traffic levels, considering horizontal and vertical scalability options.</w:t>
      </w:r>
    </w:p>
    <w:p w:rsidR="00000000" w:rsidDel="00000000" w:rsidP="00000000" w:rsidRDefault="00000000" w:rsidRPr="00000000" w14:paraId="000000B2">
      <w:pPr>
        <w:rPr/>
      </w:pPr>
      <w:r w:rsidDel="00000000" w:rsidR="00000000" w:rsidRPr="00000000">
        <w:rPr>
          <w:rtl w:val="0"/>
        </w:rPr>
        <w:t xml:space="preserve">2. Consider Technology Stack: Select a web server that supports the chosen technology stack, ensuring seamless integration and optimal performance.</w:t>
      </w:r>
    </w:p>
    <w:p w:rsidR="00000000" w:rsidDel="00000000" w:rsidP="00000000" w:rsidRDefault="00000000" w:rsidRPr="00000000" w14:paraId="000000B3">
      <w:pPr>
        <w:rPr/>
      </w:pPr>
      <w:r w:rsidDel="00000000" w:rsidR="00000000" w:rsidRPr="00000000">
        <w:rPr>
          <w:rtl w:val="0"/>
        </w:rPr>
        <w:t xml:space="preserve">3. Evaluate Security Features: Ensure the chosen web server provides robust security features, such as SSL/TLS support and access controls.</w:t>
      </w:r>
    </w:p>
    <w:p w:rsidR="00000000" w:rsidDel="00000000" w:rsidP="00000000" w:rsidRDefault="00000000" w:rsidRPr="00000000" w14:paraId="000000B4">
      <w:pPr>
        <w:rPr/>
      </w:pPr>
      <w:r w:rsidDel="00000000" w:rsidR="00000000" w:rsidRPr="00000000">
        <w:rPr>
          <w:rtl w:val="0"/>
        </w:rPr>
        <w:t xml:space="preserve">4. Scalability and Availability: Consider the web server's scalability and availability features, such as load balancing, clustering, and redundancy.</w:t>
      </w:r>
    </w:p>
    <w:p w:rsidR="00000000" w:rsidDel="00000000" w:rsidP="00000000" w:rsidRDefault="00000000" w:rsidRPr="00000000" w14:paraId="000000B5">
      <w:pPr>
        <w:rPr/>
      </w:pPr>
      <w:r w:rsidDel="00000000" w:rsidR="00000000" w:rsidRPr="00000000">
        <w:rPr>
          <w:rtl w:val="0"/>
        </w:rPr>
        <w:t xml:space="preserve">5. Evaluate Customizability and Flexibility: Choose a web server that offers the required level of customizability and flexibility, ensuring it can adapt to changing requirements.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By considering these guidelines and understanding the strengths and weaknesses of each web application server, developers and organizations can make informed decisions when choosing the right web application server for their specific needs.</w:t>
      </w:r>
    </w:p>
    <w:p w:rsidR="00000000" w:rsidDel="00000000" w:rsidP="00000000" w:rsidRDefault="00000000" w:rsidRPr="00000000" w14:paraId="000000B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