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jc w:val="center"/>
      </w:pPr>
      <w:r>
        <w:rPr>
          <w:rFonts w:ascii="Times New Roman" w:cs="Times New Roman" w:eastAsia="Times New Roman" w:hAnsi="Times New Roman"/>
          <w:b/>
          <w:bCs/>
          <w:sz w:val="28"/>
          <w:szCs w:val="28"/>
        </w:rPr>
        <w:t xml:space="preserve">EXECUTIVE SUMMARY</w:t>
      </w:r>
    </w:p>
    <w:p>
      <w:pPr>
        <w:spacing w:before="120" w:after="120"/>
        <w:jc w:val="both"/>
      </w:pPr>
      <w:r>
        <w:rPr>
          <w:rFonts w:ascii="Times New Roman" w:cs="Times New Roman" w:eastAsia="Times New Roman" w:hAnsi="Times New Roman"/>
          <w:b w:val="false"/>
          <w:bCs w:val="false"/>
          <w:sz w:val="24"/>
          <w:szCs w:val="24"/>
        </w:rPr>
        <w:t xml:space="preserve">Mathematical modelling and numerical analysis remain indispensable tools in the practice of Chemical Engineering. This report presents the solutions to six problems set in CHG 433: Chemical Engineering Analysis for the 2025/2026 academic session. Each problem required the application of appropriate numerical and analytical methods, verified through manual computation and software implementation using Microsoft Excel and MATLAB.</w:t>
      </w:r>
    </w:p>
    <w:p>
      <w:pPr>
        <w:spacing w:before="120" w:after="120"/>
        <w:jc w:val="both"/>
      </w:pPr>
      <w:r>
        <w:rPr>
          <w:rFonts w:ascii="Times New Roman" w:cs="Times New Roman" w:eastAsia="Times New Roman" w:hAnsi="Times New Roman"/>
          <w:b w:val="false"/>
          <w:bCs w:val="false"/>
          <w:sz w:val="24"/>
          <w:szCs w:val="24"/>
        </w:rPr>
        <w:t xml:space="preserve">Question 1 involved three interconnected chemical reactors A, B, and C operating at steady state. Mass continuity equations were derived by applying conservation of mass around each reactor, yielding a system of three simultaneous linear equations. The system was solved manually using Cramer's Rule, Matrix Inverse, and Gaussian Elimination, and subsequently verified using Excel's MINVERSE and MMULT functions as well as MATLAB. The concentrations obtained were xA = 14.667 mg/m³, xB = 7.333 mg/m³, and xC = 10.1 mg/m³, with all three solution methods and both software platforms yielding consistent results.</w:t>
      </w:r>
    </w:p>
    <w:p>
      <w:pPr>
        <w:spacing w:before="120" w:after="120"/>
        <w:jc w:val="both"/>
      </w:pPr>
      <w:r>
        <w:rPr>
          <w:rFonts w:ascii="Times New Roman" w:cs="Times New Roman" w:eastAsia="Times New Roman" w:hAnsi="Times New Roman"/>
          <w:b w:val="false"/>
          <w:bCs w:val="false"/>
          <w:sz w:val="24"/>
          <w:szCs w:val="24"/>
        </w:rPr>
        <w:t xml:space="preserve">Question 2 was presented in two parts. Part A required determining the temperature at which a Nickel Resistance Temperature Detector (RTD) exhibits a resistance of 300 Ω, given a sixth-degree polynomial resistance-temperature relationship. The root of the nonlinear equation was found using the Newton-Raphson and Interval Bisection methods both manually and via Excel and MATLAB. The temperature converged to approximately 274 °C. Part B applied the Van der Waals equation to find the molar volume of 1.5 moles of nitrogen at 25 °C across a range of pressures from 13.5 atm to 150% above the base value. Excel's Goal Seek function and MATLAB's fzero built-in function were used. Results confirmed Boyle's Law: pressure and volume were found to be inversely related, and a pressure–volume plot was generated.</w:t>
      </w:r>
    </w:p>
    <w:p>
      <w:pPr>
        <w:spacing w:before="120" w:after="120"/>
        <w:jc w:val="both"/>
      </w:pPr>
      <w:r>
        <w:rPr>
          <w:rFonts w:ascii="Times New Roman" w:cs="Times New Roman" w:eastAsia="Times New Roman" w:hAnsi="Times New Roman"/>
          <w:b w:val="false"/>
          <w:bCs w:val="false"/>
          <w:sz w:val="24"/>
          <w:szCs w:val="24"/>
        </w:rPr>
        <w:t xml:space="preserve">Question 3 addressed the dynamic modelling of a liquid tank system. A first-order, nonlinear, lumped-parameter ordinary differential equation (ODE) was derived from a mass balance, relating the inlet volumetric flow rate to the liquid level. The initial steady-state liquid level was calculated analytically. When the inlet flow was increased by 50%, the dynamic response was obtained in closed form using linearisation via Taylor Series Expansion and subsequent solution by Laplace Transforms. The system's dynamic response was then simulated numerically using MATLAB with both the Explicit Euler and Runge-Kutta 4th Order (RK4) methods across six step lengths: 0.01, 0.05, 0.1, 0.5, 1, and 10. Response plots were generated for each method and step size.</w:t>
      </w:r>
    </w:p>
    <w:p>
      <w:pPr>
        <w:spacing w:before="120" w:after="120"/>
        <w:jc w:val="both"/>
      </w:pPr>
      <w:r>
        <w:rPr>
          <w:rFonts w:ascii="Times New Roman" w:cs="Times New Roman" w:eastAsia="Times New Roman" w:hAnsi="Times New Roman"/>
          <w:b w:val="false"/>
          <w:bCs w:val="false"/>
          <w:sz w:val="24"/>
          <w:szCs w:val="24"/>
        </w:rPr>
        <w:t xml:space="preserve">Question 4 involved fitting a least-squares model of the form ln(k) = C + b·ln(T) − D/T to experimentally measured rate coefficients for the reaction CH₄ + O → CH₃ + OH at eleven different temperatures. A system of three normal equations was developed and solved manually using Cramer's Rule, and the same problem was also solved using Excel's LINEST function and MATLAB's normal equation approach. The constants C, b, and D were extracted and then used to deduce the Arrhenius pre-exponential factor A and the activation energy Ea by comparison with the standard Arrhenius expression k = AT^b·exp(−Ea/RT).</w:t>
      </w:r>
    </w:p>
    <w:p>
      <w:pPr>
        <w:spacing w:before="120" w:after="120"/>
        <w:jc w:val="both"/>
      </w:pPr>
      <w:r>
        <w:rPr>
          <w:rFonts w:ascii="Times New Roman" w:cs="Times New Roman" w:eastAsia="Times New Roman" w:hAnsi="Times New Roman"/>
          <w:b w:val="false"/>
          <w:bCs w:val="false"/>
          <w:sz w:val="24"/>
          <w:szCs w:val="24"/>
        </w:rPr>
        <w:t xml:space="preserve">Question 5 dealt with the flash vaporisation of a hydrocarbon mixture containing 21 mole % n-butane, 60 mole % n-pentane, and 19 mole % n-hexane at 10 atm and 270 °F. Modelling equations were set up using overall and component material balances, equilibrium relations (Raoult's Law with Antoine equation K-values), and the Rachford-Rice equation. The vapour fraction and stream compositions were determined numerically, and the results were compared with DWSIM simulation outputs from Assignment I.</w:t>
      </w:r>
    </w:p>
    <w:p>
      <w:pPr>
        <w:spacing w:before="120" w:after="120"/>
        <w:jc w:val="both"/>
      </w:pPr>
      <w:r>
        <w:rPr>
          <w:rFonts w:ascii="Times New Roman" w:cs="Times New Roman" w:eastAsia="Times New Roman" w:hAnsi="Times New Roman"/>
          <w:b w:val="false"/>
          <w:bCs w:val="false"/>
          <w:sz w:val="24"/>
          <w:szCs w:val="24"/>
        </w:rPr>
        <w:t xml:space="preserve">Question 6 presented a food industry problem in which five trail mix blends of known composition and total ingredient cost were used to determine the cost per pound of five individual ingredients — peanuts, raisins, almonds, chocolate chips, and dried plums. This was formulated as a 5×5 linear system Ax = b and solved in MATLAB. The cost per pound of each ingredient was obtained, with the solution verified by back-substitution.</w:t>
      </w:r>
    </w:p>
    <w:p>
      <w:pPr>
        <w:spacing w:before="60" w:after="60"/>
      </w:pPr>
      <w:r>
        <w:t xml:space="preserve"/>
      </w:r>
    </w:p>
    <w:p>
      <w:pPr>
        <w:spacing w:before="0" w:after="240"/>
        <w:jc w:val="center"/>
      </w:pPr>
      <w:r>
        <w:rPr>
          <w:rFonts w:ascii="Times New Roman" w:cs="Times New Roman" w:eastAsia="Times New Roman" w:hAnsi="Times New Roman"/>
          <w:b/>
          <w:bCs/>
          <w:sz w:val="28"/>
          <w:szCs w:val="28"/>
        </w:rPr>
        <w:t xml:space="preserve">INTRODUCTION</w:t>
      </w:r>
    </w:p>
    <w:p>
      <w:pPr>
        <w:spacing w:before="120" w:after="120"/>
        <w:jc w:val="both"/>
      </w:pPr>
      <w:r>
        <w:rPr>
          <w:rFonts w:ascii="Times New Roman" w:cs="Times New Roman" w:eastAsia="Times New Roman" w:hAnsi="Times New Roman"/>
          <w:b w:val="false"/>
          <w:bCs w:val="false"/>
          <w:sz w:val="24"/>
          <w:szCs w:val="24"/>
        </w:rPr>
        <w:t xml:space="preserve">Mathematical modelling and numerical analysis are central to the discipline of Chemical Engineering. Virtually every aspect of the profession — from reactor design and process optimisation to dynamic simulation and thermodynamic analysis — depends on the ability to formulate and solve mathematical problems systematically and efficiently. As noted by the American Institute of Chemical Engineers (AIChE), mathematical modelling is a powerful instrument for understanding, designing, and predicting the behaviour of chemical processes and equipment. Models serve as the basis for design decisions, safety assessments, and process improvements across the industry.</w:t>
      </w:r>
    </w:p>
    <w:p>
      <w:pPr>
        <w:spacing w:before="120" w:after="120"/>
        <w:jc w:val="both"/>
      </w:pPr>
      <w:r>
        <w:rPr>
          <w:rFonts w:ascii="Times New Roman" w:cs="Times New Roman" w:eastAsia="Times New Roman" w:hAnsi="Times New Roman"/>
          <w:b w:val="false"/>
          <w:bCs w:val="false"/>
          <w:sz w:val="24"/>
          <w:szCs w:val="24"/>
        </w:rPr>
        <w:t xml:space="preserve">Modern chemical engineers are expected not only to understand the theoretical foundations of numerical methods but also to apply them using computational tools. This dual competence — analytical rigour combined with computational proficiency — is increasingly essential in an industry where the complexity of problems routinely exceeds what is tractable by hand alone. Accordingly, this assignment bridges both aspects by requiring solutions to be developed first manually and then confirmed using software.</w:t>
      </w:r>
    </w:p>
    <w:p>
      <w:pPr>
        <w:spacing w:before="120" w:after="120"/>
        <w:jc w:val="both"/>
      </w:pPr>
      <w:r>
        <w:rPr>
          <w:rFonts w:ascii="Times New Roman" w:cs="Times New Roman" w:eastAsia="Times New Roman" w:hAnsi="Times New Roman"/>
          <w:b w:val="false"/>
          <w:bCs w:val="false"/>
          <w:sz w:val="24"/>
          <w:szCs w:val="24"/>
        </w:rPr>
        <w:t xml:space="preserve">This report presents the Group's solutions to six problems from CHG 433: Chemical Engineering Analysis, 2025/2026 Academic Session. The problems span a broad range of topics and methods: solving systems of linear algebraic equations by Cramer's Rule, Matrix Inverse, and Gaussian Elimination (Question 1); finding roots of nonlinear equations by Newton-Raphson and Interval Bisection methods (Question 2); deriving and solving ordinary differential equations analytically and numerically using Explicit Euler and Runge-Kutta 4th Order methods (Question 3); applying least-squares regression to fit an Arrhenius-type kinetic model to experimental data (Question 4); modelling a flash vaporisation separation process using equilibrium relations and the Rachford-Rice equation (Question 5); and formulating and solving a linear system to determine ingredient costs in a food manufacturing context (Question 6).</w:t>
      </w:r>
    </w:p>
    <w:p>
      <w:pPr>
        <w:spacing w:before="120" w:after="120"/>
        <w:jc w:val="both"/>
      </w:pPr>
      <w:r>
        <w:rPr>
          <w:rFonts w:ascii="Times New Roman" w:cs="Times New Roman" w:eastAsia="Times New Roman" w:hAnsi="Times New Roman"/>
          <w:b w:val="false"/>
          <w:bCs w:val="false"/>
          <w:sz w:val="24"/>
          <w:szCs w:val="24"/>
        </w:rPr>
        <w:t xml:space="preserve">For each problem, solutions were first developed manually using a calculator to ensure a thorough understanding of the underlying mathematics, before being implemented in Microsoft Excel and MATLAB. MATLAB was selected as the primary programming environment for this assignment. The objectives of this work are as follows:</w:t>
      </w:r>
    </w:p>
    <w:p>
      <w:pPr>
        <w:pStyle w:val="ListParagraph"/>
        <w:numPr>
          <w:ilvl w:val="0"/>
          <w:numId w:val="2"/>
        </w:numPr>
        <w:spacing w:before="80" w:after="80"/>
      </w:pPr>
      <w:r>
        <w:rPr>
          <w:rFonts w:ascii="Times New Roman" w:cs="Times New Roman" w:eastAsia="Times New Roman" w:hAnsi="Times New Roman"/>
          <w:b w:val="false"/>
          <w:bCs w:val="false"/>
          <w:sz w:val="24"/>
          <w:szCs w:val="24"/>
        </w:rPr>
        <w:t xml:space="preserve">To demonstrate proficiency in applying classical numerical methods to Chemical Engineering problems.</w:t>
      </w:r>
    </w:p>
    <w:p>
      <w:pPr>
        <w:pStyle w:val="ListParagraph"/>
        <w:numPr>
          <w:ilvl w:val="0"/>
          <w:numId w:val="2"/>
        </w:numPr>
        <w:spacing w:before="80" w:after="80"/>
      </w:pPr>
      <w:r>
        <w:rPr>
          <w:rFonts w:ascii="Times New Roman" w:cs="Times New Roman" w:eastAsia="Times New Roman" w:hAnsi="Times New Roman"/>
          <w:b w:val="false"/>
          <w:bCs w:val="false"/>
          <w:sz w:val="24"/>
          <w:szCs w:val="24"/>
        </w:rPr>
        <w:t xml:space="preserve">To develop and validate mathematical models of physical and chemical systems.</w:t>
      </w:r>
    </w:p>
    <w:p>
      <w:pPr>
        <w:pStyle w:val="ListParagraph"/>
        <w:numPr>
          <w:ilvl w:val="0"/>
          <w:numId w:val="2"/>
        </w:numPr>
        <w:spacing w:before="80" w:after="80"/>
      </w:pPr>
      <w:r>
        <w:rPr>
          <w:rFonts w:ascii="Times New Roman" w:cs="Times New Roman" w:eastAsia="Times New Roman" w:hAnsi="Times New Roman"/>
          <w:b w:val="false"/>
          <w:bCs w:val="false"/>
          <w:sz w:val="24"/>
          <w:szCs w:val="24"/>
        </w:rPr>
        <w:t xml:space="preserve">To implement numerical algorithms in MATLAB and Microsoft Excel, comparing their outputs with analytical or manual solutions.</w:t>
      </w:r>
    </w:p>
    <w:p>
      <w:pPr>
        <w:pStyle w:val="ListParagraph"/>
        <w:numPr>
          <w:ilvl w:val="0"/>
          <w:numId w:val="2"/>
        </w:numPr>
        <w:spacing w:before="80" w:after="80"/>
      </w:pPr>
      <w:r>
        <w:rPr>
          <w:rFonts w:ascii="Times New Roman" w:cs="Times New Roman" w:eastAsia="Times New Roman" w:hAnsi="Times New Roman"/>
          <w:b w:val="false"/>
          <w:bCs w:val="false"/>
          <w:sz w:val="24"/>
          <w:szCs w:val="24"/>
        </w:rPr>
        <w:t xml:space="preserve">To foster effective team collaboration in solving complex, multi-part engineering problems.</w:t>
      </w:r>
    </w:p>
    <w:p>
      <w:pPr>
        <w:spacing w:before="60" w:after="60"/>
      </w:pPr>
      <w:r>
        <w:t xml:space="preserve"/>
      </w:r>
    </w:p>
    <w:p>
      <w:pPr>
        <w:spacing w:before="0" w:after="240"/>
        <w:jc w:val="center"/>
      </w:pPr>
      <w:r>
        <w:rPr>
          <w:rFonts w:ascii="Times New Roman" w:cs="Times New Roman" w:eastAsia="Times New Roman" w:hAnsi="Times New Roman"/>
          <w:b/>
          <w:bCs/>
          <w:sz w:val="28"/>
          <w:szCs w:val="28"/>
        </w:rPr>
        <w:t xml:space="preserve">CONCLUSION</w:t>
      </w:r>
    </w:p>
    <w:p>
      <w:pPr>
        <w:spacing w:before="120" w:after="120"/>
        <w:jc w:val="both"/>
      </w:pPr>
      <w:r>
        <w:rPr>
          <w:rFonts w:ascii="Times New Roman" w:cs="Times New Roman" w:eastAsia="Times New Roman" w:hAnsi="Times New Roman"/>
          <w:b w:val="false"/>
          <w:bCs w:val="false"/>
          <w:sz w:val="24"/>
          <w:szCs w:val="24"/>
        </w:rPr>
        <w:t xml:space="preserve">This assignment provided a comprehensive exercise in the application of numerical methods and mathematical modelling to Chemical Engineering problems. Six distinct problems were solved, each requiring manual derivation and computation followed by verification using Microsoft Excel and MATLAB. The results obtained across the different methods and software platforms were consistent, reinforcing confidence in both the solutions and the methods employed.</w:t>
      </w:r>
    </w:p>
    <w:p>
      <w:pPr>
        <w:spacing w:before="120" w:after="120"/>
        <w:jc w:val="both"/>
      </w:pPr>
      <w:r>
        <w:rPr>
          <w:rFonts w:ascii="Times New Roman" w:cs="Times New Roman" w:eastAsia="Times New Roman" w:hAnsi="Times New Roman"/>
          <w:b w:val="false"/>
          <w:bCs w:val="false"/>
          <w:sz w:val="24"/>
          <w:szCs w:val="24"/>
        </w:rPr>
        <w:t xml:space="preserve">In Question 1, mass continuity equations for a three-reactor system were solved using Cramer's Rule, the Matrix Inverse Method, and Gaussian Elimination. All three manual methods yielded identical concentrations — xA = 14.667 mg/m³, xB = 7.333 mg/m³, and xC = 10.1 mg/m³ — which were confirmed by Excel and MATLAB. This demonstrated that multiple valid approaches exist for solving linear systems, and that computational tools can reliably replicate hand-calculated results.</w:t>
      </w:r>
    </w:p>
    <w:p>
      <w:pPr>
        <w:spacing w:before="120" w:after="120"/>
        <w:jc w:val="both"/>
      </w:pPr>
      <w:r>
        <w:rPr>
          <w:rFonts w:ascii="Times New Roman" w:cs="Times New Roman" w:eastAsia="Times New Roman" w:hAnsi="Times New Roman"/>
          <w:b w:val="false"/>
          <w:bCs w:val="false"/>
          <w:sz w:val="24"/>
          <w:szCs w:val="24"/>
        </w:rPr>
        <w:t xml:space="preserve">Question 2a illustrated the use of iterative root-finding techniques to solve a nonlinear polynomial equation. The Newton-Raphson method exhibited rapid quadratic convergence to the temperature of approximately 274 °C, while Interval Bisection provided a more conservative but reliable bracketing approach. Both methods agreed, and their results were reproduced in Excel and MATLAB. Question 2b extended this to a cubic equation arising from the Van der Waals model, demonstrating the inverse relationship between pressure and molar volume across a range of pressures, in agreement with Boyle's Law.</w:t>
      </w:r>
    </w:p>
    <w:p>
      <w:pPr>
        <w:spacing w:before="120" w:after="120"/>
        <w:jc w:val="both"/>
      </w:pPr>
      <w:r>
        <w:rPr>
          <w:rFonts w:ascii="Times New Roman" w:cs="Times New Roman" w:eastAsia="Times New Roman" w:hAnsi="Times New Roman"/>
          <w:b w:val="false"/>
          <w:bCs w:val="false"/>
          <w:sz w:val="24"/>
          <w:szCs w:val="24"/>
        </w:rPr>
        <w:t xml:space="preserve">In Question 3, a first-order nonlinear ODE governing the liquid level in a tank was derived and solved. Linearisation via Taylor Series Expansion allowed a closed-form solution to be obtained through Laplace Transforms. Numerical integration using the Explicit Euler and Runge-Kutta 4th Order methods in MATLAB showed that RK4 consistently produced more accurate results than the Euler method, particularly at larger step sizes. This confirmed the theoretical expectation that higher-order methods offer superior accuracy and stability for a given step length, making RK4 the preferred method for practical dynamic simulation.</w:t>
      </w:r>
    </w:p>
    <w:p>
      <w:pPr>
        <w:spacing w:before="120" w:after="120"/>
        <w:jc w:val="both"/>
      </w:pPr>
      <w:r>
        <w:rPr>
          <w:rFonts w:ascii="Times New Roman" w:cs="Times New Roman" w:eastAsia="Times New Roman" w:hAnsi="Times New Roman"/>
          <w:b w:val="false"/>
          <w:bCs w:val="false"/>
          <w:sz w:val="24"/>
          <w:szCs w:val="24"/>
        </w:rPr>
        <w:t xml:space="preserve">Question 4 demonstrated the power of least-squares regression in extracting physically meaningful parameters from experimental data. Fitting the kinetic rate data to a model of the form ln(k) = C + b·ln(T) − D/T and comparing the result to the Arrhenius equation allowed the activation energy Ea and the pre-exponential factor A to be determined. Some discrepancy between manual and software-computed values was noted due to rounding errors in manual arithmetic, but the software results are taken as the more reliable.</w:t>
      </w:r>
    </w:p>
    <w:p>
      <w:pPr>
        <w:spacing w:before="120" w:after="120"/>
        <w:jc w:val="both"/>
      </w:pPr>
      <w:r>
        <w:rPr>
          <w:rFonts w:ascii="Times New Roman" w:cs="Times New Roman" w:eastAsia="Times New Roman" w:hAnsi="Times New Roman"/>
          <w:b w:val="false"/>
          <w:bCs w:val="false"/>
          <w:sz w:val="24"/>
          <w:szCs w:val="24"/>
        </w:rPr>
        <w:t xml:space="preserve">Question 5 required the formulation and solution of a flash vaporisation problem using the Rachford-Rice equation. By computing K-values from Antoine's equation under Raoult's Law, the vapour fraction and individual stream compositions were determined and compared against DWSIM simulation results from Assignment I. This exercise highlighted the practical importance of thermodynamic equilibrium models in separation process design.</w:t>
      </w:r>
    </w:p>
    <w:p>
      <w:pPr>
        <w:spacing w:before="120" w:after="120"/>
        <w:jc w:val="both"/>
      </w:pPr>
      <w:r>
        <w:rPr>
          <w:rFonts w:ascii="Times New Roman" w:cs="Times New Roman" w:eastAsia="Times New Roman" w:hAnsi="Times New Roman"/>
          <w:b w:val="false"/>
          <w:bCs w:val="false"/>
          <w:sz w:val="24"/>
          <w:szCs w:val="24"/>
        </w:rPr>
        <w:t xml:space="preserve">Question 6 demonstrated how a seemingly straightforward economic problem — determining ingredient costs from blending data — can be cast as a well-posed linear system and solved efficiently. The 5×5 system was solved using MATLAB's backslash operator, and the results were verified by back-substitution, confirming their correctness.</w:t>
      </w:r>
    </w:p>
    <w:p>
      <w:pPr>
        <w:spacing w:before="120" w:after="120"/>
        <w:jc w:val="both"/>
      </w:pPr>
      <w:r>
        <w:rPr>
          <w:rFonts w:ascii="Times New Roman" w:cs="Times New Roman" w:eastAsia="Times New Roman" w:hAnsi="Times New Roman"/>
          <w:b w:val="false"/>
          <w:bCs w:val="false"/>
          <w:sz w:val="24"/>
          <w:szCs w:val="24"/>
        </w:rPr>
        <w:t xml:space="preserve">Overall, this assignment deepened the Group's understanding of how numerical methods underpin chemical engineering analysis, from steady-state mass balances to dynamic simulation and regression. It reinforced the value of verifying results across multiple methods and platforms, and strengthened the Group's collaborative problem-solving skills. The ability to formulate, solve, and critically evaluate mathematical models is an essential capability for practising chemical engineers, and this assignment has contributed meaningfully to developing that capability.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2026-03-29T11:52:47.322Z</dcterms:created>
  <dcterms:modified xsi:type="dcterms:W3CDTF">2026-03-29T11:52:47.322Z</dcterms:modified>
</cp:coreProperties>
</file>

<file path=docProps/custom.xml><?xml version="1.0" encoding="utf-8"?>
<Properties xmlns="http://schemas.openxmlformats.org/officeDocument/2006/custom-properties" xmlns:vt="http://schemas.openxmlformats.org/officeDocument/2006/docPropsVTypes"/>
</file>