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66342" w14:textId="63452117" w:rsidR="004563D7" w:rsidRPr="009B22BD" w:rsidRDefault="00285E38" w:rsidP="009B22BD">
      <w:pPr>
        <w:jc w:val="center"/>
        <w:rPr>
          <w:b/>
          <w:bCs/>
          <w:color w:val="FF0000"/>
          <w:sz w:val="28"/>
          <w:szCs w:val="28"/>
        </w:rPr>
      </w:pPr>
      <w:r w:rsidRPr="009B22BD">
        <w:rPr>
          <w:b/>
          <w:bCs/>
          <w:color w:val="FF0000"/>
          <w:sz w:val="28"/>
          <w:szCs w:val="28"/>
        </w:rPr>
        <w:t>Комментарии к страничке:</w:t>
      </w:r>
    </w:p>
    <w:p w14:paraId="6E1367C3" w14:textId="52E35CDF" w:rsidR="00285E38" w:rsidRDefault="00285E38">
      <w:pPr>
        <w:rPr>
          <w:i/>
          <w:iCs/>
        </w:rPr>
      </w:pPr>
      <w:r w:rsidRPr="009B22BD">
        <w:rPr>
          <w:i/>
          <w:iCs/>
        </w:rPr>
        <w:t xml:space="preserve">Страница представляет собой текстовую страницу с кратким описанием метода. Изначально предполагается, что какое-то количество методов будет подгружено на платформу членами команды проекта, позже, предполагается, что пополнением и корректировкой/ обновлением базы данных будут заниматься сами пользователи платформы, в связи с чем стоит предусмотреть связку: </w:t>
      </w:r>
      <w:r w:rsidRPr="009B22BD">
        <w:rPr>
          <w:b/>
          <w:bCs/>
          <w:i/>
          <w:iCs/>
        </w:rPr>
        <w:t xml:space="preserve">база данных – </w:t>
      </w:r>
      <w:r w:rsidR="00944B1D" w:rsidRPr="009B22BD">
        <w:rPr>
          <w:b/>
          <w:bCs/>
          <w:i/>
          <w:iCs/>
        </w:rPr>
        <w:t xml:space="preserve">авторизованный </w:t>
      </w:r>
      <w:r w:rsidRPr="009B22BD">
        <w:rPr>
          <w:b/>
          <w:bCs/>
          <w:i/>
          <w:iCs/>
        </w:rPr>
        <w:t>пользователь</w:t>
      </w:r>
      <w:r w:rsidRPr="009B22BD">
        <w:rPr>
          <w:i/>
          <w:iCs/>
        </w:rPr>
        <w:t>, и, возможно, формы для пользователя</w:t>
      </w:r>
      <w:r w:rsidR="00944B1D" w:rsidRPr="009B22BD">
        <w:rPr>
          <w:i/>
          <w:iCs/>
        </w:rPr>
        <w:t xml:space="preserve"> (на которую он попадает при заполнении странички)</w:t>
      </w:r>
      <w:r w:rsidRPr="009B22BD">
        <w:rPr>
          <w:i/>
          <w:iCs/>
        </w:rPr>
        <w:t>, чтобы облегчить и унифицировать заполнение страниц.</w:t>
      </w:r>
    </w:p>
    <w:p w14:paraId="776EB2A5" w14:textId="2AE05350" w:rsidR="009B22BD" w:rsidRPr="009B22BD" w:rsidRDefault="009B22BD">
      <w:pPr>
        <w:rPr>
          <w:i/>
          <w:iCs/>
        </w:rPr>
      </w:pPr>
      <w:r>
        <w:rPr>
          <w:i/>
          <w:iCs/>
        </w:rPr>
        <w:t>*напомню также, что в идеале добавляемая пользователем информация должна быть рецензируема другими пользователями, т.е. прежде чем ее добавят на всеобщее обозрение – пользователи – «эксперты» должны ее прочесть и одобрить.</w:t>
      </w:r>
    </w:p>
    <w:p w14:paraId="6CD24CF0" w14:textId="6F12B89D" w:rsidR="00285E38" w:rsidRPr="009B22BD" w:rsidRDefault="00285E38">
      <w:pPr>
        <w:rPr>
          <w:i/>
          <w:iCs/>
        </w:rPr>
      </w:pPr>
      <w:r w:rsidRPr="009B22BD">
        <w:rPr>
          <w:i/>
          <w:iCs/>
        </w:rPr>
        <w:t xml:space="preserve">Сама форма представления информации на данной странице максимально похожа </w:t>
      </w:r>
      <w:r w:rsidR="00DD125D" w:rsidRPr="009B22BD">
        <w:rPr>
          <w:i/>
          <w:iCs/>
        </w:rPr>
        <w:t xml:space="preserve">на страничку в </w:t>
      </w:r>
      <w:r w:rsidR="00DD125D" w:rsidRPr="009B22BD">
        <w:rPr>
          <w:i/>
          <w:iCs/>
          <w:lang w:val="en-US"/>
        </w:rPr>
        <w:t>Wikipedia</w:t>
      </w:r>
      <w:r w:rsidR="009B22BD">
        <w:rPr>
          <w:i/>
          <w:iCs/>
        </w:rPr>
        <w:t xml:space="preserve"> в</w:t>
      </w:r>
      <w:r w:rsidR="00DD125D" w:rsidRPr="009B22BD">
        <w:rPr>
          <w:i/>
          <w:iCs/>
        </w:rPr>
        <w:t xml:space="preserve"> следующих аспектах: некоторые слова в тексте – </w:t>
      </w:r>
      <w:proofErr w:type="spellStart"/>
      <w:r w:rsidR="00DD125D" w:rsidRPr="009B22BD">
        <w:rPr>
          <w:i/>
          <w:iCs/>
        </w:rPr>
        <w:t>кликабельны</w:t>
      </w:r>
      <w:proofErr w:type="spellEnd"/>
      <w:r w:rsidR="00DD125D" w:rsidRPr="009B22BD">
        <w:rPr>
          <w:i/>
          <w:iCs/>
        </w:rPr>
        <w:t xml:space="preserve"> – по ним можно перейти и попасть на схожую страничку, где можно прочитать подробнее про какой-то отдельный момент из описания метода (это нам нужно продемонстрировать, т.е. осуществить). В конце страницы идет список литературы, с использованием которой было составлено описание </w:t>
      </w:r>
      <w:r w:rsidR="00944B1D" w:rsidRPr="009B22BD">
        <w:rPr>
          <w:i/>
          <w:iCs/>
        </w:rPr>
        <w:t xml:space="preserve">метода </w:t>
      </w:r>
      <w:r w:rsidR="00DD125D" w:rsidRPr="009B22BD">
        <w:rPr>
          <w:i/>
          <w:iCs/>
        </w:rPr>
        <w:t>(возможно</w:t>
      </w:r>
      <w:r w:rsidR="00944B1D" w:rsidRPr="009B22BD">
        <w:rPr>
          <w:i/>
          <w:iCs/>
        </w:rPr>
        <w:t>, список</w:t>
      </w:r>
      <w:r w:rsidR="00DD125D" w:rsidRPr="009B22BD">
        <w:rPr>
          <w:i/>
          <w:iCs/>
        </w:rPr>
        <w:t xml:space="preserve"> раскрывающийся, т.к. он может быть довольно длинным). </w:t>
      </w:r>
    </w:p>
    <w:p w14:paraId="7ABF5A77" w14:textId="3C2CEB44" w:rsidR="00DD125D" w:rsidRPr="009B22BD" w:rsidRDefault="00DD125D">
      <w:pPr>
        <w:rPr>
          <w:i/>
          <w:iCs/>
        </w:rPr>
      </w:pPr>
      <w:r w:rsidRPr="009B22BD">
        <w:rPr>
          <w:i/>
          <w:iCs/>
        </w:rPr>
        <w:t xml:space="preserve">Поскольку в будущем обновлять и заполнять такие страницы, вероятно, будут пользователи – необходимо предусмотреть формат, как будет отображаться информация кто является автором заполнения данной странички, а кто со-автором (например кто внес дополнения и изменения). </w:t>
      </w:r>
      <w:r w:rsidR="00944B1D" w:rsidRPr="009B22BD">
        <w:rPr>
          <w:i/>
          <w:iCs/>
        </w:rPr>
        <w:t>Например, наверху/внизу странички также сделать раскрывающийся список, где будут отображены все пользователи, что участвовали в составлении страницы.</w:t>
      </w:r>
    </w:p>
    <w:p w14:paraId="224A6580" w14:textId="1A9762C5" w:rsidR="00944B1D" w:rsidRDefault="00944B1D">
      <w:pPr>
        <w:rPr>
          <w:b/>
          <w:bCs/>
          <w:i/>
          <w:iCs/>
        </w:rPr>
      </w:pPr>
      <w:r w:rsidRPr="009B22BD">
        <w:rPr>
          <w:b/>
          <w:bCs/>
          <w:i/>
          <w:iCs/>
        </w:rPr>
        <w:t xml:space="preserve">Имеет смысл одной из первоочередных задач поставить введение </w:t>
      </w:r>
      <w:r w:rsidR="009B22BD">
        <w:rPr>
          <w:b/>
          <w:bCs/>
          <w:i/>
          <w:iCs/>
        </w:rPr>
        <w:t>от одного до пяти</w:t>
      </w:r>
      <w:r w:rsidRPr="009B22BD">
        <w:rPr>
          <w:b/>
          <w:bCs/>
          <w:i/>
          <w:iCs/>
        </w:rPr>
        <w:t xml:space="preserve"> тестовых </w:t>
      </w:r>
      <w:r w:rsidR="009B22BD">
        <w:rPr>
          <w:b/>
          <w:bCs/>
          <w:i/>
          <w:iCs/>
        </w:rPr>
        <w:t>«</w:t>
      </w:r>
      <w:r w:rsidRPr="009B22BD">
        <w:rPr>
          <w:b/>
          <w:bCs/>
          <w:i/>
          <w:iCs/>
        </w:rPr>
        <w:t>пользователей</w:t>
      </w:r>
      <w:r w:rsidR="009B22BD">
        <w:rPr>
          <w:b/>
          <w:bCs/>
          <w:i/>
          <w:iCs/>
        </w:rPr>
        <w:t>»(в том числе «экспертов»)</w:t>
      </w:r>
      <w:r w:rsidRPr="009B22BD">
        <w:rPr>
          <w:b/>
          <w:bCs/>
          <w:i/>
          <w:iCs/>
        </w:rPr>
        <w:t>, для того, чтобы обкатать процессы связанные с действиями пользователя.</w:t>
      </w:r>
    </w:p>
    <w:p w14:paraId="263B7AD1" w14:textId="77777777" w:rsidR="009B22BD" w:rsidRPr="009B22BD" w:rsidRDefault="009B22BD" w:rsidP="009B22BD">
      <w:pPr>
        <w:jc w:val="center"/>
        <w:rPr>
          <w:b/>
          <w:bCs/>
          <w:i/>
          <w:iCs/>
          <w:sz w:val="28"/>
          <w:szCs w:val="28"/>
        </w:rPr>
      </w:pPr>
    </w:p>
    <w:p w14:paraId="05F05EE4" w14:textId="4543C74F" w:rsidR="00DD125D" w:rsidRPr="009B22BD" w:rsidRDefault="00DD125D" w:rsidP="009B22BD">
      <w:pPr>
        <w:jc w:val="center"/>
        <w:rPr>
          <w:b/>
          <w:bCs/>
          <w:color w:val="FF0000"/>
          <w:sz w:val="28"/>
          <w:szCs w:val="28"/>
        </w:rPr>
      </w:pPr>
      <w:r w:rsidRPr="009B22BD">
        <w:rPr>
          <w:b/>
          <w:bCs/>
          <w:color w:val="FF0000"/>
          <w:sz w:val="28"/>
          <w:szCs w:val="28"/>
        </w:rPr>
        <w:t>Информация для заполнения странички метода Бредфорда:</w:t>
      </w:r>
    </w:p>
    <w:p w14:paraId="65F15630" w14:textId="0576486D" w:rsidR="00DD125D" w:rsidRPr="00DD125D" w:rsidRDefault="00DD125D" w:rsidP="00DD125D">
      <w:pPr>
        <w:rPr>
          <w:b/>
          <w:bCs/>
          <w:color w:val="000000" w:themeColor="text1"/>
          <w:lang w:val="en-US"/>
        </w:rPr>
      </w:pPr>
      <w:r w:rsidRPr="00DD125D">
        <w:rPr>
          <w:b/>
          <w:bCs/>
          <w:color w:val="000000" w:themeColor="text1"/>
          <w:lang w:val="en-US"/>
        </w:rPr>
        <w:t xml:space="preserve">Method for quantify the protein content in sample. This method has multiple applications in experimental sciences. </w:t>
      </w:r>
      <w:commentRangeStart w:id="0"/>
      <w:r w:rsidRPr="00DD125D">
        <w:rPr>
          <w:b/>
          <w:bCs/>
          <w:color w:val="0070C0"/>
          <w:lang w:val="en-US"/>
        </w:rPr>
        <w:t xml:space="preserve">Chemical basis </w:t>
      </w:r>
      <w:commentRangeEnd w:id="0"/>
      <w:r>
        <w:rPr>
          <w:rStyle w:val="a3"/>
        </w:rPr>
        <w:commentReference w:id="0"/>
      </w:r>
      <w:r w:rsidRPr="00DD125D">
        <w:rPr>
          <w:b/>
          <w:bCs/>
          <w:color w:val="000000" w:themeColor="text1"/>
          <w:lang w:val="en-US"/>
        </w:rPr>
        <w:t xml:space="preserve">of the Bradford method (1976) is based on the absorbance shift observed in an acidic solution of dye Coomassie® Brilliant Blue G-250. When added to a solution of protein, the dye binds to the protein resulting in a </w:t>
      </w:r>
      <w:r w:rsidRPr="00DD125D">
        <w:rPr>
          <w:b/>
          <w:bCs/>
          <w:color w:val="000000" w:themeColor="text1"/>
          <w:lang w:val="en-US"/>
        </w:rPr>
        <w:t>color</w:t>
      </w:r>
      <w:r w:rsidRPr="00DD125D">
        <w:rPr>
          <w:b/>
          <w:bCs/>
          <w:color w:val="000000" w:themeColor="text1"/>
          <w:lang w:val="en-US"/>
        </w:rPr>
        <w:t xml:space="preserve"> change from a reddish brown to blue. </w:t>
      </w:r>
    </w:p>
    <w:p w14:paraId="17C5EE1B" w14:textId="77777777" w:rsidR="00DD125D" w:rsidRPr="00DD125D" w:rsidRDefault="00DD125D" w:rsidP="00DD125D">
      <w:pPr>
        <w:rPr>
          <w:b/>
          <w:bCs/>
          <w:color w:val="4472C4" w:themeColor="accent1"/>
        </w:rPr>
      </w:pPr>
      <w:commentRangeStart w:id="1"/>
      <w:r w:rsidRPr="00DD125D">
        <w:rPr>
          <w:b/>
          <w:bCs/>
          <w:color w:val="4472C4" w:themeColor="accent1"/>
          <w:lang w:val="en-US"/>
        </w:rPr>
        <w:t>References</w:t>
      </w:r>
      <w:r w:rsidRPr="00DD125D">
        <w:rPr>
          <w:b/>
          <w:bCs/>
          <w:color w:val="4472C4" w:themeColor="accent1"/>
        </w:rPr>
        <w:t>:</w:t>
      </w:r>
      <w:commentRangeEnd w:id="1"/>
      <w:r w:rsidR="00346825">
        <w:rPr>
          <w:rStyle w:val="a3"/>
        </w:rPr>
        <w:commentReference w:id="1"/>
      </w:r>
    </w:p>
    <w:p w14:paraId="1F4C3789" w14:textId="77777777" w:rsidR="00DD125D" w:rsidRPr="00DD125D" w:rsidRDefault="00DD125D" w:rsidP="00DD125D">
      <w:pPr>
        <w:numPr>
          <w:ilvl w:val="0"/>
          <w:numId w:val="1"/>
        </w:numPr>
        <w:rPr>
          <w:b/>
          <w:bCs/>
        </w:rPr>
      </w:pPr>
      <w:r w:rsidRPr="00DD125D">
        <w:rPr>
          <w:b/>
          <w:bCs/>
          <w:lang w:val="en-US"/>
        </w:rPr>
        <w:t>Bradford MM A rapid and sensitive method for the quantitation of microgram quantities of protein utilizing the principle of protein-dye binding. // Analytical Biochemistry. 1976. № 72. С. 248-254.</w:t>
      </w:r>
    </w:p>
    <w:p w14:paraId="49FB3F50" w14:textId="77777777" w:rsidR="00DD125D" w:rsidRPr="00DD125D" w:rsidRDefault="00DD125D" w:rsidP="00DD125D">
      <w:pPr>
        <w:numPr>
          <w:ilvl w:val="0"/>
          <w:numId w:val="1"/>
        </w:numPr>
        <w:rPr>
          <w:b/>
          <w:bCs/>
        </w:rPr>
      </w:pPr>
      <w:proofErr w:type="spellStart"/>
      <w:r w:rsidRPr="00DD125D">
        <w:rPr>
          <w:b/>
          <w:bCs/>
          <w:lang w:val="en-US"/>
        </w:rPr>
        <w:t>Pedrol</w:t>
      </w:r>
      <w:proofErr w:type="spellEnd"/>
      <w:r w:rsidRPr="00DD125D">
        <w:rPr>
          <w:b/>
          <w:bCs/>
          <w:lang w:val="en-US"/>
        </w:rPr>
        <w:t xml:space="preserve">, Nuria &amp; Tamayo, Pilar. (2001). Protein Content Quantification by Bradford Method. 10.1007/0-306-48057-3_19. </w:t>
      </w:r>
    </w:p>
    <w:p w14:paraId="5441F757" w14:textId="7942728D" w:rsidR="00DD125D" w:rsidRDefault="00DD125D">
      <w:pPr>
        <w:rPr>
          <w:b/>
          <w:bCs/>
          <w:color w:val="FF0000"/>
          <w:lang w:val="en-US"/>
        </w:rPr>
      </w:pPr>
    </w:p>
    <w:p w14:paraId="0531733A" w14:textId="45FF1091" w:rsidR="00346825" w:rsidRDefault="00346825">
      <w:pPr>
        <w:rPr>
          <w:b/>
          <w:bCs/>
          <w:color w:val="0070C0"/>
        </w:rPr>
      </w:pPr>
      <w:r>
        <w:rPr>
          <w:b/>
          <w:bCs/>
          <w:color w:val="FF0000"/>
        </w:rPr>
        <w:t xml:space="preserve">Информация для заполнения странички, раскрывающейся после клика на </w:t>
      </w:r>
      <w:r w:rsidRPr="00346825">
        <w:rPr>
          <w:b/>
          <w:bCs/>
          <w:color w:val="4472C4" w:themeColor="accent1"/>
        </w:rPr>
        <w:t>«</w:t>
      </w:r>
      <w:r w:rsidRPr="00DD125D">
        <w:rPr>
          <w:b/>
          <w:bCs/>
          <w:color w:val="4472C4" w:themeColor="accent1"/>
          <w:lang w:val="en-US"/>
        </w:rPr>
        <w:t>C</w:t>
      </w:r>
      <w:r w:rsidRPr="00DD125D">
        <w:rPr>
          <w:b/>
          <w:bCs/>
          <w:color w:val="0070C0"/>
          <w:lang w:val="en-US"/>
        </w:rPr>
        <w:t>hemical</w:t>
      </w:r>
      <w:r w:rsidRPr="00DD125D">
        <w:rPr>
          <w:b/>
          <w:bCs/>
          <w:color w:val="0070C0"/>
        </w:rPr>
        <w:t xml:space="preserve"> </w:t>
      </w:r>
      <w:r w:rsidRPr="00DD125D">
        <w:rPr>
          <w:b/>
          <w:bCs/>
          <w:color w:val="0070C0"/>
          <w:lang w:val="en-US"/>
        </w:rPr>
        <w:t>basis</w:t>
      </w:r>
      <w:r>
        <w:rPr>
          <w:b/>
          <w:bCs/>
          <w:color w:val="0070C0"/>
        </w:rPr>
        <w:t>»:</w:t>
      </w:r>
    </w:p>
    <w:p w14:paraId="0A6622A4" w14:textId="77777777" w:rsidR="00346825" w:rsidRDefault="00346825" w:rsidP="00346825">
      <w:pPr>
        <w:rPr>
          <w:b/>
          <w:bCs/>
          <w:lang w:val="en-US"/>
        </w:rPr>
      </w:pPr>
      <w:r w:rsidRPr="00346825">
        <w:rPr>
          <w:b/>
          <w:bCs/>
          <w:lang w:val="en-US"/>
        </w:rPr>
        <w:lastRenderedPageBreak/>
        <w:t xml:space="preserve">The dye has been assumed to bind to protein via electrostatic attraction of the dye's sulfonic groups to the protein. The bound points are primarily arginine residues, but the dye also binds to a </w:t>
      </w:r>
      <w:r w:rsidRPr="00346825">
        <w:rPr>
          <w:b/>
          <w:bCs/>
          <w:lang w:val="en-US"/>
        </w:rPr>
        <w:t>lesser degree</w:t>
      </w:r>
      <w:r w:rsidRPr="00346825">
        <w:rPr>
          <w:b/>
          <w:bCs/>
          <w:lang w:val="en-US"/>
        </w:rPr>
        <w:t xml:space="preserve"> to </w:t>
      </w:r>
      <w:r w:rsidRPr="00346825">
        <w:rPr>
          <w:b/>
          <w:bCs/>
          <w:lang w:val="en-US"/>
        </w:rPr>
        <w:t>histidine, lysine, tyrosine</w:t>
      </w:r>
      <w:r w:rsidRPr="00346825">
        <w:rPr>
          <w:b/>
          <w:bCs/>
          <w:lang w:val="en-US"/>
        </w:rPr>
        <w:t xml:space="preserve">, </w:t>
      </w:r>
      <w:r w:rsidRPr="00346825">
        <w:rPr>
          <w:b/>
          <w:bCs/>
          <w:lang w:val="en-US"/>
        </w:rPr>
        <w:t xml:space="preserve">tryptophan </w:t>
      </w:r>
      <w:r w:rsidRPr="00346825">
        <w:rPr>
          <w:b/>
          <w:bCs/>
          <w:lang w:val="en-US"/>
        </w:rPr>
        <w:t>and phenylalanine</w:t>
      </w:r>
      <w:r w:rsidRPr="00346825">
        <w:rPr>
          <w:b/>
          <w:bCs/>
          <w:lang w:val="en-US"/>
        </w:rPr>
        <w:t>.</w:t>
      </w:r>
    </w:p>
    <w:p w14:paraId="5EE96047" w14:textId="77777777" w:rsidR="00346825" w:rsidRPr="00346825" w:rsidRDefault="00346825" w:rsidP="00346825">
      <w:pPr>
        <w:rPr>
          <w:b/>
          <w:bCs/>
          <w:color w:val="4472C4" w:themeColor="accent1"/>
        </w:rPr>
      </w:pPr>
      <w:r w:rsidRPr="00346825">
        <w:rPr>
          <w:b/>
          <w:bCs/>
          <w:color w:val="4472C4" w:themeColor="accent1"/>
          <w:lang w:val="en-US"/>
        </w:rPr>
        <w:t>References</w:t>
      </w:r>
      <w:r w:rsidRPr="00346825">
        <w:rPr>
          <w:b/>
          <w:bCs/>
          <w:color w:val="4472C4" w:themeColor="accent1"/>
        </w:rPr>
        <w:t>:</w:t>
      </w:r>
    </w:p>
    <w:p w14:paraId="3A1F7E27" w14:textId="77777777" w:rsidR="00346825" w:rsidRPr="00346825" w:rsidRDefault="00346825" w:rsidP="00346825">
      <w:pPr>
        <w:rPr>
          <w:b/>
          <w:bCs/>
        </w:rPr>
      </w:pPr>
      <w:r w:rsidRPr="00346825">
        <w:rPr>
          <w:b/>
          <w:bCs/>
          <w:lang w:val="en-US"/>
        </w:rPr>
        <w:t xml:space="preserve">1. Compton and Jones, 1985 </w:t>
      </w:r>
    </w:p>
    <w:p w14:paraId="7B877EE0" w14:textId="40C96CF7" w:rsidR="00346825" w:rsidRPr="00346825" w:rsidRDefault="00346825" w:rsidP="00346825">
      <w:pPr>
        <w:rPr>
          <w:b/>
          <w:bCs/>
          <w:lang w:val="en-US"/>
        </w:rPr>
      </w:pPr>
      <w:r w:rsidRPr="00346825">
        <w:rPr>
          <w:b/>
          <w:bCs/>
          <w:lang w:val="en-US"/>
        </w:rPr>
        <w:t xml:space="preserve"> </w:t>
      </w:r>
    </w:p>
    <w:p w14:paraId="39888910" w14:textId="77777777" w:rsidR="00346825" w:rsidRPr="00346825" w:rsidRDefault="00346825">
      <w:pPr>
        <w:rPr>
          <w:b/>
          <w:bCs/>
          <w:color w:val="FF0000"/>
          <w:lang w:val="en-US"/>
        </w:rPr>
      </w:pPr>
    </w:p>
    <w:p w14:paraId="37B8BD52" w14:textId="77777777" w:rsidR="00DD125D" w:rsidRPr="00346825" w:rsidRDefault="00DD125D">
      <w:pPr>
        <w:rPr>
          <w:lang w:val="en-US"/>
        </w:rPr>
      </w:pPr>
    </w:p>
    <w:sectPr w:rsidR="00DD125D" w:rsidRPr="0034682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Ирина Янкелевич" w:date="2021-04-03T19:08:00Z" w:initials="ИЯ">
    <w:p w14:paraId="1C749D5A" w14:textId="41229F11" w:rsidR="00DD125D" w:rsidRDefault="00DD125D">
      <w:pPr>
        <w:pStyle w:val="a4"/>
      </w:pPr>
      <w:r>
        <w:rPr>
          <w:rStyle w:val="a3"/>
        </w:rPr>
        <w:annotationRef/>
      </w:r>
      <w:proofErr w:type="spellStart"/>
      <w:r>
        <w:t>Кликабельная</w:t>
      </w:r>
      <w:proofErr w:type="spellEnd"/>
      <w:r>
        <w:t xml:space="preserve"> фраза для перехода на страничку с подробным описанием химических основ</w:t>
      </w:r>
    </w:p>
  </w:comment>
  <w:comment w:id="1" w:author="Ирина Янкелевич" w:date="2021-04-03T19:09:00Z" w:initials="ИЯ">
    <w:p w14:paraId="7D3AAE3A" w14:textId="16E8BA5E" w:rsidR="00346825" w:rsidRDefault="00346825">
      <w:pPr>
        <w:pStyle w:val="a4"/>
      </w:pPr>
      <w:r>
        <w:rPr>
          <w:rStyle w:val="a3"/>
        </w:rPr>
        <w:annotationRef/>
      </w:r>
      <w:r>
        <w:t>Возможно, стоит сделать в виде раскрывающегося списка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749D5A" w15:done="0"/>
  <w15:commentEx w15:paraId="7D3AA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33B9A" w16cex:dateUtc="2021-04-03T16:08:00Z"/>
  <w16cex:commentExtensible w16cex:durableId="24133BDF" w16cex:dateUtc="2021-04-03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749D5A" w16cid:durableId="24133B9A"/>
  <w16cid:commentId w16cid:paraId="7D3AAE3A" w16cid:durableId="24133B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108D2"/>
    <w:multiLevelType w:val="hybridMultilevel"/>
    <w:tmpl w:val="3272969C"/>
    <w:lvl w:ilvl="0" w:tplc="61CEAD22">
      <w:start w:val="1"/>
      <w:numFmt w:val="decimal"/>
      <w:lvlText w:val="%1."/>
      <w:lvlJc w:val="left"/>
      <w:pPr>
        <w:tabs>
          <w:tab w:val="num" w:pos="720"/>
        </w:tabs>
        <w:ind w:left="720" w:hanging="360"/>
      </w:pPr>
    </w:lvl>
    <w:lvl w:ilvl="1" w:tplc="73FAAB64" w:tentative="1">
      <w:start w:val="1"/>
      <w:numFmt w:val="decimal"/>
      <w:lvlText w:val="%2."/>
      <w:lvlJc w:val="left"/>
      <w:pPr>
        <w:tabs>
          <w:tab w:val="num" w:pos="1440"/>
        </w:tabs>
        <w:ind w:left="1440" w:hanging="360"/>
      </w:pPr>
    </w:lvl>
    <w:lvl w:ilvl="2" w:tplc="8A44CD44" w:tentative="1">
      <w:start w:val="1"/>
      <w:numFmt w:val="decimal"/>
      <w:lvlText w:val="%3."/>
      <w:lvlJc w:val="left"/>
      <w:pPr>
        <w:tabs>
          <w:tab w:val="num" w:pos="2160"/>
        </w:tabs>
        <w:ind w:left="2160" w:hanging="360"/>
      </w:pPr>
    </w:lvl>
    <w:lvl w:ilvl="3" w:tplc="62BE7AA2" w:tentative="1">
      <w:start w:val="1"/>
      <w:numFmt w:val="decimal"/>
      <w:lvlText w:val="%4."/>
      <w:lvlJc w:val="left"/>
      <w:pPr>
        <w:tabs>
          <w:tab w:val="num" w:pos="2880"/>
        </w:tabs>
        <w:ind w:left="2880" w:hanging="360"/>
      </w:pPr>
    </w:lvl>
    <w:lvl w:ilvl="4" w:tplc="0DAE113A" w:tentative="1">
      <w:start w:val="1"/>
      <w:numFmt w:val="decimal"/>
      <w:lvlText w:val="%5."/>
      <w:lvlJc w:val="left"/>
      <w:pPr>
        <w:tabs>
          <w:tab w:val="num" w:pos="3600"/>
        </w:tabs>
        <w:ind w:left="3600" w:hanging="360"/>
      </w:pPr>
    </w:lvl>
    <w:lvl w:ilvl="5" w:tplc="61B86B14" w:tentative="1">
      <w:start w:val="1"/>
      <w:numFmt w:val="decimal"/>
      <w:lvlText w:val="%6."/>
      <w:lvlJc w:val="left"/>
      <w:pPr>
        <w:tabs>
          <w:tab w:val="num" w:pos="4320"/>
        </w:tabs>
        <w:ind w:left="4320" w:hanging="360"/>
      </w:pPr>
    </w:lvl>
    <w:lvl w:ilvl="6" w:tplc="4308F412" w:tentative="1">
      <w:start w:val="1"/>
      <w:numFmt w:val="decimal"/>
      <w:lvlText w:val="%7."/>
      <w:lvlJc w:val="left"/>
      <w:pPr>
        <w:tabs>
          <w:tab w:val="num" w:pos="5040"/>
        </w:tabs>
        <w:ind w:left="5040" w:hanging="360"/>
      </w:pPr>
    </w:lvl>
    <w:lvl w:ilvl="7" w:tplc="F206605E" w:tentative="1">
      <w:start w:val="1"/>
      <w:numFmt w:val="decimal"/>
      <w:lvlText w:val="%8."/>
      <w:lvlJc w:val="left"/>
      <w:pPr>
        <w:tabs>
          <w:tab w:val="num" w:pos="5760"/>
        </w:tabs>
        <w:ind w:left="5760" w:hanging="360"/>
      </w:pPr>
    </w:lvl>
    <w:lvl w:ilvl="8" w:tplc="93746600"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рина Янкелевич">
    <w15:presenceInfo w15:providerId="Windows Live" w15:userId="545c27596886da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tjA2MbQwMDSzMDFX0lEKTi0uzszPAykwqgUA+R/NRiwAAAA="/>
  </w:docVars>
  <w:rsids>
    <w:rsidRoot w:val="003E1FB4"/>
    <w:rsid w:val="00285E38"/>
    <w:rsid w:val="00346825"/>
    <w:rsid w:val="003E1FB4"/>
    <w:rsid w:val="004563D7"/>
    <w:rsid w:val="00944B1D"/>
    <w:rsid w:val="009B22BD"/>
    <w:rsid w:val="00DD1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BC00"/>
  <w15:chartTrackingRefBased/>
  <w15:docId w15:val="{B0107121-E24D-48BC-AD6C-593E0E33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D125D"/>
    <w:rPr>
      <w:sz w:val="16"/>
      <w:szCs w:val="16"/>
    </w:rPr>
  </w:style>
  <w:style w:type="paragraph" w:styleId="a4">
    <w:name w:val="annotation text"/>
    <w:basedOn w:val="a"/>
    <w:link w:val="a5"/>
    <w:uiPriority w:val="99"/>
    <w:semiHidden/>
    <w:unhideWhenUsed/>
    <w:rsid w:val="00DD125D"/>
    <w:pPr>
      <w:spacing w:line="240" w:lineRule="auto"/>
    </w:pPr>
    <w:rPr>
      <w:sz w:val="20"/>
      <w:szCs w:val="20"/>
    </w:rPr>
  </w:style>
  <w:style w:type="character" w:customStyle="1" w:styleId="a5">
    <w:name w:val="Текст примечания Знак"/>
    <w:basedOn w:val="a0"/>
    <w:link w:val="a4"/>
    <w:uiPriority w:val="99"/>
    <w:semiHidden/>
    <w:rsid w:val="00DD125D"/>
    <w:rPr>
      <w:sz w:val="20"/>
      <w:szCs w:val="20"/>
    </w:rPr>
  </w:style>
  <w:style w:type="paragraph" w:styleId="a6">
    <w:name w:val="annotation subject"/>
    <w:basedOn w:val="a4"/>
    <w:next w:val="a4"/>
    <w:link w:val="a7"/>
    <w:uiPriority w:val="99"/>
    <w:semiHidden/>
    <w:unhideWhenUsed/>
    <w:rsid w:val="00DD125D"/>
    <w:rPr>
      <w:b/>
      <w:bCs/>
    </w:rPr>
  </w:style>
  <w:style w:type="character" w:customStyle="1" w:styleId="a7">
    <w:name w:val="Тема примечания Знак"/>
    <w:basedOn w:val="a5"/>
    <w:link w:val="a6"/>
    <w:uiPriority w:val="99"/>
    <w:semiHidden/>
    <w:rsid w:val="00DD12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412">
      <w:bodyDiv w:val="1"/>
      <w:marLeft w:val="0"/>
      <w:marRight w:val="0"/>
      <w:marTop w:val="0"/>
      <w:marBottom w:val="0"/>
      <w:divBdr>
        <w:top w:val="none" w:sz="0" w:space="0" w:color="auto"/>
        <w:left w:val="none" w:sz="0" w:space="0" w:color="auto"/>
        <w:bottom w:val="none" w:sz="0" w:space="0" w:color="auto"/>
        <w:right w:val="none" w:sz="0" w:space="0" w:color="auto"/>
      </w:divBdr>
    </w:div>
    <w:div w:id="246118883">
      <w:bodyDiv w:val="1"/>
      <w:marLeft w:val="0"/>
      <w:marRight w:val="0"/>
      <w:marTop w:val="0"/>
      <w:marBottom w:val="0"/>
      <w:divBdr>
        <w:top w:val="none" w:sz="0" w:space="0" w:color="auto"/>
        <w:left w:val="none" w:sz="0" w:space="0" w:color="auto"/>
        <w:bottom w:val="none" w:sz="0" w:space="0" w:color="auto"/>
        <w:right w:val="none" w:sz="0" w:space="0" w:color="auto"/>
      </w:divBdr>
    </w:div>
    <w:div w:id="1200436561">
      <w:bodyDiv w:val="1"/>
      <w:marLeft w:val="0"/>
      <w:marRight w:val="0"/>
      <w:marTop w:val="0"/>
      <w:marBottom w:val="0"/>
      <w:divBdr>
        <w:top w:val="none" w:sz="0" w:space="0" w:color="auto"/>
        <w:left w:val="none" w:sz="0" w:space="0" w:color="auto"/>
        <w:bottom w:val="none" w:sz="0" w:space="0" w:color="auto"/>
        <w:right w:val="none" w:sz="0" w:space="0" w:color="auto"/>
      </w:divBdr>
      <w:divsChild>
        <w:div w:id="1542090236">
          <w:marLeft w:val="720"/>
          <w:marRight w:val="0"/>
          <w:marTop w:val="0"/>
          <w:marBottom w:val="0"/>
          <w:divBdr>
            <w:top w:val="none" w:sz="0" w:space="0" w:color="auto"/>
            <w:left w:val="none" w:sz="0" w:space="0" w:color="auto"/>
            <w:bottom w:val="none" w:sz="0" w:space="0" w:color="auto"/>
            <w:right w:val="none" w:sz="0" w:space="0" w:color="auto"/>
          </w:divBdr>
        </w:div>
        <w:div w:id="1967276472">
          <w:marLeft w:val="720"/>
          <w:marRight w:val="0"/>
          <w:marTop w:val="0"/>
          <w:marBottom w:val="0"/>
          <w:divBdr>
            <w:top w:val="none" w:sz="0" w:space="0" w:color="auto"/>
            <w:left w:val="none" w:sz="0" w:space="0" w:color="auto"/>
            <w:bottom w:val="none" w:sz="0" w:space="0" w:color="auto"/>
            <w:right w:val="none" w:sz="0" w:space="0" w:color="auto"/>
          </w:divBdr>
        </w:div>
      </w:divsChild>
    </w:div>
    <w:div w:id="121723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462</Words>
  <Characters>2636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Янкелевич</dc:creator>
  <cp:keywords/>
  <dc:description/>
  <cp:lastModifiedBy>Ирина Янкелевич</cp:lastModifiedBy>
  <cp:revision>3</cp:revision>
  <dcterms:created xsi:type="dcterms:W3CDTF">2021-04-03T15:45:00Z</dcterms:created>
  <dcterms:modified xsi:type="dcterms:W3CDTF">2021-04-03T16:24:00Z</dcterms:modified>
</cp:coreProperties>
</file>