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98972" w14:textId="77777777" w:rsidR="00D3139A" w:rsidRPr="00D3139A" w:rsidRDefault="00D3139A" w:rsidP="00D3139A">
      <w:pPr>
        <w:jc w:val="center"/>
        <w:rPr>
          <w:b/>
          <w:bCs/>
          <w:sz w:val="40"/>
          <w:szCs w:val="40"/>
        </w:rPr>
      </w:pPr>
      <w:r w:rsidRPr="00D3139A">
        <w:rPr>
          <w:b/>
          <w:bCs/>
          <w:sz w:val="40"/>
          <w:szCs w:val="40"/>
        </w:rPr>
        <w:t>Задание 2.1. ВСР</w:t>
      </w:r>
    </w:p>
    <w:p w14:paraId="21CE21BA" w14:textId="77777777" w:rsidR="00D3139A" w:rsidRDefault="00D3139A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2694"/>
        <w:gridCol w:w="6202"/>
      </w:tblGrid>
      <w:tr w:rsidR="00D3139A" w14:paraId="69E76AFC" w14:textId="77777777" w:rsidTr="00547805">
        <w:tc>
          <w:tcPr>
            <w:tcW w:w="675" w:type="dxa"/>
          </w:tcPr>
          <w:p w14:paraId="5F27F4C8" w14:textId="78392F9D" w:rsidR="00D3139A" w:rsidRDefault="00D3139A">
            <w:r>
              <w:t>Номер параметра</w:t>
            </w:r>
          </w:p>
        </w:tc>
        <w:tc>
          <w:tcPr>
            <w:tcW w:w="2694" w:type="dxa"/>
          </w:tcPr>
          <w:p w14:paraId="1AE6875B" w14:textId="501A64F8" w:rsidR="00D3139A" w:rsidRDefault="00D3139A">
            <w:r>
              <w:t>параметр</w:t>
            </w:r>
          </w:p>
        </w:tc>
        <w:tc>
          <w:tcPr>
            <w:tcW w:w="6202" w:type="dxa"/>
          </w:tcPr>
          <w:p w14:paraId="18E37AB7" w14:textId="7B8E6036" w:rsidR="00D3139A" w:rsidRDefault="00D3139A">
            <w:r>
              <w:t>описание</w:t>
            </w:r>
          </w:p>
        </w:tc>
      </w:tr>
      <w:tr w:rsidR="00D3139A" w14:paraId="6FF82513" w14:textId="77777777" w:rsidTr="00547805">
        <w:tc>
          <w:tcPr>
            <w:tcW w:w="675" w:type="dxa"/>
          </w:tcPr>
          <w:p w14:paraId="425A350A" w14:textId="0FE446EB" w:rsidR="00D3139A" w:rsidRDefault="00D3139A">
            <w:r>
              <w:t>1</w:t>
            </w:r>
          </w:p>
        </w:tc>
        <w:tc>
          <w:tcPr>
            <w:tcW w:w="2694" w:type="dxa"/>
          </w:tcPr>
          <w:p w14:paraId="19B194DB" w14:textId="71044E45" w:rsidR="00D3139A" w:rsidRPr="00B47D63" w:rsidRDefault="009240C5">
            <w:pPr>
              <w:rPr>
                <w:color w:val="000000" w:themeColor="text1"/>
              </w:rPr>
            </w:pPr>
            <w:r w:rsidRPr="00B47D63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FFFFF"/>
              </w:rPr>
              <w:t>Параметры микроклимата</w:t>
            </w:r>
          </w:p>
        </w:tc>
        <w:tc>
          <w:tcPr>
            <w:tcW w:w="6202" w:type="dxa"/>
          </w:tcPr>
          <w:p w14:paraId="4CA84F54" w14:textId="6EF6C12C" w:rsidR="00D3139A" w:rsidRPr="00B47D63" w:rsidRDefault="00B47D63" w:rsidP="00B47D63">
            <w:r w:rsidRPr="00B47D63">
              <w:t xml:space="preserve">Объем помещений, в которых размещены работники вычислительных центров, не должен быть меньше 19,5м3/человека с учетом максимального числа одновременно работающих в смену. Нормы подачи свежего воздуха в помещения, где расположены компьютеры, Объем до 20м3 на человека - Не менее 30 Объемный расход подаваемого в помещение свежего воздуха, м3 /на одного человека в час и </w:t>
            </w:r>
            <w:proofErr w:type="spellStart"/>
            <w:r w:rsidRPr="00B47D63">
              <w:t>тд</w:t>
            </w:r>
            <w:proofErr w:type="spellEnd"/>
            <w:r w:rsidRPr="00B47D63">
              <w:t>.</w:t>
            </w:r>
          </w:p>
        </w:tc>
      </w:tr>
      <w:tr w:rsidR="00D3139A" w14:paraId="07BC8C60" w14:textId="77777777" w:rsidTr="00547805">
        <w:tc>
          <w:tcPr>
            <w:tcW w:w="675" w:type="dxa"/>
          </w:tcPr>
          <w:p w14:paraId="1DB348C2" w14:textId="43816AE8" w:rsidR="00D3139A" w:rsidRDefault="00D3139A">
            <w:r>
              <w:t>2</w:t>
            </w:r>
          </w:p>
        </w:tc>
        <w:tc>
          <w:tcPr>
            <w:tcW w:w="2694" w:type="dxa"/>
          </w:tcPr>
          <w:p w14:paraId="01FB01E3" w14:textId="6B73A1A6" w:rsidR="00D3139A" w:rsidRPr="00B47D63" w:rsidRDefault="009240C5">
            <w:pPr>
              <w:rPr>
                <w:color w:val="000000" w:themeColor="text1"/>
              </w:rPr>
            </w:pPr>
            <w:r w:rsidRPr="00B47D63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FFFFF"/>
              </w:rPr>
              <w:t>Освещение</w:t>
            </w:r>
          </w:p>
        </w:tc>
        <w:tc>
          <w:tcPr>
            <w:tcW w:w="6202" w:type="dxa"/>
          </w:tcPr>
          <w:p w14:paraId="158418EA" w14:textId="7FB8CF9C" w:rsidR="00D3139A" w:rsidRPr="00B47D63" w:rsidRDefault="00B47D63" w:rsidP="00B47D63">
            <w:r w:rsidRPr="00B47D63">
              <w:t>Согласно СНиП II-</w:t>
            </w:r>
            <w:proofErr w:type="gramStart"/>
            <w:r w:rsidRPr="00B47D63">
              <w:t>4-79</w:t>
            </w:r>
            <w:proofErr w:type="gramEnd"/>
            <w:r w:rsidRPr="00B47D63">
              <w:t xml:space="preserve"> в помещений вычислительных центров необходимо применить систему комбинированного освещения. При выполнении работ категории высокой зрительной точности величина коэффициента естественного освещения (КЕО) должна быть не ниже 1,5%, а при зрительной работе средней точности КЕО должен быть не ниже 1,0%. Требования к освещенности в помещениях, где установлены компьютеры, следующие: при выполнении зрительных работ высокой точности общая освещенность должна составлять 300лк, а комбинированная - 750лк;</w:t>
            </w:r>
          </w:p>
        </w:tc>
      </w:tr>
      <w:tr w:rsidR="00D3139A" w14:paraId="50745AF1" w14:textId="77777777" w:rsidTr="00547805">
        <w:tc>
          <w:tcPr>
            <w:tcW w:w="675" w:type="dxa"/>
          </w:tcPr>
          <w:p w14:paraId="721FF23F" w14:textId="2C2C33E7" w:rsidR="00D3139A" w:rsidRDefault="00D3139A">
            <w:r>
              <w:t>4</w:t>
            </w:r>
          </w:p>
        </w:tc>
        <w:tc>
          <w:tcPr>
            <w:tcW w:w="2694" w:type="dxa"/>
          </w:tcPr>
          <w:p w14:paraId="4E9D4D60" w14:textId="65D4859C" w:rsidR="00D3139A" w:rsidRPr="00B47D63" w:rsidRDefault="009240C5">
            <w:pPr>
              <w:rPr>
                <w:color w:val="000000" w:themeColor="text1"/>
              </w:rPr>
            </w:pPr>
            <w:r w:rsidRPr="00B47D63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FFFFF"/>
              </w:rPr>
              <w:t>Ш</w:t>
            </w:r>
            <w:r w:rsidRPr="00B47D63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FFFFF"/>
              </w:rPr>
              <w:t>ум</w:t>
            </w:r>
            <w:r w:rsidR="00B47D63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FFFFF"/>
              </w:rPr>
              <w:t xml:space="preserve"> и вибрация</w:t>
            </w:r>
          </w:p>
        </w:tc>
        <w:tc>
          <w:tcPr>
            <w:tcW w:w="6202" w:type="dxa"/>
          </w:tcPr>
          <w:p w14:paraId="03AE4AB3" w14:textId="7E3AFACF" w:rsidR="00D3139A" w:rsidRPr="00B47D63" w:rsidRDefault="00B47D63" w:rsidP="00B47D63">
            <w:r w:rsidRPr="00B47D63">
              <w:t> Длительное воздействие интенсивного шума [выше 80 дБ(А)] на слух человека приводит к его частичной или полной потере. Уровень шума на рабочем месте математиков-программистов и операторов видеоматериалов не должен превышать 50дБА, а в залах обработки информации на вычислительных машинах - 65дБА.</w:t>
            </w:r>
          </w:p>
        </w:tc>
      </w:tr>
      <w:tr w:rsidR="00D3139A" w14:paraId="003B9364" w14:textId="77777777" w:rsidTr="00547805">
        <w:tc>
          <w:tcPr>
            <w:tcW w:w="675" w:type="dxa"/>
          </w:tcPr>
          <w:p w14:paraId="6E43023C" w14:textId="46352CB8" w:rsidR="00D3139A" w:rsidRDefault="00B47D63">
            <w:r>
              <w:t>5</w:t>
            </w:r>
          </w:p>
        </w:tc>
        <w:tc>
          <w:tcPr>
            <w:tcW w:w="2694" w:type="dxa"/>
          </w:tcPr>
          <w:p w14:paraId="1BB99AC8" w14:textId="10C23E64" w:rsidR="00D3139A" w:rsidRPr="00B47D63" w:rsidRDefault="009240C5">
            <w:pPr>
              <w:rPr>
                <w:color w:val="000000" w:themeColor="text1"/>
              </w:rPr>
            </w:pPr>
            <w:r w:rsidRPr="00B47D63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FFFFF"/>
              </w:rPr>
              <w:t>Э</w:t>
            </w:r>
            <w:r w:rsidRPr="00B47D63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FFFFF"/>
              </w:rPr>
              <w:t>лектромагнитное</w:t>
            </w:r>
            <w:r w:rsidRPr="00B47D63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B47D63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FFFFF"/>
              </w:rPr>
              <w:t xml:space="preserve">и </w:t>
            </w:r>
            <w:r w:rsidR="00B47D63" w:rsidRPr="00B47D63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FFFFF"/>
              </w:rPr>
              <w:t>ионизирующе</w:t>
            </w:r>
            <w:r w:rsidR="00B47D63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FFFFF"/>
              </w:rPr>
              <w:t xml:space="preserve">е </w:t>
            </w:r>
            <w:r w:rsidRPr="00B47D63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FFFFF"/>
              </w:rPr>
              <w:t>излучени</w:t>
            </w:r>
            <w:r w:rsidR="00B47D63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FFFFF"/>
              </w:rPr>
              <w:t>я</w:t>
            </w:r>
          </w:p>
        </w:tc>
        <w:tc>
          <w:tcPr>
            <w:tcW w:w="6202" w:type="dxa"/>
          </w:tcPr>
          <w:p w14:paraId="3A739C2F" w14:textId="76615374" w:rsidR="00D3139A" w:rsidRDefault="00B47D63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>Для снижения воздействия этих видов излучения рекомендуется применять мониторы с пониженным уровнем излучения (MPR-II, TCO-92, TCO-99), устанавливать защитные экраны, а также соблюдать регламентированные режимы труда и отдыха.</w:t>
            </w:r>
          </w:p>
        </w:tc>
      </w:tr>
      <w:tr w:rsidR="00D3139A" w14:paraId="32430BD4" w14:textId="77777777" w:rsidTr="00547805">
        <w:tc>
          <w:tcPr>
            <w:tcW w:w="675" w:type="dxa"/>
          </w:tcPr>
          <w:p w14:paraId="382D1F5F" w14:textId="0FAA12A5" w:rsidR="00D3139A" w:rsidRDefault="00B47D63">
            <w:r>
              <w:t>7</w:t>
            </w:r>
          </w:p>
        </w:tc>
        <w:tc>
          <w:tcPr>
            <w:tcW w:w="2694" w:type="dxa"/>
          </w:tcPr>
          <w:p w14:paraId="36194964" w14:textId="7EBA9FD2" w:rsidR="00D3139A" w:rsidRPr="00B47D63" w:rsidRDefault="009240C5">
            <w:pPr>
              <w:rPr>
                <w:color w:val="000000" w:themeColor="text1"/>
              </w:rPr>
            </w:pPr>
            <w:r w:rsidRPr="00B47D63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FFFFF"/>
              </w:rPr>
              <w:t>эргономические требования к рабочему месту</w:t>
            </w:r>
          </w:p>
        </w:tc>
        <w:tc>
          <w:tcPr>
            <w:tcW w:w="6202" w:type="dxa"/>
          </w:tcPr>
          <w:p w14:paraId="0AC9DD07" w14:textId="77777777" w:rsidR="00B47D63" w:rsidRPr="00B47D63" w:rsidRDefault="00B47D63" w:rsidP="00B47D63">
            <w:r w:rsidRPr="00B47D63">
              <w:t>Оптимальное размещение предметов труда и документации в зонах досягаемости:</w:t>
            </w:r>
          </w:p>
          <w:p w14:paraId="7D310472" w14:textId="77777777" w:rsidR="00B47D63" w:rsidRPr="00B47D63" w:rsidRDefault="00B47D63" w:rsidP="00B47D63">
            <w:r w:rsidRPr="00B47D63">
              <w:t>ДИСПЛЕЙ размещается в зоне а (в центре);</w:t>
            </w:r>
          </w:p>
          <w:p w14:paraId="61F1178B" w14:textId="642EEE74" w:rsidR="00B47D63" w:rsidRPr="00B47D63" w:rsidRDefault="00B47D63" w:rsidP="00B47D63">
            <w:r w:rsidRPr="00B47D63">
              <w:t xml:space="preserve">СИСТЕМНЫЙ БЛОК размещается в предусмотренной нише </w:t>
            </w:r>
            <w:proofErr w:type="spellStart"/>
            <w:proofErr w:type="gramStart"/>
            <w:r w:rsidRPr="00B47D63">
              <w:t>стола;КЛАВИАТУРА</w:t>
            </w:r>
            <w:proofErr w:type="spellEnd"/>
            <w:proofErr w:type="gramEnd"/>
            <w:r w:rsidRPr="00B47D63">
              <w:t xml:space="preserve"> - в зоне г/д;</w:t>
            </w:r>
          </w:p>
          <w:p w14:paraId="79211432" w14:textId="77777777" w:rsidR="00B47D63" w:rsidRPr="00B47D63" w:rsidRDefault="00B47D63" w:rsidP="00B47D63">
            <w:r w:rsidRPr="00B47D63">
              <w:t>«МЫШЬ» - в зоне в справа;</w:t>
            </w:r>
          </w:p>
          <w:p w14:paraId="0510C72A" w14:textId="77777777" w:rsidR="00B47D63" w:rsidRPr="00B47D63" w:rsidRDefault="00B47D63" w:rsidP="00B47D63">
            <w:r w:rsidRPr="00B47D63">
              <w:t>СКАНЕР в зоне а/б (слева);</w:t>
            </w:r>
          </w:p>
          <w:p w14:paraId="6FB5599E" w14:textId="77777777" w:rsidR="00B47D63" w:rsidRPr="00B47D63" w:rsidRDefault="00B47D63" w:rsidP="00B47D63">
            <w:r w:rsidRPr="00B47D63">
              <w:t>ПРИНТЕР находится в зоне а (справа);</w:t>
            </w:r>
          </w:p>
          <w:p w14:paraId="1B3BE78E" w14:textId="77777777" w:rsidR="00B47D63" w:rsidRPr="00B47D63" w:rsidRDefault="00B47D63" w:rsidP="00B47D63">
            <w:r w:rsidRPr="00B47D63">
              <w:t>ДОКУМЕНТАЦИЯ: необходимая при работе - в зоне легкой досягаемости ладони - в, а в выдвижных ящиках стола - литература, неиспользуемая постоянно.</w:t>
            </w:r>
          </w:p>
          <w:p w14:paraId="03215EEB" w14:textId="77777777" w:rsidR="00D3139A" w:rsidRPr="00B47D63" w:rsidRDefault="00D3139A" w:rsidP="00B47D63"/>
        </w:tc>
      </w:tr>
      <w:tr w:rsidR="00D3139A" w14:paraId="4B1E1709" w14:textId="77777777" w:rsidTr="00547805">
        <w:tc>
          <w:tcPr>
            <w:tcW w:w="675" w:type="dxa"/>
          </w:tcPr>
          <w:p w14:paraId="080785A6" w14:textId="6CF5B83C" w:rsidR="00D3139A" w:rsidRDefault="00B47D63">
            <w:r>
              <w:t>8</w:t>
            </w:r>
          </w:p>
        </w:tc>
        <w:tc>
          <w:tcPr>
            <w:tcW w:w="2694" w:type="dxa"/>
          </w:tcPr>
          <w:p w14:paraId="239EEEF9" w14:textId="7494981B" w:rsidR="00D3139A" w:rsidRPr="00B47D63" w:rsidRDefault="009240C5">
            <w:pPr>
              <w:rPr>
                <w:color w:val="000000" w:themeColor="text1"/>
              </w:rPr>
            </w:pPr>
            <w:r w:rsidRPr="00B47D63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FFFFF"/>
              </w:rPr>
              <w:t>режим труда</w:t>
            </w:r>
          </w:p>
        </w:tc>
        <w:tc>
          <w:tcPr>
            <w:tcW w:w="6202" w:type="dxa"/>
          </w:tcPr>
          <w:p w14:paraId="23428CBE" w14:textId="3204E163" w:rsidR="00D3139A" w:rsidRDefault="00B47D63"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t xml:space="preserve">Время перерывов дано при соблюдении указанных Санитарных правил и норм. При несоответствии фактических условий труда требованиям Санитарных </w:t>
            </w:r>
            <w:r>
              <w:rPr>
                <w:rFonts w:ascii="Helvetica" w:hAnsi="Helvetica" w:cs="Helvetica"/>
                <w:color w:val="000000"/>
                <w:sz w:val="23"/>
                <w:szCs w:val="23"/>
                <w:shd w:val="clear" w:color="auto" w:fill="FFFFFF"/>
              </w:rPr>
              <w:lastRenderedPageBreak/>
              <w:t>правил и норм время регламентированных перерывов следует увеличить на 30%.</w:t>
            </w:r>
          </w:p>
        </w:tc>
      </w:tr>
      <w:tr w:rsidR="00D3139A" w14:paraId="74F1EA86" w14:textId="77777777" w:rsidTr="00547805">
        <w:tc>
          <w:tcPr>
            <w:tcW w:w="675" w:type="dxa"/>
          </w:tcPr>
          <w:p w14:paraId="06D4FD93" w14:textId="509F7075" w:rsidR="00D3139A" w:rsidRDefault="00B47D63">
            <w:r>
              <w:lastRenderedPageBreak/>
              <w:t>9</w:t>
            </w:r>
          </w:p>
        </w:tc>
        <w:tc>
          <w:tcPr>
            <w:tcW w:w="2694" w:type="dxa"/>
          </w:tcPr>
          <w:p w14:paraId="3410957E" w14:textId="586170BE" w:rsidR="00D3139A" w:rsidRPr="00B47D63" w:rsidRDefault="009240C5">
            <w:pPr>
              <w:rPr>
                <w:color w:val="000000" w:themeColor="text1"/>
              </w:rPr>
            </w:pPr>
            <w:r w:rsidRPr="00B47D63"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FFFFF"/>
              </w:rPr>
              <w:t>расчет уровня шума</w:t>
            </w:r>
          </w:p>
        </w:tc>
        <w:tc>
          <w:tcPr>
            <w:tcW w:w="6202" w:type="dxa"/>
          </w:tcPr>
          <w:p w14:paraId="1093F724" w14:textId="18E15EF4" w:rsidR="00DD13CC" w:rsidRPr="00DD13CC" w:rsidRDefault="00DD13CC" w:rsidP="00DD13CC">
            <w:pPr>
              <w:pStyle w:val="2"/>
              <w:shd w:val="clear" w:color="auto" w:fill="FFFFFF"/>
              <w:spacing w:before="0" w:beforeAutospacing="0" w:after="375" w:afterAutospacing="0"/>
              <w:rPr>
                <w:rFonts w:ascii="Helvetica" w:hAnsi="Helvetica" w:cs="Helvetica"/>
                <w:b w:val="0"/>
                <w:bCs w:val="0"/>
                <w:color w:val="183741"/>
                <w:sz w:val="24"/>
                <w:szCs w:val="24"/>
              </w:rPr>
            </w:pPr>
            <w:r>
              <w:rPr>
                <w:rFonts w:ascii="Helvetica" w:hAnsi="Helvetica" w:cs="Helvetica"/>
                <w:b w:val="0"/>
                <w:bCs w:val="0"/>
                <w:color w:val="183741"/>
                <w:sz w:val="24"/>
                <w:szCs w:val="24"/>
              </w:rPr>
              <w:t>Уровень шума, возникающий от нескольких некогерентных источников, работающих одновременно, подсчитывается на основании принципа энергетического суммирования излучений отдельных источников</w:t>
            </w:r>
            <w:r>
              <w:rPr>
                <w:rFonts w:ascii="Helvetica" w:hAnsi="Helvetica" w:cs="Helvetica"/>
                <w:b w:val="0"/>
                <w:bCs w:val="0"/>
                <w:color w:val="183741"/>
                <w:sz w:val="24"/>
                <w:szCs w:val="24"/>
              </w:rPr>
              <w:t xml:space="preserve">. </w:t>
            </w:r>
            <w:r w:rsidR="00B47D63" w:rsidRPr="00E83F8F">
              <w:rPr>
                <w:rFonts w:ascii="Helvetica" w:hAnsi="Helvetica" w:cs="Helvetica"/>
                <w:b w:val="0"/>
                <w:bCs w:val="0"/>
                <w:sz w:val="22"/>
                <w:szCs w:val="22"/>
              </w:rPr>
              <w:t>Уровни звукового давления различных источников.</w:t>
            </w:r>
          </w:p>
          <w:tbl>
            <w:tblPr>
              <w:tblW w:w="0" w:type="auto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7"/>
              <w:gridCol w:w="2605"/>
            </w:tblGrid>
            <w:tr w:rsidR="00DD13CC" w:rsidRPr="00DD13CC" w14:paraId="6C6D9DA6" w14:textId="77777777" w:rsidTr="00547805">
              <w:tc>
                <w:tcPr>
                  <w:tcW w:w="2267" w:type="dxa"/>
                  <w:tcBorders>
                    <w:right w:val="single" w:sz="6" w:space="0" w:color="FFFFFF"/>
                  </w:tcBorders>
                  <w:shd w:val="clear" w:color="auto" w:fill="F8F8F8"/>
                  <w:tcMar>
                    <w:top w:w="135" w:type="dxa"/>
                    <w:left w:w="360" w:type="dxa"/>
                    <w:bottom w:w="75" w:type="dxa"/>
                    <w:right w:w="150" w:type="dxa"/>
                  </w:tcMar>
                  <w:hideMark/>
                </w:tcPr>
                <w:p w14:paraId="177CEB4F" w14:textId="77777777" w:rsidR="00DD13CC" w:rsidRPr="00DD13CC" w:rsidRDefault="00DD13CC" w:rsidP="00DD13CC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3"/>
                      <w:szCs w:val="23"/>
                      <w:lang w:eastAsia="ru-RU"/>
                    </w:rPr>
                  </w:pPr>
                  <w:r w:rsidRPr="00DD13CC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3"/>
                      <w:szCs w:val="23"/>
                      <w:lang w:eastAsia="ru-RU"/>
                    </w:rPr>
                    <w:t>Источник шума</w:t>
                  </w:r>
                </w:p>
              </w:tc>
              <w:tc>
                <w:tcPr>
                  <w:tcW w:w="2605" w:type="dxa"/>
                  <w:tcBorders>
                    <w:right w:val="single" w:sz="6" w:space="0" w:color="FFFFFF"/>
                  </w:tcBorders>
                  <w:shd w:val="clear" w:color="auto" w:fill="F8F8F8"/>
                  <w:tcMar>
                    <w:top w:w="135" w:type="dxa"/>
                    <w:left w:w="360" w:type="dxa"/>
                    <w:bottom w:w="75" w:type="dxa"/>
                    <w:right w:w="150" w:type="dxa"/>
                  </w:tcMar>
                  <w:hideMark/>
                </w:tcPr>
                <w:p w14:paraId="2E5BF743" w14:textId="77777777" w:rsidR="00DD13CC" w:rsidRPr="00DD13CC" w:rsidRDefault="00DD13CC" w:rsidP="00DD13CC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000000"/>
                      <w:sz w:val="23"/>
                      <w:szCs w:val="23"/>
                      <w:lang w:eastAsia="ru-RU"/>
                    </w:rPr>
                  </w:pPr>
                  <w:r w:rsidRPr="00DD13CC">
                    <w:rPr>
                      <w:rFonts w:ascii="Helvetica" w:eastAsia="Times New Roman" w:hAnsi="Helvetica" w:cs="Helvetica"/>
                      <w:b/>
                      <w:bCs/>
                      <w:color w:val="000000"/>
                      <w:sz w:val="23"/>
                      <w:szCs w:val="23"/>
                      <w:lang w:eastAsia="ru-RU"/>
                    </w:rPr>
                    <w:t>Уровень шума, дБ</w:t>
                  </w:r>
                </w:p>
              </w:tc>
            </w:tr>
            <w:tr w:rsidR="00DD13CC" w:rsidRPr="00DD13CC" w14:paraId="43DF7AAE" w14:textId="77777777" w:rsidTr="00547805">
              <w:tc>
                <w:tcPr>
                  <w:tcW w:w="2267" w:type="dxa"/>
                  <w:tcBorders>
                    <w:right w:val="single" w:sz="6" w:space="0" w:color="FFFFFF"/>
                  </w:tcBorders>
                  <w:shd w:val="clear" w:color="auto" w:fill="F2F2F2"/>
                  <w:tcMar>
                    <w:top w:w="135" w:type="dxa"/>
                    <w:left w:w="360" w:type="dxa"/>
                    <w:bottom w:w="75" w:type="dxa"/>
                    <w:right w:w="150" w:type="dxa"/>
                  </w:tcMar>
                  <w:hideMark/>
                </w:tcPr>
                <w:p w14:paraId="4445D799" w14:textId="77777777" w:rsidR="00DD13CC" w:rsidRPr="00DD13CC" w:rsidRDefault="00DD13CC" w:rsidP="00DD13CC">
                  <w:pPr>
                    <w:spacing w:after="285" w:line="240" w:lineRule="auto"/>
                    <w:rPr>
                      <w:rFonts w:ascii="Helvetica" w:eastAsia="Times New Roman" w:hAnsi="Helvetica" w:cs="Helvetica"/>
                      <w:color w:val="000000"/>
                      <w:sz w:val="23"/>
                      <w:szCs w:val="23"/>
                      <w:lang w:eastAsia="ru-RU"/>
                    </w:rPr>
                  </w:pPr>
                  <w:r w:rsidRPr="00DD13CC">
                    <w:rPr>
                      <w:rFonts w:ascii="Helvetica" w:eastAsia="Times New Roman" w:hAnsi="Helvetica" w:cs="Helvetica"/>
                      <w:color w:val="000000"/>
                      <w:sz w:val="23"/>
                      <w:szCs w:val="23"/>
                      <w:lang w:eastAsia="ru-RU"/>
                    </w:rPr>
                    <w:t>Жесткий диск</w:t>
                  </w:r>
                </w:p>
              </w:tc>
              <w:tc>
                <w:tcPr>
                  <w:tcW w:w="2605" w:type="dxa"/>
                  <w:tcBorders>
                    <w:right w:val="single" w:sz="6" w:space="0" w:color="FFFFFF"/>
                  </w:tcBorders>
                  <w:shd w:val="clear" w:color="auto" w:fill="F2F2F2"/>
                  <w:tcMar>
                    <w:top w:w="135" w:type="dxa"/>
                    <w:left w:w="360" w:type="dxa"/>
                    <w:bottom w:w="75" w:type="dxa"/>
                    <w:right w:w="150" w:type="dxa"/>
                  </w:tcMar>
                  <w:hideMark/>
                </w:tcPr>
                <w:p w14:paraId="466CF0CF" w14:textId="77777777" w:rsidR="00DD13CC" w:rsidRPr="00DD13CC" w:rsidRDefault="00DD13CC" w:rsidP="00DD13CC">
                  <w:pPr>
                    <w:spacing w:after="285" w:line="240" w:lineRule="auto"/>
                    <w:rPr>
                      <w:rFonts w:ascii="Helvetica" w:eastAsia="Times New Roman" w:hAnsi="Helvetica" w:cs="Helvetica"/>
                      <w:color w:val="000000"/>
                      <w:sz w:val="23"/>
                      <w:szCs w:val="23"/>
                      <w:lang w:eastAsia="ru-RU"/>
                    </w:rPr>
                  </w:pPr>
                  <w:r w:rsidRPr="00DD13CC">
                    <w:rPr>
                      <w:rFonts w:ascii="Helvetica" w:eastAsia="Times New Roman" w:hAnsi="Helvetica" w:cs="Helvetica"/>
                      <w:color w:val="000000"/>
                      <w:sz w:val="23"/>
                      <w:szCs w:val="23"/>
                      <w:lang w:eastAsia="ru-RU"/>
                    </w:rPr>
                    <w:t>40</w:t>
                  </w:r>
                </w:p>
              </w:tc>
            </w:tr>
            <w:tr w:rsidR="00DD13CC" w:rsidRPr="00DD13CC" w14:paraId="061BE253" w14:textId="77777777" w:rsidTr="00547805">
              <w:tc>
                <w:tcPr>
                  <w:tcW w:w="2267" w:type="dxa"/>
                  <w:tcBorders>
                    <w:right w:val="single" w:sz="6" w:space="0" w:color="FFFFFF"/>
                  </w:tcBorders>
                  <w:shd w:val="clear" w:color="auto" w:fill="F8F8F8"/>
                  <w:tcMar>
                    <w:top w:w="135" w:type="dxa"/>
                    <w:left w:w="360" w:type="dxa"/>
                    <w:bottom w:w="75" w:type="dxa"/>
                    <w:right w:w="150" w:type="dxa"/>
                  </w:tcMar>
                  <w:hideMark/>
                </w:tcPr>
                <w:p w14:paraId="6F722EA3" w14:textId="77777777" w:rsidR="00DD13CC" w:rsidRPr="00DD13CC" w:rsidRDefault="00DD13CC" w:rsidP="00DD13CC">
                  <w:pPr>
                    <w:spacing w:after="285" w:line="240" w:lineRule="auto"/>
                    <w:rPr>
                      <w:rFonts w:ascii="Helvetica" w:eastAsia="Times New Roman" w:hAnsi="Helvetica" w:cs="Helvetica"/>
                      <w:color w:val="000000"/>
                      <w:sz w:val="23"/>
                      <w:szCs w:val="23"/>
                      <w:lang w:eastAsia="ru-RU"/>
                    </w:rPr>
                  </w:pPr>
                  <w:r w:rsidRPr="00DD13CC">
                    <w:rPr>
                      <w:rFonts w:ascii="Helvetica" w:eastAsia="Times New Roman" w:hAnsi="Helvetica" w:cs="Helvetica"/>
                      <w:color w:val="000000"/>
                      <w:sz w:val="23"/>
                      <w:szCs w:val="23"/>
                      <w:lang w:eastAsia="ru-RU"/>
                    </w:rPr>
                    <w:t>Вентилятор</w:t>
                  </w:r>
                </w:p>
              </w:tc>
              <w:tc>
                <w:tcPr>
                  <w:tcW w:w="2605" w:type="dxa"/>
                  <w:tcBorders>
                    <w:right w:val="single" w:sz="6" w:space="0" w:color="FFFFFF"/>
                  </w:tcBorders>
                  <w:shd w:val="clear" w:color="auto" w:fill="F8F8F8"/>
                  <w:tcMar>
                    <w:top w:w="135" w:type="dxa"/>
                    <w:left w:w="360" w:type="dxa"/>
                    <w:bottom w:w="75" w:type="dxa"/>
                    <w:right w:w="150" w:type="dxa"/>
                  </w:tcMar>
                  <w:hideMark/>
                </w:tcPr>
                <w:p w14:paraId="0A7423B8" w14:textId="77777777" w:rsidR="00DD13CC" w:rsidRPr="00DD13CC" w:rsidRDefault="00DD13CC" w:rsidP="00DD13CC">
                  <w:pPr>
                    <w:spacing w:after="285" w:line="240" w:lineRule="auto"/>
                    <w:rPr>
                      <w:rFonts w:ascii="Helvetica" w:eastAsia="Times New Roman" w:hAnsi="Helvetica" w:cs="Helvetica"/>
                      <w:color w:val="000000"/>
                      <w:sz w:val="23"/>
                      <w:szCs w:val="23"/>
                      <w:lang w:eastAsia="ru-RU"/>
                    </w:rPr>
                  </w:pPr>
                  <w:r w:rsidRPr="00DD13CC">
                    <w:rPr>
                      <w:rFonts w:ascii="Helvetica" w:eastAsia="Times New Roman" w:hAnsi="Helvetica" w:cs="Helvetica"/>
                      <w:color w:val="000000"/>
                      <w:sz w:val="23"/>
                      <w:szCs w:val="23"/>
                      <w:lang w:eastAsia="ru-RU"/>
                    </w:rPr>
                    <w:t>45</w:t>
                  </w:r>
                </w:p>
              </w:tc>
            </w:tr>
            <w:tr w:rsidR="00DD13CC" w:rsidRPr="00DD13CC" w14:paraId="6D41B137" w14:textId="77777777" w:rsidTr="00547805">
              <w:tc>
                <w:tcPr>
                  <w:tcW w:w="2267" w:type="dxa"/>
                  <w:tcBorders>
                    <w:right w:val="single" w:sz="6" w:space="0" w:color="FFFFFF"/>
                  </w:tcBorders>
                  <w:shd w:val="clear" w:color="auto" w:fill="F2F2F2"/>
                  <w:tcMar>
                    <w:top w:w="135" w:type="dxa"/>
                    <w:left w:w="360" w:type="dxa"/>
                    <w:bottom w:w="75" w:type="dxa"/>
                    <w:right w:w="150" w:type="dxa"/>
                  </w:tcMar>
                  <w:hideMark/>
                </w:tcPr>
                <w:p w14:paraId="76C62F64" w14:textId="77777777" w:rsidR="00DD13CC" w:rsidRPr="00DD13CC" w:rsidRDefault="00DD13CC" w:rsidP="00DD13CC">
                  <w:pPr>
                    <w:spacing w:after="285" w:line="240" w:lineRule="auto"/>
                    <w:rPr>
                      <w:rFonts w:ascii="Helvetica" w:eastAsia="Times New Roman" w:hAnsi="Helvetica" w:cs="Helvetica"/>
                      <w:color w:val="000000"/>
                      <w:sz w:val="23"/>
                      <w:szCs w:val="23"/>
                      <w:lang w:eastAsia="ru-RU"/>
                    </w:rPr>
                  </w:pPr>
                  <w:r w:rsidRPr="00DD13CC">
                    <w:rPr>
                      <w:rFonts w:ascii="Helvetica" w:eastAsia="Times New Roman" w:hAnsi="Helvetica" w:cs="Helvetica"/>
                      <w:color w:val="000000"/>
                      <w:sz w:val="23"/>
                      <w:szCs w:val="23"/>
                      <w:lang w:eastAsia="ru-RU"/>
                    </w:rPr>
                    <w:t>Монитор</w:t>
                  </w:r>
                </w:p>
              </w:tc>
              <w:tc>
                <w:tcPr>
                  <w:tcW w:w="2605" w:type="dxa"/>
                  <w:tcBorders>
                    <w:right w:val="single" w:sz="6" w:space="0" w:color="FFFFFF"/>
                  </w:tcBorders>
                  <w:shd w:val="clear" w:color="auto" w:fill="F2F2F2"/>
                  <w:tcMar>
                    <w:top w:w="135" w:type="dxa"/>
                    <w:left w:w="360" w:type="dxa"/>
                    <w:bottom w:w="75" w:type="dxa"/>
                    <w:right w:w="150" w:type="dxa"/>
                  </w:tcMar>
                  <w:hideMark/>
                </w:tcPr>
                <w:p w14:paraId="2C14F3BC" w14:textId="77777777" w:rsidR="00DD13CC" w:rsidRPr="00DD13CC" w:rsidRDefault="00DD13CC" w:rsidP="00DD13CC">
                  <w:pPr>
                    <w:spacing w:after="285" w:line="240" w:lineRule="auto"/>
                    <w:rPr>
                      <w:rFonts w:ascii="Helvetica" w:eastAsia="Times New Roman" w:hAnsi="Helvetica" w:cs="Helvetica"/>
                      <w:color w:val="000000"/>
                      <w:sz w:val="23"/>
                      <w:szCs w:val="23"/>
                      <w:lang w:eastAsia="ru-RU"/>
                    </w:rPr>
                  </w:pPr>
                  <w:r w:rsidRPr="00DD13CC">
                    <w:rPr>
                      <w:rFonts w:ascii="Helvetica" w:eastAsia="Times New Roman" w:hAnsi="Helvetica" w:cs="Helvetica"/>
                      <w:color w:val="000000"/>
                      <w:sz w:val="23"/>
                      <w:szCs w:val="23"/>
                      <w:lang w:eastAsia="ru-RU"/>
                    </w:rPr>
                    <w:t>17</w:t>
                  </w:r>
                </w:p>
              </w:tc>
            </w:tr>
            <w:tr w:rsidR="00DD13CC" w:rsidRPr="00DD13CC" w14:paraId="175BFD1E" w14:textId="77777777" w:rsidTr="00547805">
              <w:tc>
                <w:tcPr>
                  <w:tcW w:w="2267" w:type="dxa"/>
                  <w:tcBorders>
                    <w:right w:val="single" w:sz="6" w:space="0" w:color="FFFFFF"/>
                  </w:tcBorders>
                  <w:shd w:val="clear" w:color="auto" w:fill="F8F8F8"/>
                  <w:tcMar>
                    <w:top w:w="135" w:type="dxa"/>
                    <w:left w:w="360" w:type="dxa"/>
                    <w:bottom w:w="75" w:type="dxa"/>
                    <w:right w:w="150" w:type="dxa"/>
                  </w:tcMar>
                  <w:hideMark/>
                </w:tcPr>
                <w:p w14:paraId="0C388E09" w14:textId="77777777" w:rsidR="00DD13CC" w:rsidRPr="00DD13CC" w:rsidRDefault="00DD13CC" w:rsidP="00DD13CC">
                  <w:pPr>
                    <w:spacing w:after="285" w:line="240" w:lineRule="auto"/>
                    <w:rPr>
                      <w:rFonts w:ascii="Helvetica" w:eastAsia="Times New Roman" w:hAnsi="Helvetica" w:cs="Helvetica"/>
                      <w:color w:val="000000"/>
                      <w:sz w:val="23"/>
                      <w:szCs w:val="23"/>
                      <w:lang w:eastAsia="ru-RU"/>
                    </w:rPr>
                  </w:pPr>
                  <w:r w:rsidRPr="00DD13CC">
                    <w:rPr>
                      <w:rFonts w:ascii="Helvetica" w:eastAsia="Times New Roman" w:hAnsi="Helvetica" w:cs="Helvetica"/>
                      <w:color w:val="000000"/>
                      <w:sz w:val="23"/>
                      <w:szCs w:val="23"/>
                      <w:lang w:eastAsia="ru-RU"/>
                    </w:rPr>
                    <w:t>Клавиатура</w:t>
                  </w:r>
                </w:p>
              </w:tc>
              <w:tc>
                <w:tcPr>
                  <w:tcW w:w="2605" w:type="dxa"/>
                  <w:tcBorders>
                    <w:right w:val="single" w:sz="6" w:space="0" w:color="FFFFFF"/>
                  </w:tcBorders>
                  <w:shd w:val="clear" w:color="auto" w:fill="F8F8F8"/>
                  <w:tcMar>
                    <w:top w:w="135" w:type="dxa"/>
                    <w:left w:w="360" w:type="dxa"/>
                    <w:bottom w:w="75" w:type="dxa"/>
                    <w:right w:w="150" w:type="dxa"/>
                  </w:tcMar>
                  <w:hideMark/>
                </w:tcPr>
                <w:p w14:paraId="70AD96E7" w14:textId="77777777" w:rsidR="00DD13CC" w:rsidRPr="00DD13CC" w:rsidRDefault="00DD13CC" w:rsidP="00DD13CC">
                  <w:pPr>
                    <w:spacing w:after="285" w:line="240" w:lineRule="auto"/>
                    <w:rPr>
                      <w:rFonts w:ascii="Helvetica" w:eastAsia="Times New Roman" w:hAnsi="Helvetica" w:cs="Helvetica"/>
                      <w:color w:val="000000"/>
                      <w:sz w:val="23"/>
                      <w:szCs w:val="23"/>
                      <w:lang w:eastAsia="ru-RU"/>
                    </w:rPr>
                  </w:pPr>
                  <w:r w:rsidRPr="00DD13CC">
                    <w:rPr>
                      <w:rFonts w:ascii="Helvetica" w:eastAsia="Times New Roman" w:hAnsi="Helvetica" w:cs="Helvetica"/>
                      <w:color w:val="000000"/>
                      <w:sz w:val="23"/>
                      <w:szCs w:val="23"/>
                      <w:lang w:eastAsia="ru-RU"/>
                    </w:rPr>
                    <w:t>10</w:t>
                  </w:r>
                </w:p>
              </w:tc>
            </w:tr>
            <w:tr w:rsidR="00DD13CC" w:rsidRPr="00DD13CC" w14:paraId="0B6F8480" w14:textId="77777777" w:rsidTr="00547805">
              <w:tc>
                <w:tcPr>
                  <w:tcW w:w="2267" w:type="dxa"/>
                  <w:tcBorders>
                    <w:right w:val="single" w:sz="6" w:space="0" w:color="FFFFFF"/>
                  </w:tcBorders>
                  <w:shd w:val="clear" w:color="auto" w:fill="F2F2F2"/>
                  <w:tcMar>
                    <w:top w:w="135" w:type="dxa"/>
                    <w:left w:w="360" w:type="dxa"/>
                    <w:bottom w:w="75" w:type="dxa"/>
                    <w:right w:w="150" w:type="dxa"/>
                  </w:tcMar>
                  <w:hideMark/>
                </w:tcPr>
                <w:p w14:paraId="3F0A214B" w14:textId="77777777" w:rsidR="00DD13CC" w:rsidRPr="00DD13CC" w:rsidRDefault="00DD13CC" w:rsidP="00DD13CC">
                  <w:pPr>
                    <w:spacing w:after="285" w:line="240" w:lineRule="auto"/>
                    <w:rPr>
                      <w:rFonts w:ascii="Helvetica" w:eastAsia="Times New Roman" w:hAnsi="Helvetica" w:cs="Helvetica"/>
                      <w:color w:val="000000"/>
                      <w:sz w:val="23"/>
                      <w:szCs w:val="23"/>
                      <w:lang w:eastAsia="ru-RU"/>
                    </w:rPr>
                  </w:pPr>
                  <w:r w:rsidRPr="00DD13CC">
                    <w:rPr>
                      <w:rFonts w:ascii="Helvetica" w:eastAsia="Times New Roman" w:hAnsi="Helvetica" w:cs="Helvetica"/>
                      <w:color w:val="000000"/>
                      <w:sz w:val="23"/>
                      <w:szCs w:val="23"/>
                      <w:lang w:eastAsia="ru-RU"/>
                    </w:rPr>
                    <w:t>Принтер</w:t>
                  </w:r>
                </w:p>
              </w:tc>
              <w:tc>
                <w:tcPr>
                  <w:tcW w:w="2605" w:type="dxa"/>
                  <w:tcBorders>
                    <w:right w:val="single" w:sz="6" w:space="0" w:color="FFFFFF"/>
                  </w:tcBorders>
                  <w:shd w:val="clear" w:color="auto" w:fill="F2F2F2"/>
                  <w:tcMar>
                    <w:top w:w="135" w:type="dxa"/>
                    <w:left w:w="360" w:type="dxa"/>
                    <w:bottom w:w="75" w:type="dxa"/>
                    <w:right w:w="150" w:type="dxa"/>
                  </w:tcMar>
                  <w:hideMark/>
                </w:tcPr>
                <w:p w14:paraId="02AC1956" w14:textId="77777777" w:rsidR="00DD13CC" w:rsidRPr="00DD13CC" w:rsidRDefault="00DD13CC" w:rsidP="00DD13CC">
                  <w:pPr>
                    <w:spacing w:after="285" w:line="240" w:lineRule="auto"/>
                    <w:rPr>
                      <w:rFonts w:ascii="Helvetica" w:eastAsia="Times New Roman" w:hAnsi="Helvetica" w:cs="Helvetica"/>
                      <w:color w:val="000000"/>
                      <w:sz w:val="23"/>
                      <w:szCs w:val="23"/>
                      <w:lang w:eastAsia="ru-RU"/>
                    </w:rPr>
                  </w:pPr>
                  <w:r w:rsidRPr="00DD13CC">
                    <w:rPr>
                      <w:rFonts w:ascii="Helvetica" w:eastAsia="Times New Roman" w:hAnsi="Helvetica" w:cs="Helvetica"/>
                      <w:color w:val="000000"/>
                      <w:sz w:val="23"/>
                      <w:szCs w:val="23"/>
                      <w:lang w:eastAsia="ru-RU"/>
                    </w:rPr>
                    <w:t>45</w:t>
                  </w:r>
                </w:p>
              </w:tc>
            </w:tr>
            <w:tr w:rsidR="00DD13CC" w:rsidRPr="00DD13CC" w14:paraId="52919788" w14:textId="77777777" w:rsidTr="00547805">
              <w:tc>
                <w:tcPr>
                  <w:tcW w:w="2267" w:type="dxa"/>
                  <w:tcBorders>
                    <w:right w:val="single" w:sz="6" w:space="0" w:color="FFFFFF"/>
                  </w:tcBorders>
                  <w:shd w:val="clear" w:color="auto" w:fill="F8F8F8"/>
                  <w:tcMar>
                    <w:top w:w="135" w:type="dxa"/>
                    <w:left w:w="360" w:type="dxa"/>
                    <w:bottom w:w="75" w:type="dxa"/>
                    <w:right w:w="150" w:type="dxa"/>
                  </w:tcMar>
                  <w:hideMark/>
                </w:tcPr>
                <w:p w14:paraId="503AD53A" w14:textId="77777777" w:rsidR="00DD13CC" w:rsidRPr="00DD13CC" w:rsidRDefault="00DD13CC" w:rsidP="00DD13CC">
                  <w:pPr>
                    <w:spacing w:after="285" w:line="240" w:lineRule="auto"/>
                    <w:rPr>
                      <w:rFonts w:ascii="Helvetica" w:eastAsia="Times New Roman" w:hAnsi="Helvetica" w:cs="Helvetica"/>
                      <w:color w:val="000000"/>
                      <w:sz w:val="23"/>
                      <w:szCs w:val="23"/>
                      <w:lang w:eastAsia="ru-RU"/>
                    </w:rPr>
                  </w:pPr>
                  <w:r w:rsidRPr="00DD13CC">
                    <w:rPr>
                      <w:rFonts w:ascii="Helvetica" w:eastAsia="Times New Roman" w:hAnsi="Helvetica" w:cs="Helvetica"/>
                      <w:color w:val="000000"/>
                      <w:sz w:val="23"/>
                      <w:szCs w:val="23"/>
                      <w:lang w:eastAsia="ru-RU"/>
                    </w:rPr>
                    <w:t>Сканер</w:t>
                  </w:r>
                </w:p>
              </w:tc>
              <w:tc>
                <w:tcPr>
                  <w:tcW w:w="2605" w:type="dxa"/>
                  <w:tcBorders>
                    <w:right w:val="single" w:sz="6" w:space="0" w:color="FFFFFF"/>
                  </w:tcBorders>
                  <w:shd w:val="clear" w:color="auto" w:fill="F8F8F8"/>
                  <w:tcMar>
                    <w:top w:w="135" w:type="dxa"/>
                    <w:left w:w="360" w:type="dxa"/>
                    <w:bottom w:w="75" w:type="dxa"/>
                    <w:right w:w="150" w:type="dxa"/>
                  </w:tcMar>
                  <w:hideMark/>
                </w:tcPr>
                <w:p w14:paraId="7C12EAC8" w14:textId="77777777" w:rsidR="00DD13CC" w:rsidRPr="00DD13CC" w:rsidRDefault="00DD13CC" w:rsidP="00DD13CC">
                  <w:pPr>
                    <w:spacing w:after="285" w:line="240" w:lineRule="auto"/>
                    <w:rPr>
                      <w:rFonts w:ascii="Helvetica" w:eastAsia="Times New Roman" w:hAnsi="Helvetica" w:cs="Helvetica"/>
                      <w:color w:val="000000"/>
                      <w:sz w:val="23"/>
                      <w:szCs w:val="23"/>
                      <w:lang w:eastAsia="ru-RU"/>
                    </w:rPr>
                  </w:pPr>
                  <w:r w:rsidRPr="00DD13CC">
                    <w:rPr>
                      <w:rFonts w:ascii="Helvetica" w:eastAsia="Times New Roman" w:hAnsi="Helvetica" w:cs="Helvetica"/>
                      <w:color w:val="000000"/>
                      <w:sz w:val="23"/>
                      <w:szCs w:val="23"/>
                      <w:lang w:eastAsia="ru-RU"/>
                    </w:rPr>
                    <w:t>42</w:t>
                  </w:r>
                </w:p>
              </w:tc>
            </w:tr>
          </w:tbl>
          <w:p w14:paraId="7B43D93D" w14:textId="0630936A" w:rsidR="00B47D63" w:rsidRDefault="00B47D63"/>
        </w:tc>
      </w:tr>
      <w:tr w:rsidR="00B47D63" w14:paraId="5158A9F2" w14:textId="77777777" w:rsidTr="00547805">
        <w:tc>
          <w:tcPr>
            <w:tcW w:w="675" w:type="dxa"/>
          </w:tcPr>
          <w:p w14:paraId="5349A3D9" w14:textId="77777777" w:rsidR="00B47D63" w:rsidRDefault="00B47D63"/>
        </w:tc>
        <w:tc>
          <w:tcPr>
            <w:tcW w:w="2694" w:type="dxa"/>
          </w:tcPr>
          <w:p w14:paraId="13E0076E" w14:textId="77777777" w:rsidR="00B47D63" w:rsidRPr="00547805" w:rsidRDefault="00B47D63" w:rsidP="00547805">
            <w:r>
              <w:t> </w:t>
            </w:r>
            <w:r w:rsidRPr="00547805">
              <w:t>Расчет освещенности</w:t>
            </w:r>
          </w:p>
          <w:p w14:paraId="4B1FA987" w14:textId="77777777" w:rsidR="00B47D63" w:rsidRPr="00B47D63" w:rsidRDefault="00B47D63">
            <w:pPr>
              <w:rPr>
                <w:rFonts w:ascii="Open Sans" w:hAnsi="Open Sans" w:cs="Open Sans"/>
                <w:color w:val="000000" w:themeColor="text1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6202" w:type="dxa"/>
          </w:tcPr>
          <w:p w14:paraId="012EF500" w14:textId="0179A6B1" w:rsidR="00B47D63" w:rsidRDefault="00B47D63" w:rsidP="00B47D63">
            <w:pPr>
              <w:pStyle w:val="2"/>
              <w:spacing w:before="0" w:beforeAutospacing="0" w:after="375" w:afterAutospacing="0"/>
              <w:outlineLvl w:val="1"/>
              <w:rPr>
                <w:rFonts w:ascii="Helvetica" w:hAnsi="Helvetica" w:cs="Helvetica"/>
                <w:b w:val="0"/>
                <w:bCs w:val="0"/>
                <w:color w:val="183741"/>
                <w:sz w:val="24"/>
                <w:szCs w:val="24"/>
                <w:shd w:val="clear" w:color="auto" w:fill="FFFFFF"/>
              </w:rPr>
            </w:pPr>
            <w:r>
              <w:rPr>
                <w:rFonts w:ascii="Helvetica" w:hAnsi="Helvetica" w:cs="Helvetica"/>
                <w:b w:val="0"/>
                <w:bCs w:val="0"/>
                <w:color w:val="183741"/>
                <w:sz w:val="24"/>
                <w:szCs w:val="24"/>
                <w:shd w:val="clear" w:color="auto" w:fill="FFFFFF"/>
              </w:rPr>
              <w:t xml:space="preserve">Расчет освещенности рабочего места сводится к выбору системы освещения, определению необходимого числа светильников, их типа и размещения. Исходя из этого, рассчитаем параметры искусственного </w:t>
            </w:r>
            <w:proofErr w:type="spellStart"/>
            <w:proofErr w:type="gramStart"/>
            <w:r>
              <w:rPr>
                <w:rFonts w:ascii="Helvetica" w:hAnsi="Helvetica" w:cs="Helvetica"/>
                <w:b w:val="0"/>
                <w:bCs w:val="0"/>
                <w:color w:val="183741"/>
                <w:sz w:val="24"/>
                <w:szCs w:val="24"/>
                <w:shd w:val="clear" w:color="auto" w:fill="FFFFFF"/>
              </w:rPr>
              <w:t>освещения.Обычно</w:t>
            </w:r>
            <w:proofErr w:type="spellEnd"/>
            <w:proofErr w:type="gramEnd"/>
            <w:r>
              <w:rPr>
                <w:rFonts w:ascii="Helvetica" w:hAnsi="Helvetica" w:cs="Helvetica"/>
                <w:b w:val="0"/>
                <w:bCs w:val="0"/>
                <w:color w:val="183741"/>
                <w:sz w:val="24"/>
                <w:szCs w:val="24"/>
                <w:shd w:val="clear" w:color="auto" w:fill="FFFFFF"/>
              </w:rPr>
              <w:t xml:space="preserve"> искусственное освещение выполняется посредством электрических источников света двух видов: ламп накаливания и люминесцентных ламп. Будем использовать люминесцентные лампы</w:t>
            </w:r>
          </w:p>
          <w:p w14:paraId="18B776E3" w14:textId="77777777" w:rsidR="00B47D63" w:rsidRDefault="00B47D63"/>
        </w:tc>
      </w:tr>
    </w:tbl>
    <w:p w14:paraId="312BF240" w14:textId="1ED8B018" w:rsidR="00B5438B" w:rsidRDefault="00B5438B"/>
    <w:p w14:paraId="79E85AC3" w14:textId="77777777" w:rsidR="00B47D63" w:rsidRDefault="00B47D63"/>
    <w:sectPr w:rsidR="00B47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139A"/>
    <w:rsid w:val="000C7942"/>
    <w:rsid w:val="00547805"/>
    <w:rsid w:val="009240C5"/>
    <w:rsid w:val="00B47D63"/>
    <w:rsid w:val="00B5438B"/>
    <w:rsid w:val="00D3139A"/>
    <w:rsid w:val="00DD13CC"/>
    <w:rsid w:val="00E8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2C932"/>
  <w15:chartTrackingRefBased/>
  <w15:docId w15:val="{94BAF5F2-D4B3-46BB-9369-D107B166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313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47D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D31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3139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47D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DD1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Pr</dc:creator>
  <cp:keywords/>
  <dc:description/>
  <cp:lastModifiedBy>Yan Pr</cp:lastModifiedBy>
  <cp:revision>6</cp:revision>
  <dcterms:created xsi:type="dcterms:W3CDTF">2022-02-18T00:26:00Z</dcterms:created>
  <dcterms:modified xsi:type="dcterms:W3CDTF">2022-02-18T01:13:00Z</dcterms:modified>
</cp:coreProperties>
</file>