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</w:pPr>
      <w:r>
        <w:rPr>
          <w:rFonts w:ascii="Calibri" w:hAnsi="Calibri"/>
          <w:b/>
          <w:i w:val="0"/>
          <w:color w:val="2E74B5"/>
          <w:sz w:val="20"/>
        </w:rPr>
        <w:t>MEMORANDO TÉCNICO</w:t>
      </w:r>
    </w:p>
    <w:p>
      <w:pPr>
        <w:spacing w:after="120"/>
      </w:pPr>
      <w:r>
        <w:rPr>
          <w:rFonts w:ascii="Calibri" w:hAnsi="Calibri"/>
          <w:b/>
          <w:i w:val="0"/>
          <w:color w:val="0B2545"/>
          <w:sz w:val="48"/>
        </w:rPr>
        <w:t>Contexto da Foundation e próximos passos</w:t>
      </w:r>
    </w:p>
    <w:p>
      <w:pPr>
        <w:spacing w:after="280"/>
      </w:pPr>
      <w:r>
        <w:rPr>
          <w:rFonts w:ascii="Calibri" w:hAnsi="Calibri"/>
          <w:b w:val="0"/>
          <w:i w:val="0"/>
          <w:color w:val="59636E"/>
          <w:sz w:val="25"/>
        </w:rPr>
        <w:t>Juridico-IA | Consolidação da implementação, auditorias independentes e reauditoria com Docker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Data de consolidação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27 de agosto de 2026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Baseline auditada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HEAD 6dc0a25 + working tree dirty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Estado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Foundation aprovada com risco residual de dependências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Escopo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Sprint 0 / fundação técnica; Sprint 1 ainda não iniciada</w:t>
            </w:r>
          </w:p>
        </w:tc>
      </w:tr>
    </w:tbl>
    <w:p>
      <w:pPr>
        <w:pStyle w:val="ExecutiveCallout"/>
      </w:pPr>
      <w:r>
        <w:rPr>
          <w:rFonts w:ascii="Calibri" w:hAnsi="Calibri"/>
          <w:b/>
          <w:i w:val="0"/>
          <w:color w:val="0B2545"/>
          <w:sz w:val="22"/>
        </w:rPr>
        <w:t xml:space="preserve">Conclusão executiva: </w:t>
      </w:r>
      <w:r>
        <w:rPr>
          <w:rFonts w:ascii="Calibri" w:hAnsi="Calibri"/>
          <w:b w:val="0"/>
          <w:i w:val="0"/>
          <w:color w:val="0B2545"/>
          <w:sz w:val="22"/>
        </w:rPr>
        <w:t>a fundação multi-tenant foi revalidada com 30/30 critérios atendidos. As suítes PostgreSQL-backed passaram integralmente após o Docker Engine ficar acessível. O trabalho pode avançar, desde que o risco de dependências seja tratado de forma explícita e que os gates da Foundation permaneçam obrigatórios.</w:t>
      </w:r>
    </w:p>
    <w:p>
      <w:pPr>
        <w:pStyle w:val="Heading1"/>
      </w:pPr>
      <w:r>
        <w:t>1. Por que este trabalho foi feito</w:t>
      </w:r>
    </w:p>
    <w:p>
      <w:r>
        <w:t>A Foundation corresponde à base técnica do Juridico-IA antes dos módulos jurídicos de negócio. O objetivo foi comprovar que identidade, multi-tenancy, autorização, auditoria, idempotência, outbox, migrações e controles de segurança funcionam de modo reproduzível, sem uso de banco compartilhado, dados reais ou provedores externos de IA.</w:t>
      </w:r>
    </w:p>
    <w:p>
      <w:pPr>
        <w:pStyle w:val="ListBullet"/>
      </w:pPr>
      <w:r>
        <w:t>Backend como fonte da verdade; tenant derivado da sessão, nunca do body, query ou header.</w:t>
      </w:r>
    </w:p>
    <w:p>
      <w:pPr>
        <w:pStyle w:val="ListBullet"/>
      </w:pPr>
      <w:r>
        <w:t>PostgreSQL 16 descartável para testes, com RLS e papéis de runtime separados.</w:t>
      </w:r>
    </w:p>
    <w:p>
      <w:pPr>
        <w:pStyle w:val="ListBullet"/>
      </w:pPr>
      <w:r>
        <w:t>Mudanças de schema somente por migration; synchronize: true permanece proibido.</w:t>
      </w:r>
    </w:p>
    <w:p>
      <w:pPr>
        <w:pStyle w:val="ListBullet"/>
      </w:pPr>
      <w:r>
        <w:t>Mutações relevantes com trilha de auditoria sanitizada e imutável para a role de aplicação.</w:t>
      </w:r>
    </w:p>
    <w:p>
      <w:pPr>
        <w:pStyle w:val="ListBullet"/>
      </w:pPr>
      <w:r>
        <w:t>Sem commit, push, deploy ou início automático da Sprint 1 durante a auditoria.</w:t>
      </w:r>
    </w:p>
    <w:p>
      <w:pPr>
        <w:pStyle w:val="Heading1"/>
      </w:pPr>
      <w:r>
        <w:t>2. O que foi implementado e comprovado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Área</w:t>
            </w:r>
          </w:p>
        </w:tc>
        <w:tc>
          <w:tcPr>
            <w:tcW w:type="dxa" w:w="6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Evidência consolidada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Identidade e sessão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Login no backend, cookies e resolução de identidade no limite HTTP; prevenção de spoofing de tenant.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Multi-tenancy e RLS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Isolamento entre escritórios, leituras e escritas cross-tenant bloqueadas pelo banco.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Autorização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Capacidades resolvidas no backend com negações auditáveis.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Auditoria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Eventos com ator, tenant, ação e correlação; sanitização recursiva; UPDATE/DELETE negados à role runtime.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Idempotência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Replay seguro e concorrência de dez requisições produzindo um único auditId e um único evento de outbox.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Outbox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Persistência atômica, consumo por workers concorrentes, retry, lease e transição para falha permanente.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Banco e migrations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Bootstrap reproduzível, roles provisionadas e schema criado por migration versionada.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Segurança de repositório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Secret scan sobre o repositório completo, com testes positivos e negativos sem enfraquecer padrões.</w:t>
            </w:r>
          </w:p>
        </w:tc>
      </w:tr>
    </w:tbl>
    <w:p>
      <w:pPr>
        <w:pStyle w:val="Heading1"/>
      </w:pPr>
      <w:r>
        <w:t>3. Linha do tempo das auditorias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2850"/>
        <w:gridCol w:w="4660"/>
      </w:tblGrid>
      <w:tr>
        <w:trPr>
          <w:tblHeader w:val="true"/>
        </w:trPr>
        <w:tc>
          <w:tcPr>
            <w:tcW w:type="dxa" w:w="1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Etapa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Veredito</w:t>
            </w:r>
          </w:p>
        </w:tc>
        <w:tc>
          <w:tcPr>
            <w:tcW w:type="dxa" w:w="4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Auditoria inicial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FAILED_WITH_ACTIONABLE_EVIDENCE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Foram identificados gaps em outbox, credenciais/secret scan, sanitização de auditoria e prova independente com PostgreSQL.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Gap closure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READY_FOR_INDEPENDENT_AUDIT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Foram implementadas correções e reunidas evidências A01-A30, preservando o escopo da Foundation.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Auditoria da remediação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FAILED_WITH_ACTIONABLE_EVIDENCE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O F-01 documental ainda acionava o scanner; Testcontainers continuou indisponível ao auditor.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Remediação v2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READY_FOR_INDEPENDENT_REAUDIT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 documentação deixou de reproduzir padrões vivos de segredo; scanner, typecheck e suítes locais ficaram verdes.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Reauditoria independente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INCOMPLETE_WITH_OPEN_GAPS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29 critérios atendidos e 1 parcial; o Docker Engine estava bloqueado e houve observação de proveniência de artefato anterior.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Reauditoria com Docker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APPROVED_WITH_RESIDUAL_DEPENDENCY_RISK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Docker Client e Server acessíveis; 12/12 API e 5/5 worker passaram, zero skips; 30/30 critérios atendidos.</w:t>
            </w:r>
          </w:p>
        </w:tc>
      </w:tr>
    </w:tbl>
    <w:p>
      <w:pPr>
        <w:pStyle w:val="Heading1"/>
      </w:pPr>
      <w:r>
        <w:t>4. Resultado da reauditoria final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00"/>
        <w:gridCol w:w="50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Gate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Status</w:t>
            </w:r>
          </w:p>
        </w:tc>
        <w:tc>
          <w:tcPr>
            <w:tcW w:type="dxa" w:w="5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Evidência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Docker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Client 29.7.2; Server Docker Desktop 4.86.0; Engine 29.7.2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API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12 testes aprovados; 0 falhas; 0 skipped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Worker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 testes aprovados; 0 falhas; 0 skipped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Secret scan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Scanner do repositório e suíte de fixtures aprovados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Typecheck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Todos os workspaces aprovados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Diff check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Sem erros de whitespace; apenas avisos LF/CRLF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Dependências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 NO LIMIAR CRITICAL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 críticas; 3 high; 10 moderate</w:t>
            </w:r>
          </w:p>
        </w:tc>
      </w:tr>
    </w:tbl>
    <w:p>
      <w:pPr>
        <w:pStyle w:val="ExecutiveCallout"/>
      </w:pPr>
      <w:r>
        <w:rPr>
          <w:rFonts w:ascii="Calibri" w:hAnsi="Calibri"/>
          <w:b/>
          <w:i w:val="0"/>
          <w:color w:val="0B2545"/>
          <w:sz w:val="22"/>
        </w:rPr>
        <w:t xml:space="preserve">Veredito vigente: </w:t>
      </w:r>
      <w:r>
        <w:rPr>
          <w:rFonts w:ascii="Calibri" w:hAnsi="Calibri"/>
          <w:b/>
          <w:i w:val="0"/>
          <w:color w:val="1F4D78"/>
          <w:sz w:val="21"/>
        </w:rPr>
        <w:t>JURIDICO_IA_FOUNDATION_CODEX_REAUDIT_APPROVED_WITH_RESIDUAL_DEPENDENCY_RISK</w:t>
      </w:r>
    </w:p>
    <w:p>
      <w:pPr>
        <w:pStyle w:val="Heading1"/>
      </w:pPr>
      <w:r>
        <w:t>5. Riscos e limitações que permanecem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900"/>
        <w:gridCol w:w="3000"/>
        <w:gridCol w:w="3360"/>
      </w:tblGrid>
      <w:tr>
        <w:trPr>
          <w:tblHeader w:val="true"/>
        </w:trPr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Prioridade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Risco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Impacto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Tratamento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9B1C1C"/>
                <w:sz w:val="17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Dependências high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Multer e PostCSS, além de cadeias Nest/Next, mantêm 3 advisories high. As correções sugeridas exigem upgrades major/breaking.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Criar spike isolado, atualizar por família, executar regressão completa e registrar decisão de risco.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Proveniência histórica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Uma evidência Codex anterior foi alterada durante a remediação. O fato permanece documentado.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Manter Docs/audits/codex como append-only daqui em diante; correções somente em novos pacotes.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Working tree dirty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O veredito cobre HEAD + alterações não commitadas, não um commit imutável.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Revisar inventário, separar alterações por intenção e solicitar commit apenas quando o conjunto estiver aprovado.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Avisos LF/CRLF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Não quebram os gates, mas geram ruído no diff e podem dificultar revisão.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Normalizar por .gitattributes em mudança dedicada, após inventário e sem reformatar código de forma ampla.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Fora do escopo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pgAdmin externo reiniciando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O container ofertazap-pgadmin não pertence ao Juridico-IA e não afetou Testcontainers.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Tratar no projeto proprietário; não acoplar sua correção à Foundation.</w:t>
            </w:r>
          </w:p>
        </w:tc>
      </w:tr>
    </w:tbl>
    <w:p>
      <w:pPr>
        <w:pStyle w:val="Heading1"/>
      </w:pPr>
      <w:r>
        <w:t>6. Próximos passos recomendados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2050"/>
        <w:gridCol w:w="1300"/>
        <w:gridCol w:w="1750"/>
        <w:gridCol w:w="3760"/>
      </w:tblGrid>
      <w:tr>
        <w:trPr>
          <w:tblHeader w:val="true"/>
        </w:trPr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#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Ação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Quando</w:t>
            </w:r>
          </w:p>
        </w:tc>
        <w:tc>
          <w:tcPr>
            <w:tcW w:type="dxa" w:w="1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Dono</w:t>
            </w:r>
          </w:p>
        </w:tc>
        <w:tc>
          <w:tcPr>
            <w:tcW w:type="dxa" w:w="3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Critério de conclusão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1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Congelar a evidência aprovada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Agora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Responsável técnico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Preservar o novo pacote de reauditoria como append-only e confirmar o inventário exato do working tree.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2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Planejar hardening de dependências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Próximo ciclo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Backend + Frontend + Segurança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Abrir spike para NestJS, Next.js e Testcontainers; avaliar compatibilidade, migração e exposição real dos advisories.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3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Executar upgrade em branch dedicada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Após o spike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Engenharia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Atualizar uma família por vez, sem npm audit fix --force cego; adicionar testes quando surgir regressão.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4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Revalidar todos os gates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Após upgrades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QA/Test runner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Typecheck, lint, testes completos, secret scan, npm audit e suítes PostgreSQL-backed com zero skipped.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5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Formalizar baseline versionada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Após gates verdes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Responsável pelo projeto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Com autorização explícita, criar commit rastreável contendo código, migrations e evidências coerentes.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6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Preparar Sprint 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Somente depois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Produto + Arquitetura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Selecionar o primeiro módulo jurídico real sem tratar skeletons como operacionais; definir histórias, riscos, auditabilidade e critérios de aceite.</w:t>
            </w:r>
          </w:p>
        </w:tc>
      </w:tr>
    </w:tbl>
    <w:p>
      <w:pPr>
        <w:pStyle w:val="Heading1"/>
      </w:pPr>
      <w:r>
        <w:t>7. Gate para iniciar a Sprint 1</w:t>
      </w:r>
    </w:p>
    <w:p>
      <w:r>
        <w:t>A Sprint 1 não deve começar automaticamente apenas porque a Foundation foi aprovada. O início deve ser uma decisão explícita após os controles abaixo:</w:t>
      </w:r>
    </w:p>
    <w:p>
      <w:pPr>
        <w:pStyle w:val="ListBullet"/>
      </w:pPr>
      <w:r>
        <w:t>Pacote de auditoria final preservado e inventário do working tree revisado.</w:t>
      </w:r>
    </w:p>
    <w:p>
      <w:pPr>
        <w:pStyle w:val="ListBullet"/>
      </w:pPr>
      <w:r>
        <w:t>Risco de dependências high registrado com dono, prazo e decisão de mitigação ou aceitação formal.</w:t>
      </w:r>
    </w:p>
    <w:p>
      <w:pPr>
        <w:pStyle w:val="ListBullet"/>
      </w:pPr>
      <w:r>
        <w:t>CI reproduzível: typecheck, lint, testes, secret scan e audit de dependências.</w:t>
      </w:r>
    </w:p>
    <w:p>
      <w:pPr>
        <w:pStyle w:val="ListBullet"/>
      </w:pPr>
      <w:r>
        <w:t>Testes de banco confirmados em PostgreSQL descartável, sem apontar para ambiente compartilhado.</w:t>
      </w:r>
    </w:p>
    <w:p>
      <w:pPr>
        <w:pStyle w:val="ListBullet"/>
      </w:pPr>
      <w:r>
        <w:t>Primeiro módulo jurídico definido com fronteiras, tenant/RLS, RBAC, auditoria, LGPD e critérios de aceite.</w:t>
      </w:r>
    </w:p>
    <w:p>
      <w:pPr>
        <w:pStyle w:val="ListBullet"/>
      </w:pPr>
      <w:r>
        <w:t>Commit, push e deploy somente mediante autorização explícita e após revisão do conjunto final.</w:t>
      </w:r>
    </w:p>
    <w:p>
      <w:pPr>
        <w:pStyle w:val="Heading1"/>
      </w:pPr>
      <w:r>
        <w:t>8. Referências de evidência</w:t>
      </w:r>
    </w:p>
    <w:p>
      <w:pPr>
        <w:pStyle w:val="ListBullet"/>
      </w:pPr>
      <w:r>
        <w:rPr>
          <w:rFonts w:ascii="Calibri" w:hAnsi="Calibri"/>
          <w:b w:val="0"/>
          <w:i w:val="0"/>
          <w:color w:val="1F4D78"/>
          <w:sz w:val="19"/>
        </w:rPr>
        <w:t>Docs/audits/codex/foundation-gap-closure-independent-audit/</w:t>
      </w:r>
    </w:p>
    <w:p>
      <w:pPr>
        <w:pStyle w:val="ListBullet"/>
      </w:pPr>
      <w:r>
        <w:rPr>
          <w:rFonts w:ascii="Calibri" w:hAnsi="Calibri"/>
          <w:b w:val="0"/>
          <w:i w:val="0"/>
          <w:color w:val="1F4D78"/>
          <w:sz w:val="19"/>
        </w:rPr>
        <w:t>Docs/audits/codex/foundation-gap-closure-remediation-independent-audit/</w:t>
      </w:r>
    </w:p>
    <w:p>
      <w:pPr>
        <w:pStyle w:val="ListBullet"/>
      </w:pPr>
      <w:r>
        <w:rPr>
          <w:rFonts w:ascii="Calibri" w:hAnsi="Calibri"/>
          <w:b w:val="0"/>
          <w:i w:val="0"/>
          <w:color w:val="1F4D78"/>
          <w:sz w:val="19"/>
        </w:rPr>
        <w:t>Docs/governance/generated/foundation-gap-closure-remediation-v2/</w:t>
      </w:r>
    </w:p>
    <w:p>
      <w:pPr>
        <w:pStyle w:val="ListBullet"/>
      </w:pPr>
      <w:r>
        <w:rPr>
          <w:rFonts w:ascii="Calibri" w:hAnsi="Calibri"/>
          <w:b w:val="0"/>
          <w:i w:val="0"/>
          <w:color w:val="1F4D78"/>
          <w:sz w:val="19"/>
        </w:rPr>
        <w:t>Docs/audits/codex/foundation-gap-closure-remediation-v2-independent-reaudit/</w:t>
      </w:r>
    </w:p>
    <w:p>
      <w:pPr>
        <w:pStyle w:val="ListBullet"/>
      </w:pPr>
      <w:r>
        <w:rPr>
          <w:rFonts w:ascii="Calibri" w:hAnsi="Calibri"/>
          <w:b w:val="0"/>
          <w:i w:val="0"/>
          <w:color w:val="1F4D78"/>
          <w:sz w:val="19"/>
        </w:rPr>
        <w:t>Docs/audits/codex/foundation-gap-closure-remediation-v2-docker-reaudit/</w:t>
      </w:r>
    </w:p>
    <w:p>
      <w:pPr>
        <w:keepNext/>
        <w:spacing w:before="240"/>
      </w:pPr>
      <w:r>
        <w:rPr>
          <w:rFonts w:ascii="Calibri" w:hAnsi="Calibri"/>
          <w:b/>
          <w:i w:val="0"/>
          <w:color w:val="0B2545"/>
          <w:sz w:val="22"/>
        </w:rPr>
        <w:t>Estado de controle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Commit</w:t>
            </w:r>
          </w:p>
        </w:tc>
        <w:tc>
          <w:tcPr>
            <w:tcW w:type="dxa" w:w="23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Push</w:t>
            </w:r>
          </w:p>
        </w:tc>
        <w:tc>
          <w:tcPr>
            <w:tcW w:type="dxa" w:w="23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Deploy</w:t>
            </w:r>
          </w:p>
        </w:tc>
        <w:tc>
          <w:tcPr>
            <w:tcW w:type="dxa" w:w="23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Sprint 1</w:t>
            </w:r>
          </w:p>
        </w:tc>
      </w:tr>
      <w:tr>
        <w:tc>
          <w:tcPr>
            <w:tcW w:type="dxa" w:w="234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Não executado</w:t>
            </w:r>
          </w:p>
        </w:tc>
        <w:tc>
          <w:tcPr>
            <w:tcW w:type="dxa" w:w="234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Não executado</w:t>
            </w:r>
          </w:p>
        </w:tc>
        <w:tc>
          <w:tcPr>
            <w:tcW w:type="dxa" w:w="234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Não executado</w:t>
            </w:r>
          </w:p>
        </w:tc>
        <w:tc>
          <w:tcPr>
            <w:tcW w:type="dxa" w:w="234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Não iniciada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9636E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9636E"/>
        <w:sz w:val="17"/>
      </w:rPr>
      <w:t>JURIDICO-IA  |  CONTEXTO DA FOUNDATION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 w:lang="pt-BR"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 w:lang="pt-BR"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 w:lang="pt-BR"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 w:lang="pt-BR"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 w:lang="pt-BR"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 w:lang="pt-BR"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ecutiveCallout">
    <w:name w:val="Executive Callout"/>
    <w:pPr>
      <w:spacing w:before="160" w:after="200" w:line="264" w:lineRule="auto"/>
      <w:ind w:left="230" w:right="230"/>
    </w:pPr>
    <w:rPr>
      <w:rFonts w:ascii="Calibri" w:hAnsi="Calibri"/>
      <w:b/>
      <w:color w:val="0B2545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Contexto da Foundation e próximos passos</dc:title>
  <dc:subject>Consolidação das auditorias e roadmap do Juridico-IA</dc:subject>
  <dc:creator>Juridico-IA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