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9"/>
        </w:rPr>
        <w:t>MEMORANDO TÉCNICO ATUALIZADO</w:t>
      </w:r>
    </w:p>
    <w:p>
      <w:pPr>
        <w:pStyle w:val="MemoTitle"/>
      </w:pPr>
      <w:r>
        <w:t>Revisão atualizada da Foundation e próximos passos</w:t>
      </w:r>
    </w:p>
    <w:p>
      <w:pPr>
        <w:pStyle w:val="MemoSubtitle"/>
      </w:pPr>
      <w:r>
        <w:t>Juridico-IA | Consolidação da reauditoria, governança TCC e preparação da baseline versionada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Data da revisão: </w:t>
      </w:r>
      <w:r>
        <w:rPr>
          <w:rFonts w:ascii="Calibri" w:hAnsi="Calibri"/>
          <w:b w:val="0"/>
          <w:i w:val="0"/>
          <w:color w:val="000000"/>
          <w:sz w:val="20"/>
        </w:rPr>
        <w:t>29 de agosto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Baseline Git observada: </w:t>
      </w:r>
      <w:r>
        <w:rPr>
          <w:rFonts w:ascii="Calibri" w:hAnsi="Calibri"/>
          <w:b w:val="0"/>
          <w:i w:val="0"/>
          <w:color w:val="000000"/>
          <w:sz w:val="20"/>
        </w:rPr>
        <w:t>HEAD 6dc0a25 + working tree dirty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Escopo: </w:t>
      </w:r>
      <w:r>
        <w:rPr>
          <w:rFonts w:ascii="Calibri" w:hAnsi="Calibri"/>
          <w:b w:val="0"/>
          <w:i w:val="0"/>
          <w:color w:val="000000"/>
          <w:sz w:val="20"/>
        </w:rPr>
        <w:t>EAP 1.5.1 - Foundation técnica; EAP 1.5.3 ainda não iniciada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Estado: </w:t>
      </w:r>
      <w:r>
        <w:rPr>
          <w:rFonts w:ascii="Calibri" w:hAnsi="Calibri"/>
          <w:b w:val="0"/>
          <w:i w:val="0"/>
          <w:color w:val="000000"/>
          <w:sz w:val="20"/>
        </w:rPr>
        <w:t>runtime revalidado; commit-base e hardening de dependências pendentes</w:t>
      </w:r>
    </w:p>
    <w:p>
      <w:pPr>
        <w:spacing w:before="120" w:after="240"/>
        <w:pBdr>
          <w:bottom w:val="single" w:sz="10" w:space="4" w:color="2E74B5"/>
        </w:pBdr>
      </w:pPr>
    </w:p>
    <w:p>
      <w:pPr>
        <w:pStyle w:val="Executive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0B2545"/>
          <w:sz w:val="21"/>
        </w:rPr>
        <w:t xml:space="preserve">Conclusão executiva: </w:t>
      </w:r>
      <w:r>
        <w:rPr>
          <w:rFonts w:ascii="Calibri" w:hAnsi="Calibri"/>
          <w:b w:val="0"/>
          <w:i w:val="0"/>
          <w:color w:val="000000"/>
          <w:sz w:val="21"/>
        </w:rPr>
        <w:t>a Foundation continua tecnicamente apta como base do protótipo. Em 29/08/2026, Docker Client e Server foram observados, as suítes PostgreSQL-backed passaram com API 12/12 e worker 5/5, e os gates de governança permaneceram verdes. A aprovação não transforma o working tree em baseline imutável: o primeiro commit ainda é necessário para estabelecer proveniência histórica e não deve ser criado sem revisão explícita do conjunto.</w:t>
      </w:r>
    </w:p>
    <w:p>
      <w:pPr>
        <w:pStyle w:val="Executive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1F3A5F"/>
          <w:sz w:val="21"/>
        </w:rPr>
        <w:t xml:space="preserve">Veredito desta revisão: </w:t>
      </w:r>
      <w:r>
        <w:rPr>
          <w:rFonts w:ascii="Calibri" w:hAnsi="Calibri"/>
          <w:b w:val="0"/>
          <w:i w:val="0"/>
          <w:color w:val="000000"/>
          <w:sz w:val="21"/>
        </w:rPr>
        <w:t>JURIDICO_IA_FOUNDATION_CURRENT_STATE_VALIDATED_WITH_BASELINE_COMMIT_AND_DEPENDENCY_HARDENING_PENDING</w:t>
      </w:r>
    </w:p>
    <w:p>
      <w:pPr>
        <w:pStyle w:val="Heading1"/>
      </w:pPr>
      <w:r>
        <w:t>1. O que foi revisado</w:t>
      </w:r>
    </w:p>
    <w:p>
      <w:r>
        <w:rPr>
          <w:rFonts w:ascii="Calibri" w:hAnsi="Calibri"/>
          <w:b w:val="0"/>
          <w:i w:val="0"/>
          <w:color w:val="000000"/>
          <w:sz w:val="22"/>
        </w:rPr>
        <w:t>O documento de 27/08/2026 foi confrontado com o código atual, os quatro pacotes independentes de auditoria, o manifesto SHA-256, os artefatos de governança, a proposta acadêmica extraída do DOCX e uma nova execução dos gates. O original foi preservado; esta versão registra somente o estado comprovado na data acima.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Escopo e controles técnicos da Foundation (identidade, tenant, RLS, RBAC, auditoria, idempotência, outbox e migrations).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Fidelidade das afirmações da reauditoria com Docker e das contagens de testes.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Proveniência dos pacotes encerrados e novo manifesto SHA-256 de 24 arquivos.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Alinhamento do próximo incremento com a EAP: domínio jurídico mínimo 1.5.3 antes das superfícies 1.5.4-1.5.7.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Riscos que impedem tratar o working tree atual como uma baseline final sem revisão.</w:t>
      </w:r>
    </w:p>
    <w:p>
      <w:pPr>
        <w:pStyle w:val="Heading1"/>
      </w:pPr>
      <w:r>
        <w:t>2. Resultado da revisão do documento anterior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800"/>
        <w:gridCol w:w="1500"/>
        <w:gridCol w:w="60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Tema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Avaliação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Atualização necessária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Foundation técnica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Válido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Os controles e limites descritos continuam coerentes com a implementação e a EAP 1.5.1.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Reauditoria Docker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Reconfirmado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Docker 29.7.2 / Desktop 4.86.0; API 12/12 e worker 5/5 passaram novamente em execução com acesso ao runtime.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Proveniência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Atualizado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Os pacotes encerrados agora têm baseline SHA-256. A prova histórica no Git começa somente quando o commit-base incluir manifesto e pacotes.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Governança TCC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Novo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Rules e 13 skills foram alinhadas; .cursor/skills é canônico e .agents/skills é espelho byte-identical.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Proposta acadêmica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Novo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 extração OOXML preserva 597 parágrafos, 98 títulos, 398 itens de lista e 7 tabelas.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Próximo incremento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Corrigido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Substituir a referência genérica a Sprint 1 por autorização explícita da EAP 1.5.3 antes de 1.5.4-1.5.7.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Dependências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Risco mantido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 audit atual continua com 3 vulnerabilidades high e 10 moderate; correções sugeridas exigem upgrades breaking.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3. Estado atual comprovado</w:t>
      </w:r>
    </w:p>
    <w:p>
      <w:r>
        <w:rPr>
          <w:rFonts w:ascii="Calibri" w:hAnsi="Calibri"/>
          <w:b w:val="0"/>
          <w:i w:val="0"/>
          <w:color w:val="000000"/>
          <w:sz w:val="22"/>
        </w:rPr>
        <w:t>A primeira tentativa das suítes dentro do sandbox não encontrou uma estratégia de runtime para Testcontainers e deixou os testes PostgreSQL-backed como skipped. A repetição autorizada fora do sandbox acessou o Docker e passou integralmente. Esse contraste é evidência de uma restrição do ambiente de execução, não de falha funcional do produto, e deve permanecer visível para futuras auditorias.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1900"/>
        <w:gridCol w:w="1500"/>
        <w:gridCol w:w="59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Status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Evidência observada em 29/08/2026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Docker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Client 29.7.2; Server Docker Desktop 4.86.0; Engine 29.7.2.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 arquivos; 12 testes aprovados; zero falhas; zero skipped na execução com runtime Docker.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Worker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 arquivo; 5 testes aprovados; zero falhas; zero skipped na execução com runtime Docker.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Typecheck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Todos os workspaces com script de typecheck foram aprovados.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API e web aprovados com max-warnings 0.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Secret scan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Scanner do repositório e suíte de fixtures aprovados.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Proposta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Regeneração determinística confere: 597 parágrafos, 98 títulos, 398 listas e 7 tabelas.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Skills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13 skills canônicas e espelho byte-identical, sem ausências ou extras.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Auditorias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24 arquivos encerrados conferem com o manifesto SHA-256; sem ausências, extras ou alterações.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Diff check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Sem erros de whitespace; permanecem apenas avisos LF/CRLF.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Dependências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PASS no limiar critical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 critical; 3 high; 10 moderate. Risco não aceito silenciosamente.</w:t>
            </w:r>
          </w:p>
        </w:tc>
      </w:tr>
    </w:tbl>
    <w:p>
      <w:pPr>
        <w:spacing w:before="80" w:after="80"/>
      </w:pPr>
    </w:p>
    <w:p>
      <w:pPr>
        <w:pStyle w:val="SourceNote"/>
      </w:pPr>
      <w:r>
        <w:t>Fonte: execução local dos comandos e documentos versionáveis do repositório em 29/08/2026.</w:t>
      </w:r>
    </w:p>
    <w:p>
      <w:r>
        <w:br w:type="page"/>
      </w:r>
    </w:p>
    <w:p>
      <w:pPr>
        <w:pStyle w:val="Heading1"/>
      </w:pPr>
      <w:r>
        <w:t>4. Limites da aprovação</w:t>
      </w:r>
    </w:p>
    <w:p>
      <w:r>
        <w:rPr>
          <w:rFonts w:ascii="Calibri" w:hAnsi="Calibri"/>
          <w:b w:val="0"/>
          <w:i w:val="0"/>
          <w:color w:val="000000"/>
          <w:sz w:val="22"/>
        </w:rPr>
        <w:t>A validação da Foundation significa que os mecanismos de base foram demonstrados de forma reproduzível. Ela não prova módulos jurídicos de negócio, não autoriza produção e não converte skeletons em funcionalidades operacionais.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Não autoriza commit, push ou deploy automaticamente.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Não inicia EAP 1.5.3 nem as superfícies cognitivas EAP 1.5.4-1.5.7.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Não aceita dados jurídicos reais, banco compartilhado ou provedores externos de IA.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Não elimina os riscos de dependências, proveniência pré-commit ou ruído LF/CRLF.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Não valida FutureScope, integrações com tribunais, financeiro, mobile, marketplace ou produção.</w:t>
      </w:r>
    </w:p>
    <w:p>
      <w:pPr>
        <w:pStyle w:val="Heading1"/>
      </w:pPr>
      <w:r>
        <w:t>5. Riscos e pendências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650"/>
        <w:gridCol w:w="2100"/>
        <w:gridCol w:w="2900"/>
        <w:gridCol w:w="371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Pri.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Risco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Impacto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Tratamento recomendado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Baseline ainda não commitada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 veredito cobre HEAD 6dc0a25 mais um working tree amplo e mutável.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Revisar o inventário, preparar o conjunto intencional e criar o commit-base somente após autorização explícita.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 advisories high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Multer/PostCSS e cadeias Nest/Next exigem análise; correções automáticas propõem upgrades breaking.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Abrir spike isolado, atualizar uma família por vez e repetir regressão completa. Não usar atualização forçada cega.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Acesso ao Docker depende do contexto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 sandbox, Testcontainers não encontra o runtime mesmo quando Client e Server respondem.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Executar os gates PostgreSQL-backed em contexto autorizado e registrar tentativas bloqueadas e válidas separadamente.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Proveniência apenas prospectiva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 manifesto detecta divergências atuais, mas não cria histórico retroativo.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Incluir manifesto e pacotes encerrados no commit-base e exigir audit:evidence:check nos próximos ciclos.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Avisos LF/CRLF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Não quebram gates, mas aumentam ruído e dificultam revisão do primeiro commit.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Tratar .gitattributes em mudança dedicada, sem reformatar amplamente o código nesta baseline.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6. Próximos passos recomendados</w:t>
      </w:r>
    </w:p>
    <w:p>
      <w:pPr>
        <w:numPr>
          <w:ilvl w:val="0"/>
          <w:numId w:val="92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Congelar a revisão: preservar os pacotes encerrados e manter audit:evidence:check verde.</w:t>
      </w:r>
    </w:p>
    <w:p>
      <w:pPr>
        <w:numPr>
          <w:ilvl w:val="0"/>
          <w:numId w:val="92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Revisar o inventário completo do working tree, incluindo arquivos removidos, substitutos adicionados, migrations, regras, skills, scripts e documentos.</w:t>
      </w:r>
    </w:p>
    <w:p>
      <w:pPr>
        <w:numPr>
          <w:ilvl w:val="0"/>
          <w:numId w:val="92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Executar novamente os gates sobre o conjunto exato que será versionado: typecheck, lint, API, worker, secret scan, proposta, skills, manifesto, dependências e diff check.</w:t>
      </w:r>
    </w:p>
    <w:p>
      <w:pPr>
        <w:numPr>
          <w:ilvl w:val="0"/>
          <w:numId w:val="92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Com pedido explícito, criar o primeiro commit-base rastreável. Não fazer push ou deploy nessa etapa.</w:t>
      </w:r>
    </w:p>
    <w:p>
      <w:pPr>
        <w:numPr>
          <w:ilvl w:val="0"/>
          <w:numId w:val="92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Abrir um spike separado de hardening para NestJS, Next.js, Multer, PostCSS e Testcontainers, com avaliação de compatibilidade e exposição real.</w:t>
      </w:r>
    </w:p>
    <w:p>
      <w:pPr>
        <w:numPr>
          <w:ilvl w:val="0"/>
          <w:numId w:val="92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Somente depois da baseline, autorizar o domínio jurídico mínimo EAP 1.5.3; as superfícies cognitivas dependem dele.</w:t>
      </w:r>
    </w:p>
    <w:p>
      <w:pPr>
        <w:pStyle w:val="Heading1"/>
      </w:pPr>
      <w:r>
        <w:t>7. Gate objetivo para o primeiro commit</w:t>
      </w:r>
    </w:p>
    <w:p>
      <w:pPr>
        <w:pStyle w:val="Executive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7A5A00"/>
          <w:sz w:val="21"/>
        </w:rPr>
        <w:t xml:space="preserve">Decisão recomendada: </w:t>
      </w:r>
      <w:r>
        <w:rPr>
          <w:rFonts w:ascii="Calibri" w:hAnsi="Calibri"/>
          <w:b w:val="0"/>
          <w:i w:val="0"/>
          <w:color w:val="000000"/>
          <w:sz w:val="21"/>
        </w:rPr>
        <w:t>o primeiro commit pode ser preparado, mas só deve ser gravado depois de uma revisão de escopo do working tree e de uma última execução dos gates sobre o conjunto selecionado.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Critério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Condição para autorizar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Escopo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Cada arquivo modificado, removido ou novo possui intenção conhecida e pertence à Foundation/governança aprovada.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Evidência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Pacotes encerrados e MANIFEST.sha256.json estão presentes; audit:evidence:check passa.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Código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Typecheck, lint, API 12/12 e worker 5/5 passam sem skipped no contexto Docker autorizado.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Segurança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Secret scan e testes do scanner passam; dependências critical continuam em zero; high ficam registradas com plano.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Documentação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Proposta, EAP, AGENTS, rules, skills e relatórios descrevem a mesma sequência e o mesmo escopo.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Autoridade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 usuário solicita explicitamente o commit; push e deploy continuam fora do escopo.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8. Referências de evidência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Docs/reports/Contexto-Foundation-e-Proximos-Passos.docx (documento revisado, preservado)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Docs/audits/codex/MANIFEST.sha256.json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Docs/audits/codex/foundation-gap-closure-remediation-v2-docker-reaudit/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Docs/governance/TCC-GOVERNANCE-ALIGNMENT-REPORT.md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Docs/governance/TCC-RULES-SKILLS-ALIGNMENT.md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Docs/Proposta-TCC-Orion-Juridico.md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.cursor/rules/juridico-ia-master-governance.mdc</w:t>
      </w:r>
    </w:p>
    <w:p>
      <w:pPr>
        <w:numPr>
          <w:ilvl w:val="0"/>
          <w:numId w:val="91"/>
        </w:numPr>
        <w:pStyle w:val="FoundationList"/>
      </w:pPr>
      <w:r>
        <w:rPr>
          <w:rFonts w:ascii="Calibri" w:hAnsi="Calibri"/>
          <w:b w:val="0"/>
          <w:i w:val="0"/>
          <w:color w:val="000000"/>
          <w:sz w:val="22"/>
        </w:rPr>
        <w:t>AGENTS.md</w:t>
      </w:r>
    </w:p>
    <w:p>
      <w:pPr>
        <w:pStyle w:val="Heading1"/>
      </w:pPr>
      <w:r>
        <w:t>9. Estado de controle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Commit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Push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Deploy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EAP 1.5.3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Não executado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Não executado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Não executado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Não iniciada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59636E"/>
        <w:sz w:val="18"/>
      </w:rPr>
      <w:t xml:space="preserve">Página </w:t>
    </w:r>
    <w:r>
      <w:rPr>
        <w:rFonts w:ascii="Calibri" w:hAnsi="Calibri"/>
        <w:b w:val="0"/>
        <w:i w:val="0"/>
        <w:color w:val="59636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/>
        <w:b/>
        <w:i w:val="0"/>
        <w:color w:val="59636E"/>
        <w:sz w:val="17"/>
      </w:rPr>
      <w:t>JURIDICO-IA | FOUNDATION</w:t>
    </w:r>
    <w:r>
      <w:rPr>
        <w:rFonts w:ascii="Calibri" w:hAnsi="Calibri"/>
        <w:b w:val="0"/>
        <w:i w:val="0"/>
        <w:color w:val="59636E"/>
        <w:sz w:val="17"/>
      </w:rPr>
      <w:tab/>
      <w:t>REVISÃO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num w:numId="91">
    <w:abstractNumId w:val="91"/>
  </w:num>
  <w:abstractNum w:abstractNumId="9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Title">
    <w:name w:val="Memo Title"/>
    <w:pPr>
      <w:spacing w:before="0" w:after="80"/>
    </w:pPr>
    <w:rPr>
      <w:rFonts w:ascii="Calibri" w:hAnsi="Calibri"/>
      <w:b/>
      <w:color w:val="0B2545"/>
      <w:sz w:val="44"/>
    </w:rPr>
  </w:style>
  <w:style w:type="paragraph" w:customStyle="1" w:styleId="MemoSubtitle">
    <w:name w:val="Memo Subtitle"/>
    <w:pPr>
      <w:spacing w:before="0" w:after="280"/>
    </w:pPr>
    <w:rPr>
      <w:rFonts w:ascii="Calibri" w:hAnsi="Calibri"/>
      <w:color w:val="59636E"/>
      <w:sz w:val="26"/>
    </w:rPr>
  </w:style>
  <w:style w:type="paragraph" w:customStyle="1" w:styleId="ExecutiveCallout">
    <w:name w:val="Executive Callout"/>
    <w:pPr>
      <w:spacing w:before="120" w:after="200" w:line="276" w:lineRule="auto"/>
      <w:ind w:left="173" w:right="115"/>
    </w:pPr>
    <w:rPr>
      <w:rFonts w:ascii="Calibri" w:hAnsi="Calibri"/>
      <w:sz w:val="21"/>
    </w:rPr>
  </w:style>
  <w:style w:type="paragraph" w:customStyle="1" w:styleId="FoundationList">
    <w:name w:val="Foundation List"/>
    <w:pPr>
      <w:spacing w:after="160" w:line="280" w:lineRule="auto"/>
    </w:pPr>
    <w:rPr>
      <w:rFonts w:ascii="Calibri" w:hAnsi="Calibri"/>
      <w:sz w:val="22"/>
    </w:rPr>
  </w:style>
  <w:style w:type="paragraph" w:customStyle="1" w:styleId="SourceNote">
    <w:name w:val="Source Note"/>
    <w:pPr>
      <w:spacing w:before="80" w:after="80"/>
    </w:pPr>
    <w:rPr>
      <w:rFonts w:ascii="Calibri" w:hAnsi="Calibri"/>
      <w:i/>
      <w:color w:val="5963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Revisão atualizada da Foundation e próximos passos</dc:title>
  <dc:subject>Revisão técnica e acadêmica da Foundation do Juridico-IA</dc:subject>
  <dc:creator>Juridico-IA</dc:creator>
  <cp:keywords>Foundation, TCC, multi-tenant, RLS, auditoria, evidências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