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PROYECTO FINAL DE INTELIGENCIA ARTIFICIAL</w:t>
      </w:r>
    </w:p>
    <w:p>
      <w:pPr>
        <w:jc w:val="center"/>
      </w:pPr>
      <w:r>
        <w:rPr>
          <w:b/>
          <w:color w:val="1F4E79"/>
          <w:sz w:val="40"/>
        </w:rPr>
        <w:t>Resolución del TSP mediante Algoritmos Genéticos</w:t>
      </w:r>
    </w:p>
    <w:p>
      <w:pPr>
        <w:jc w:val="center"/>
      </w:pPr>
      <w:r>
        <w:rPr>
          <w:sz w:val="24"/>
        </w:rPr>
        <w:t>Informe profesional mejorado y sustentado por literales</w:t>
      </w:r>
    </w:p>
    <w:p>
      <w:pPr>
        <w:jc w:val="center"/>
      </w:pPr>
      <w:r>
        <w:rPr>
          <w:b/>
          <w:sz w:val="28"/>
        </w:rPr>
        <w:t>Grupo 5</w:t>
      </w:r>
    </w:p>
    <w:p>
      <w:pPr>
        <w:jc w:val="center"/>
      </w:pPr>
      <w:r>
        <w:rPr>
          <w:sz w:val="24"/>
        </w:rPr>
        <w:t>Nancy Altamirano | Gustavo Berru | Raquel Pacheco | Kevin Viteri</w:t>
      </w:r>
    </w:p>
    <w:p>
      <w:pPr>
        <w:jc w:val="center"/>
      </w:pPr>
      <w:r>
        <w:rPr>
          <w:sz w:val="24"/>
        </w:rPr>
        <w:t>Carrera: Ciencia de Datos</w:t>
      </w:r>
    </w:p>
    <w:p>
      <w:pPr>
        <w:jc w:val="center"/>
      </w:pPr>
      <w:r>
        <w:rPr>
          <w:sz w:val="24"/>
        </w:rPr>
        <w:t>Mayo de 2026</w:t>
      </w:r>
    </w:p>
    <w:p/>
    <w:p>
      <w:pPr>
        <w:jc w:val="center"/>
      </w:pPr>
      <w:r>
        <w:rPr>
          <w:i/>
          <w:sz w:val="22"/>
        </w:rPr>
        <w:t>Tema seleccionado: resolución del Problema del Viajante de Comercio (TSP) mediante un Algoritmo Genético Generacional Elitista con representación por permutaciones, crossover OX, mutación por inversión y refinamiento final 2-opt.</w:t>
      </w:r>
    </w:p>
    <w:p>
      <w:r>
        <w:br w:type="page"/>
      </w:r>
    </w:p>
    <w:p>
      <w:pPr>
        <w:pStyle w:val="Heading1"/>
      </w:pPr>
      <w:r>
        <w:t>Índice del informe</w:t>
      </w:r>
    </w:p>
    <w:p>
      <w:pPr/>
      <w:r>
        <w:t>Resumen ejecutivo</w:t>
      </w:r>
    </w:p>
    <w:p>
      <w:pPr/>
      <w:r>
        <w:t>Objetivo, contexto y configuración del experimento</w:t>
      </w:r>
    </w:p>
    <w:p>
      <w:pPr/>
      <w:r>
        <w:t>a) Representación de individuos como permutaciones válidas</w:t>
      </w:r>
    </w:p>
    <w:p>
      <w:pPr/>
      <w:r>
        <w:t>b) Operadores genéticos seleccionados y justificación</w:t>
      </w:r>
    </w:p>
    <w:p>
      <w:pPr/>
      <w:r>
        <w:t>c) Análisis de la evolución del fitness</w:t>
      </w:r>
    </w:p>
    <w:p>
      <w:pPr/>
      <w:r>
        <w:t>d) Medición y análisis de diversidad poblacional</w:t>
      </w:r>
    </w:p>
    <w:p>
      <w:pPr/>
      <w:r>
        <w:t>e) Evaluación de la calidad de las soluciones</w:t>
      </w:r>
    </w:p>
    <w:p>
      <w:pPr/>
      <w:r>
        <w:t>f) Análisis experimental de parámetros</w:t>
      </w:r>
    </w:p>
    <w:p>
      <w:pPr/>
      <w:r>
        <w:t>Conclusiones técnicas</w:t>
      </w:r>
    </w:p>
    <w:p>
      <w:pPr/>
      <w:r>
        <w:t>Resumen de participación del Grupo 5</w:t>
      </w:r>
    </w:p>
    <w:p>
      <w:pPr/>
      <w:r>
        <w:t>Referencias de apoyo</w:t>
      </w:r>
    </w:p>
    <w:p>
      <w:r>
        <w:br w:type="page"/>
      </w:r>
    </w:p>
    <w:p>
      <w:pPr>
        <w:pStyle w:val="Heading1"/>
      </w:pPr>
      <w:r>
        <w:t>Resumen ejecutivo</w:t>
      </w:r>
    </w:p>
    <w:p>
      <w:pPr>
        <w:spacing w:after="120"/>
      </w:pPr>
      <w:r>
        <w:t>Este informe presenta la solución del Problema del Viajante de Comercio (TSP) mediante un Algoritmo Genético Generacional Elitista. El TSP requiere construir una ruta cerrada que visite cada ciudad exactamente una vez y retorne al punto inicial minimizando la distancia total. Debido a que el número de rutas posibles crece factorialmente con el número de ciudades, el uso de búsqueda exhaustiva resulta ineficiente para instancias medianas; por ello se aplica una técnica evolutiva capaz de explorar múltiples rutas candidatas y mejorar progresivamente la calidad de las soluciones.</w:t>
      </w:r>
    </w:p>
    <w:p>
      <w:pPr>
        <w:spacing w:after="120"/>
      </w:pPr>
      <w:r>
        <w:t>Se trabajaron los 10 datasets entregados, con tamaños entre 80 y 88 ciudades. No se agregaron ciudades artificiales, porque el objetivo fue respetar los datos reales suministrados. El algoritmo principal usó población de 100 individuos, 250 generaciones, selección por torneo, crossover OX, mutación por inversión, elitismo de dos individuos y refinamiento local final 2-opt.</w:t>
      </w:r>
    </w:p>
    <w:p>
      <w:pPr>
        <w:spacing w:after="120"/>
      </w:pPr>
      <w:r>
        <w:t>El resultado fue válido en todos los datasets: todas las rutas finales fueron permutaciones completas, sin ciudades repetidas ni faltantes. En comparación con la heurística Nearest Neighbor, la distancia promedio pasó de 1,638.67 a 1,509.45, lo que representa una mejora relativa promedio de -7.83% respecto a dicha heurística. Como el óptimo global certificado no fue proporcionado para los datasets, el error relativo se reporta contra la heurística de referencia, tal como permite el literal e).</w:t>
      </w:r>
    </w:p>
    <w:p>
      <w:pPr>
        <w:spacing w:after="120"/>
      </w:pPr>
      <w:r>
        <w:rPr>
          <w:b/>
        </w:rPr>
        <w:t>Idea clave para la presentación:</w:t>
      </w:r>
      <w:r/>
    </w:p>
    <w:p>
      <w:pPr>
        <w:spacing w:after="120"/>
      </w:pPr>
      <w:r>
        <w:t>El AG elitista fue elegido como estructura principal porque conserva las mejores rutas encontradas y evita retrocesos por azar; OX no es un algoritmo alternativo al AG elitista, sino el operador de crossover usado dentro de ese algoritmo para preservar rutas válidas en forma de permutaciones.</w:t>
      </w:r>
    </w:p>
    <w:p>
      <w:pPr>
        <w:pStyle w:val="Heading1"/>
      </w:pPr>
      <w:r>
        <w:t>Objetivo, contexto y configuración del experimento</w:t>
      </w:r>
    </w:p>
    <w:p>
      <w:pPr>
        <w:spacing w:after="120"/>
      </w:pPr>
      <w:r>
        <w:t>El objetivo del proyecto es resolver el TSP con un enfoque de Inteligencia Artificial basado en Algoritmos Genéticos y demostrar, de forma explícita, que se cumplen los literales a) hasta f) solicitados en el enunciado. Por ello, el informe está organizado en el mismo orden de los literales y cada sección incluye qué se hizo, por qué se hizo, cómo se verificó y qué evidencia se obtuvo.</w:t>
      </w:r>
    </w:p>
    <w:p>
      <w:pPr>
        <w:spacing w:after="120"/>
      </w:pPr>
      <w:r>
        <w:rPr>
          <w:b/>
        </w:rPr>
        <w:t>Configuración base utilizada en la ejecución principal:</w:t>
      </w:r>
      <w:r/>
    </w:p>
    <w:p>
      <w:pPr>
        <w:spacing w:before="80" w:after="40"/>
      </w:pPr>
      <w:r>
        <w:rPr>
          <w:b/>
          <w:color w:val="1F4E79"/>
        </w:rPr>
        <w:t>Tabla 1. Configuración base del algoritmo.</w:t>
      </w:r>
    </w:p>
    <w:tbl>
      <w:tblPr>
        <w:tblStyle w:val="TableGrid"/>
        <w:tblW w:type="auto" w:w="0"/>
        <w:jc w:val="center"/>
        <w:tblLook w:firstColumn="1" w:firstRow="1" w:lastColumn="0" w:lastRow="0" w:noHBand="0" w:noVBand="1" w:val="04A0"/>
      </w:tblPr>
      <w:tblGrid>
        <w:gridCol w:w="3532"/>
        <w:gridCol w:w="3532"/>
        <w:gridCol w:w="3532"/>
      </w:tblGrid>
      <w:tr>
        <w:tc>
          <w:tcPr>
            <w:tcW w:type="dxa" w:w="3532"/>
            <w:shd w:fill="D9EAF7"/>
          </w:tcPr>
          <w:p>
            <w:pPr>
              <w:jc w:val="center"/>
            </w:pPr>
            <w:r/>
            <w:r>
              <w:rPr>
                <w:b/>
                <w:color w:val="000000"/>
                <w:sz w:val="16"/>
              </w:rPr>
              <w:t>Parámetro</w:t>
            </w:r>
          </w:p>
        </w:tc>
        <w:tc>
          <w:tcPr>
            <w:tcW w:type="dxa" w:w="3532"/>
            <w:shd w:fill="D9EAF7"/>
          </w:tcPr>
          <w:p>
            <w:pPr>
              <w:jc w:val="center"/>
            </w:pPr>
            <w:r/>
            <w:r>
              <w:rPr>
                <w:b/>
                <w:color w:val="000000"/>
                <w:sz w:val="16"/>
              </w:rPr>
              <w:t>Valor usado</w:t>
            </w:r>
          </w:p>
        </w:tc>
        <w:tc>
          <w:tcPr>
            <w:tcW w:type="dxa" w:w="3532"/>
            <w:shd w:fill="D9EAF7"/>
          </w:tcPr>
          <w:p>
            <w:pPr>
              <w:jc w:val="center"/>
            </w:pPr>
            <w:r/>
            <w:r>
              <w:rPr>
                <w:b/>
                <w:color w:val="000000"/>
                <w:sz w:val="16"/>
              </w:rPr>
              <w:t>Justificación</w:t>
            </w:r>
          </w:p>
        </w:tc>
      </w:tr>
      <w:tr>
        <w:tc>
          <w:tcPr>
            <w:tcW w:type="dxa" w:w="3532"/>
            <w:vAlign w:val="center"/>
          </w:tcPr>
          <w:p>
            <w:pPr>
              <w:jc w:val="center"/>
            </w:pPr>
            <w:r/>
            <w:r>
              <w:rPr>
                <w:b w:val="0"/>
                <w:sz w:val="16"/>
              </w:rPr>
              <w:t>Representación</w:t>
            </w:r>
          </w:p>
        </w:tc>
        <w:tc>
          <w:tcPr>
            <w:tcW w:type="dxa" w:w="3532"/>
            <w:vAlign w:val="center"/>
          </w:tcPr>
          <w:p>
            <w:pPr>
              <w:jc w:val="center"/>
            </w:pPr>
            <w:r/>
            <w:r>
              <w:rPr>
                <w:b w:val="0"/>
                <w:sz w:val="16"/>
              </w:rPr>
              <w:t>Permutación de ciudades</w:t>
            </w:r>
          </w:p>
        </w:tc>
        <w:tc>
          <w:tcPr>
            <w:tcW w:type="dxa" w:w="3532"/>
            <w:vAlign w:val="center"/>
          </w:tcPr>
          <w:p>
            <w:pPr>
              <w:jc w:val="center"/>
            </w:pPr>
            <w:r/>
            <w:r>
              <w:rPr>
                <w:b w:val="0"/>
                <w:sz w:val="16"/>
              </w:rPr>
              <w:t>Cada cromosoma contiene todos los índices de ciudad una sola vez.</w:t>
            </w:r>
          </w:p>
        </w:tc>
      </w:tr>
      <w:tr>
        <w:tc>
          <w:tcPr>
            <w:tcW w:type="dxa" w:w="3532"/>
            <w:vAlign w:val="center"/>
          </w:tcPr>
          <w:p>
            <w:pPr>
              <w:jc w:val="center"/>
            </w:pPr>
            <w:r/>
            <w:r>
              <w:rPr>
                <w:b w:val="0"/>
                <w:sz w:val="16"/>
              </w:rPr>
              <w:t>Población</w:t>
            </w:r>
          </w:p>
        </w:tc>
        <w:tc>
          <w:tcPr>
            <w:tcW w:type="dxa" w:w="3532"/>
            <w:vAlign w:val="center"/>
          </w:tcPr>
          <w:p>
            <w:pPr>
              <w:jc w:val="center"/>
            </w:pPr>
            <w:r/>
            <w:r>
              <w:rPr>
                <w:b w:val="0"/>
                <w:sz w:val="16"/>
              </w:rPr>
              <w:t>100 individuos</w:t>
            </w:r>
          </w:p>
        </w:tc>
        <w:tc>
          <w:tcPr>
            <w:tcW w:type="dxa" w:w="3532"/>
            <w:vAlign w:val="center"/>
          </w:tcPr>
          <w:p>
            <w:pPr>
              <w:jc w:val="center"/>
            </w:pPr>
            <w:r/>
            <w:r>
              <w:rPr>
                <w:b w:val="0"/>
                <w:sz w:val="16"/>
              </w:rPr>
              <w:t>Permite diversidad inicial suficiente sin elevar demasiado el costo computacional.</w:t>
            </w:r>
          </w:p>
        </w:tc>
      </w:tr>
      <w:tr>
        <w:tc>
          <w:tcPr>
            <w:tcW w:type="dxa" w:w="3532"/>
            <w:vAlign w:val="center"/>
          </w:tcPr>
          <w:p>
            <w:pPr>
              <w:jc w:val="center"/>
            </w:pPr>
            <w:r/>
            <w:r>
              <w:rPr>
                <w:b w:val="0"/>
                <w:sz w:val="16"/>
              </w:rPr>
              <w:t>Generaciones</w:t>
            </w:r>
          </w:p>
        </w:tc>
        <w:tc>
          <w:tcPr>
            <w:tcW w:type="dxa" w:w="3532"/>
            <w:vAlign w:val="center"/>
          </w:tcPr>
          <w:p>
            <w:pPr>
              <w:jc w:val="center"/>
            </w:pPr>
            <w:r/>
            <w:r>
              <w:rPr>
                <w:b w:val="0"/>
                <w:sz w:val="16"/>
              </w:rPr>
              <w:t>250</w:t>
            </w:r>
          </w:p>
        </w:tc>
        <w:tc>
          <w:tcPr>
            <w:tcW w:type="dxa" w:w="3532"/>
            <w:vAlign w:val="center"/>
          </w:tcPr>
          <w:p>
            <w:pPr>
              <w:jc w:val="center"/>
            </w:pPr>
            <w:r/>
            <w:r>
              <w:rPr>
                <w:b w:val="0"/>
                <w:sz w:val="16"/>
              </w:rPr>
              <w:t>Da tiempo para observar convergencia, estancamiento y evolución del fitness.</w:t>
            </w:r>
          </w:p>
        </w:tc>
      </w:tr>
      <w:tr>
        <w:tc>
          <w:tcPr>
            <w:tcW w:type="dxa" w:w="3532"/>
            <w:vAlign w:val="center"/>
          </w:tcPr>
          <w:p>
            <w:pPr>
              <w:jc w:val="center"/>
            </w:pPr>
            <w:r/>
            <w:r>
              <w:rPr>
                <w:b w:val="0"/>
                <w:sz w:val="16"/>
              </w:rPr>
              <w:t>Selección</w:t>
            </w:r>
          </w:p>
        </w:tc>
        <w:tc>
          <w:tcPr>
            <w:tcW w:type="dxa" w:w="3532"/>
            <w:vAlign w:val="center"/>
          </w:tcPr>
          <w:p>
            <w:pPr>
              <w:jc w:val="center"/>
            </w:pPr>
            <w:r/>
            <w:r>
              <w:rPr>
                <w:b w:val="0"/>
                <w:sz w:val="16"/>
              </w:rPr>
              <w:t>Torneo k = 3</w:t>
            </w:r>
          </w:p>
        </w:tc>
        <w:tc>
          <w:tcPr>
            <w:tcW w:type="dxa" w:w="3532"/>
            <w:vAlign w:val="center"/>
          </w:tcPr>
          <w:p>
            <w:pPr>
              <w:jc w:val="center"/>
            </w:pPr>
            <w:r/>
            <w:r>
              <w:rPr>
                <w:b w:val="0"/>
                <w:sz w:val="16"/>
              </w:rPr>
              <w:t>Mantiene presión selectiva moderada sin eliminar completamente la diversidad.</w:t>
            </w:r>
          </w:p>
        </w:tc>
      </w:tr>
      <w:tr>
        <w:tc>
          <w:tcPr>
            <w:tcW w:type="dxa" w:w="3532"/>
            <w:vAlign w:val="center"/>
          </w:tcPr>
          <w:p>
            <w:pPr>
              <w:jc w:val="center"/>
            </w:pPr>
            <w:r/>
            <w:r>
              <w:rPr>
                <w:b w:val="0"/>
                <w:sz w:val="16"/>
              </w:rPr>
              <w:t>Crossover</w:t>
            </w:r>
          </w:p>
        </w:tc>
        <w:tc>
          <w:tcPr>
            <w:tcW w:type="dxa" w:w="3532"/>
            <w:vAlign w:val="center"/>
          </w:tcPr>
          <w:p>
            <w:pPr>
              <w:jc w:val="center"/>
            </w:pPr>
            <w:r/>
            <w:r>
              <w:rPr>
                <w:b w:val="0"/>
                <w:sz w:val="16"/>
              </w:rPr>
              <w:t>OX, probabilidad 0.90</w:t>
            </w:r>
          </w:p>
        </w:tc>
        <w:tc>
          <w:tcPr>
            <w:tcW w:type="dxa" w:w="3532"/>
            <w:vAlign w:val="center"/>
          </w:tcPr>
          <w:p>
            <w:pPr>
              <w:jc w:val="center"/>
            </w:pPr>
            <w:r/>
            <w:r>
              <w:rPr>
                <w:b w:val="0"/>
                <w:sz w:val="16"/>
              </w:rPr>
              <w:t>Conserva orden relativo y evita rutas inválidas en problemas de permutación.</w:t>
            </w:r>
          </w:p>
        </w:tc>
      </w:tr>
      <w:tr>
        <w:tc>
          <w:tcPr>
            <w:tcW w:type="dxa" w:w="3532"/>
            <w:vAlign w:val="center"/>
          </w:tcPr>
          <w:p>
            <w:pPr>
              <w:jc w:val="center"/>
            </w:pPr>
            <w:r/>
            <w:r>
              <w:rPr>
                <w:b w:val="0"/>
                <w:sz w:val="16"/>
              </w:rPr>
              <w:t>Mutación</w:t>
            </w:r>
          </w:p>
        </w:tc>
        <w:tc>
          <w:tcPr>
            <w:tcW w:type="dxa" w:w="3532"/>
            <w:vAlign w:val="center"/>
          </w:tcPr>
          <w:p>
            <w:pPr>
              <w:jc w:val="center"/>
            </w:pPr>
            <w:r/>
            <w:r>
              <w:rPr>
                <w:b w:val="0"/>
                <w:sz w:val="16"/>
              </w:rPr>
              <w:t>Inversión, probabilidad 0.15</w:t>
            </w:r>
          </w:p>
        </w:tc>
        <w:tc>
          <w:tcPr>
            <w:tcW w:type="dxa" w:w="3532"/>
            <w:vAlign w:val="center"/>
          </w:tcPr>
          <w:p>
            <w:pPr>
              <w:jc w:val="center"/>
            </w:pPr>
            <w:r/>
            <w:r>
              <w:rPr>
                <w:b w:val="0"/>
                <w:sz w:val="16"/>
              </w:rPr>
              <w:t>Modifica segmentos de la ruta sin repetir ni eliminar ciudades.</w:t>
            </w:r>
          </w:p>
        </w:tc>
      </w:tr>
      <w:tr>
        <w:tc>
          <w:tcPr>
            <w:tcW w:type="dxa" w:w="3532"/>
            <w:vAlign w:val="center"/>
          </w:tcPr>
          <w:p>
            <w:pPr>
              <w:jc w:val="center"/>
            </w:pPr>
            <w:r/>
            <w:r>
              <w:rPr>
                <w:b w:val="0"/>
                <w:sz w:val="16"/>
              </w:rPr>
              <w:t>Elitismo</w:t>
            </w:r>
          </w:p>
        </w:tc>
        <w:tc>
          <w:tcPr>
            <w:tcW w:type="dxa" w:w="3532"/>
            <w:vAlign w:val="center"/>
          </w:tcPr>
          <w:p>
            <w:pPr>
              <w:jc w:val="center"/>
            </w:pPr>
            <w:r/>
            <w:r>
              <w:rPr>
                <w:b w:val="0"/>
                <w:sz w:val="16"/>
              </w:rPr>
              <w:t>2 mejores individuos</w:t>
            </w:r>
          </w:p>
        </w:tc>
        <w:tc>
          <w:tcPr>
            <w:tcW w:type="dxa" w:w="3532"/>
            <w:vAlign w:val="center"/>
          </w:tcPr>
          <w:p>
            <w:pPr>
              <w:jc w:val="center"/>
            </w:pPr>
            <w:r/>
            <w:r>
              <w:rPr>
                <w:b w:val="0"/>
                <w:sz w:val="16"/>
              </w:rPr>
              <w:t>Protege las mejores rutas entre generaciones.</w:t>
            </w:r>
          </w:p>
        </w:tc>
      </w:tr>
      <w:tr>
        <w:tc>
          <w:tcPr>
            <w:tcW w:type="dxa" w:w="3532"/>
            <w:vAlign w:val="center"/>
          </w:tcPr>
          <w:p>
            <w:pPr>
              <w:jc w:val="center"/>
            </w:pPr>
            <w:r/>
            <w:r>
              <w:rPr>
                <w:b w:val="0"/>
                <w:sz w:val="16"/>
              </w:rPr>
              <w:t>Mejora local</w:t>
            </w:r>
          </w:p>
        </w:tc>
        <w:tc>
          <w:tcPr>
            <w:tcW w:type="dxa" w:w="3532"/>
            <w:vAlign w:val="center"/>
          </w:tcPr>
          <w:p>
            <w:pPr>
              <w:jc w:val="center"/>
            </w:pPr>
            <w:r/>
            <w:r>
              <w:rPr>
                <w:b w:val="0"/>
                <w:sz w:val="16"/>
              </w:rPr>
              <w:t>2-opt final</w:t>
            </w:r>
          </w:p>
        </w:tc>
        <w:tc>
          <w:tcPr>
            <w:tcW w:type="dxa" w:w="3532"/>
            <w:vAlign w:val="center"/>
          </w:tcPr>
          <w:p>
            <w:pPr>
              <w:jc w:val="center"/>
            </w:pPr>
            <w:r/>
            <w:r>
              <w:rPr>
                <w:b w:val="0"/>
                <w:sz w:val="16"/>
              </w:rPr>
              <w:t>Refina la mejor ruta eliminando cruces o enlaces innecesarios.</w:t>
            </w:r>
          </w:p>
        </w:tc>
      </w:tr>
    </w:tbl>
    <w:p/>
    <w:p>
      <w:pPr>
        <w:pStyle w:val="Heading2"/>
      </w:pPr>
      <w:r>
        <w:t>Datasets trabajados</w:t>
      </w:r>
    </w:p>
    <w:p>
      <w:pPr>
        <w:spacing w:before="80" w:after="40"/>
      </w:pPr>
      <w:r>
        <w:rPr>
          <w:b/>
          <w:color w:val="1F4E79"/>
        </w:rPr>
        <w:t>Tabla 2. Datasets procesados.</w:t>
      </w:r>
    </w:p>
    <w:tbl>
      <w:tblPr>
        <w:tblStyle w:val="TableGrid"/>
        <w:tblW w:type="auto" w:w="0"/>
        <w:jc w:val="center"/>
        <w:tblLook w:firstColumn="1" w:firstRow="1" w:lastColumn="0" w:lastRow="0" w:noHBand="0" w:noVBand="1" w:val="04A0"/>
      </w:tblPr>
      <w:tblGrid>
        <w:gridCol w:w="5298"/>
        <w:gridCol w:w="5298"/>
      </w:tblGrid>
      <w:tr>
        <w:tc>
          <w:tcPr>
            <w:tcW w:type="dxa" w:w="5298"/>
            <w:shd w:fill="D9EAF7"/>
          </w:tcPr>
          <w:p>
            <w:pPr>
              <w:jc w:val="center"/>
            </w:pPr>
            <w:r/>
            <w:r>
              <w:rPr>
                <w:b/>
                <w:color w:val="000000"/>
                <w:sz w:val="17"/>
              </w:rPr>
              <w:t>Dataset</w:t>
            </w:r>
          </w:p>
        </w:tc>
        <w:tc>
          <w:tcPr>
            <w:tcW w:type="dxa" w:w="5298"/>
            <w:shd w:fill="D9EAF7"/>
          </w:tcPr>
          <w:p>
            <w:pPr>
              <w:jc w:val="center"/>
            </w:pPr>
            <w:r/>
            <w:r>
              <w:rPr>
                <w:b/>
                <w:color w:val="000000"/>
                <w:sz w:val="17"/>
              </w:rPr>
              <w:t>Cantidad de ciudades</w:t>
            </w:r>
          </w:p>
        </w:tc>
      </w:tr>
      <w:tr>
        <w:tc>
          <w:tcPr>
            <w:tcW w:type="dxa" w:w="5298"/>
            <w:vAlign w:val="center"/>
          </w:tcPr>
          <w:p>
            <w:pPr>
              <w:jc w:val="center"/>
            </w:pPr>
            <w:r/>
            <w:r>
              <w:rPr>
                <w:b w:val="0"/>
                <w:sz w:val="17"/>
              </w:rPr>
              <w:t>cities_100_101112</w:t>
            </w:r>
          </w:p>
        </w:tc>
        <w:tc>
          <w:tcPr>
            <w:tcW w:type="dxa" w:w="5298"/>
            <w:vAlign w:val="center"/>
          </w:tcPr>
          <w:p>
            <w:pPr>
              <w:jc w:val="center"/>
            </w:pPr>
            <w:r/>
            <w:r>
              <w:rPr>
                <w:b w:val="0"/>
                <w:sz w:val="17"/>
              </w:rPr>
              <w:t>85</w:t>
            </w:r>
          </w:p>
        </w:tc>
      </w:tr>
      <w:tr>
        <w:tc>
          <w:tcPr>
            <w:tcW w:type="dxa" w:w="5298"/>
            <w:vAlign w:val="center"/>
          </w:tcPr>
          <w:p>
            <w:pPr>
              <w:jc w:val="center"/>
            </w:pPr>
            <w:r/>
            <w:r>
              <w:rPr>
                <w:b w:val="0"/>
                <w:sz w:val="17"/>
              </w:rPr>
              <w:t>cities_100_123</w:t>
            </w:r>
          </w:p>
        </w:tc>
        <w:tc>
          <w:tcPr>
            <w:tcW w:type="dxa" w:w="5298"/>
            <w:vAlign w:val="center"/>
          </w:tcPr>
          <w:p>
            <w:pPr>
              <w:jc w:val="center"/>
            </w:pPr>
            <w:r/>
            <w:r>
              <w:rPr>
                <w:b w:val="0"/>
                <w:sz w:val="17"/>
              </w:rPr>
              <w:t>82</w:t>
            </w:r>
          </w:p>
        </w:tc>
      </w:tr>
      <w:tr>
        <w:tc>
          <w:tcPr>
            <w:tcW w:type="dxa" w:w="5298"/>
            <w:vAlign w:val="center"/>
          </w:tcPr>
          <w:p>
            <w:pPr>
              <w:jc w:val="center"/>
            </w:pPr>
            <w:r/>
            <w:r>
              <w:rPr>
                <w:b w:val="0"/>
                <w:sz w:val="17"/>
              </w:rPr>
              <w:t>cities_100_131415</w:t>
            </w:r>
          </w:p>
        </w:tc>
        <w:tc>
          <w:tcPr>
            <w:tcW w:type="dxa" w:w="5298"/>
            <w:vAlign w:val="center"/>
          </w:tcPr>
          <w:p>
            <w:pPr>
              <w:jc w:val="center"/>
            </w:pPr>
            <w:r/>
            <w:r>
              <w:rPr>
                <w:b w:val="0"/>
                <w:sz w:val="17"/>
              </w:rPr>
              <w:t>88</w:t>
            </w:r>
          </w:p>
        </w:tc>
      </w:tr>
      <w:tr>
        <w:tc>
          <w:tcPr>
            <w:tcW w:type="dxa" w:w="5298"/>
            <w:vAlign w:val="center"/>
          </w:tcPr>
          <w:p>
            <w:pPr>
              <w:jc w:val="center"/>
            </w:pPr>
            <w:r/>
            <w:r>
              <w:rPr>
                <w:b w:val="0"/>
                <w:sz w:val="17"/>
              </w:rPr>
              <w:t>cities_100_161718</w:t>
            </w:r>
          </w:p>
        </w:tc>
        <w:tc>
          <w:tcPr>
            <w:tcW w:type="dxa" w:w="5298"/>
            <w:vAlign w:val="center"/>
          </w:tcPr>
          <w:p>
            <w:pPr>
              <w:jc w:val="center"/>
            </w:pPr>
            <w:r/>
            <w:r>
              <w:rPr>
                <w:b w:val="0"/>
                <w:sz w:val="17"/>
              </w:rPr>
              <w:t>80</w:t>
            </w:r>
          </w:p>
        </w:tc>
      </w:tr>
      <w:tr>
        <w:tc>
          <w:tcPr>
            <w:tcW w:type="dxa" w:w="5298"/>
            <w:vAlign w:val="center"/>
          </w:tcPr>
          <w:p>
            <w:pPr>
              <w:jc w:val="center"/>
            </w:pPr>
            <w:r/>
            <w:r>
              <w:rPr>
                <w:b w:val="0"/>
                <w:sz w:val="17"/>
              </w:rPr>
              <w:t>cities_100_192021</w:t>
            </w:r>
          </w:p>
        </w:tc>
        <w:tc>
          <w:tcPr>
            <w:tcW w:type="dxa" w:w="5298"/>
            <w:vAlign w:val="center"/>
          </w:tcPr>
          <w:p>
            <w:pPr>
              <w:jc w:val="center"/>
            </w:pPr>
            <w:r/>
            <w:r>
              <w:rPr>
                <w:b w:val="0"/>
                <w:sz w:val="17"/>
              </w:rPr>
              <w:t>80</w:t>
            </w:r>
          </w:p>
        </w:tc>
      </w:tr>
      <w:tr>
        <w:tc>
          <w:tcPr>
            <w:tcW w:type="dxa" w:w="5298"/>
            <w:vAlign w:val="center"/>
          </w:tcPr>
          <w:p>
            <w:pPr>
              <w:jc w:val="center"/>
            </w:pPr>
            <w:r/>
            <w:r>
              <w:rPr>
                <w:b w:val="0"/>
                <w:sz w:val="17"/>
              </w:rPr>
              <w:t>cities_100_222324</w:t>
            </w:r>
          </w:p>
        </w:tc>
        <w:tc>
          <w:tcPr>
            <w:tcW w:type="dxa" w:w="5298"/>
            <w:vAlign w:val="center"/>
          </w:tcPr>
          <w:p>
            <w:pPr>
              <w:jc w:val="center"/>
            </w:pPr>
            <w:r/>
            <w:r>
              <w:rPr>
                <w:b w:val="0"/>
                <w:sz w:val="17"/>
              </w:rPr>
              <w:t>82</w:t>
            </w:r>
          </w:p>
        </w:tc>
      </w:tr>
      <w:tr>
        <w:tc>
          <w:tcPr>
            <w:tcW w:type="dxa" w:w="5298"/>
            <w:vAlign w:val="center"/>
          </w:tcPr>
          <w:p>
            <w:pPr>
              <w:jc w:val="center"/>
            </w:pPr>
            <w:r/>
            <w:r>
              <w:rPr>
                <w:b w:val="0"/>
                <w:sz w:val="17"/>
              </w:rPr>
              <w:t>cities_100_252627</w:t>
            </w:r>
          </w:p>
        </w:tc>
        <w:tc>
          <w:tcPr>
            <w:tcW w:type="dxa" w:w="5298"/>
            <w:vAlign w:val="center"/>
          </w:tcPr>
          <w:p>
            <w:pPr>
              <w:jc w:val="center"/>
            </w:pPr>
            <w:r/>
            <w:r>
              <w:rPr>
                <w:b w:val="0"/>
                <w:sz w:val="17"/>
              </w:rPr>
              <w:t>84</w:t>
            </w:r>
          </w:p>
        </w:tc>
      </w:tr>
      <w:tr>
        <w:tc>
          <w:tcPr>
            <w:tcW w:type="dxa" w:w="5298"/>
            <w:vAlign w:val="center"/>
          </w:tcPr>
          <w:p>
            <w:pPr>
              <w:jc w:val="center"/>
            </w:pPr>
            <w:r/>
            <w:r>
              <w:rPr>
                <w:b w:val="0"/>
                <w:sz w:val="17"/>
              </w:rPr>
              <w:t>cities_100_282930</w:t>
            </w:r>
          </w:p>
        </w:tc>
        <w:tc>
          <w:tcPr>
            <w:tcW w:type="dxa" w:w="5298"/>
            <w:vAlign w:val="center"/>
          </w:tcPr>
          <w:p>
            <w:pPr>
              <w:jc w:val="center"/>
            </w:pPr>
            <w:r/>
            <w:r>
              <w:rPr>
                <w:b w:val="0"/>
                <w:sz w:val="17"/>
              </w:rPr>
              <w:t>83</w:t>
            </w:r>
          </w:p>
        </w:tc>
      </w:tr>
      <w:tr>
        <w:tc>
          <w:tcPr>
            <w:tcW w:type="dxa" w:w="5298"/>
            <w:vAlign w:val="center"/>
          </w:tcPr>
          <w:p>
            <w:pPr>
              <w:jc w:val="center"/>
            </w:pPr>
            <w:r/>
            <w:r>
              <w:rPr>
                <w:b w:val="0"/>
                <w:sz w:val="17"/>
              </w:rPr>
              <w:t>cities_100_456</w:t>
            </w:r>
          </w:p>
        </w:tc>
        <w:tc>
          <w:tcPr>
            <w:tcW w:type="dxa" w:w="5298"/>
            <w:vAlign w:val="center"/>
          </w:tcPr>
          <w:p>
            <w:pPr>
              <w:jc w:val="center"/>
            </w:pPr>
            <w:r/>
            <w:r>
              <w:rPr>
                <w:b w:val="0"/>
                <w:sz w:val="17"/>
              </w:rPr>
              <w:t>84</w:t>
            </w:r>
          </w:p>
        </w:tc>
      </w:tr>
      <w:tr>
        <w:tc>
          <w:tcPr>
            <w:tcW w:type="dxa" w:w="5298"/>
            <w:vAlign w:val="center"/>
          </w:tcPr>
          <w:p>
            <w:pPr>
              <w:jc w:val="center"/>
            </w:pPr>
            <w:r/>
            <w:r>
              <w:rPr>
                <w:b w:val="0"/>
                <w:sz w:val="17"/>
              </w:rPr>
              <w:t>cities_100_789</w:t>
            </w:r>
          </w:p>
        </w:tc>
        <w:tc>
          <w:tcPr>
            <w:tcW w:type="dxa" w:w="5298"/>
            <w:vAlign w:val="center"/>
          </w:tcPr>
          <w:p>
            <w:pPr>
              <w:jc w:val="center"/>
            </w:pPr>
            <w:r/>
            <w:r>
              <w:rPr>
                <w:b w:val="0"/>
                <w:sz w:val="17"/>
              </w:rPr>
              <w:t>80</w:t>
            </w:r>
          </w:p>
        </w:tc>
      </w:tr>
    </w:tbl>
    <w:p/>
    <w:p>
      <w:pPr>
        <w:spacing w:after="120"/>
      </w:pPr>
      <w:r>
        <w:t>Aunque los archivos tienen menos de 100 ciudades en algunos casos, se conservaron exactamente como fueron entregados. Esto evita alterar la dificultad real de cada instancia y permite que los resultados sean reproducibles con los CSV originales.</w:t>
      </w:r>
    </w:p>
    <w:p>
      <w:pPr>
        <w:pStyle w:val="Heading1"/>
      </w:pPr>
      <w:r>
        <w:t>a) Representación de cada individuo como una permutación válida de ciudades</w:t>
      </w:r>
    </w:p>
    <w:p>
      <w:pPr>
        <w:spacing w:after="120"/>
      </w:pPr>
      <w:r>
        <w:rPr>
          <w:b/>
        </w:rPr>
        <w:t>Qué pide el literal:</w:t>
      </w:r>
      <w:r/>
    </w:p>
    <w:p>
      <w:pPr>
        <w:pStyle w:val="ListBullet"/>
        <w:spacing w:after="40"/>
      </w:pPr>
      <w:r>
        <w:t>Representar cada individuo como una permutación válida de ciudades.</w:t>
      </w:r>
    </w:p>
    <w:p>
      <w:pPr>
        <w:pStyle w:val="ListBullet"/>
        <w:spacing w:after="40"/>
      </w:pPr>
      <w:r>
        <w:t>Garantizar que las soluciones generadas en la inicialización, el crossover y la mutación sean válidas.</w:t>
      </w:r>
    </w:p>
    <w:p>
      <w:pPr>
        <w:pStyle w:val="ListBullet"/>
        <w:spacing w:after="40"/>
      </w:pPr>
      <w:r>
        <w:t>Demostrar explícitamente que las rutas no tienen ciudades repetidas.</w:t>
      </w:r>
    </w:p>
    <w:p>
      <w:pPr>
        <w:pStyle w:val="ListBullet"/>
        <w:spacing w:after="40"/>
      </w:pPr>
      <w:r>
        <w:t>Demostrar explícitamente que las rutas no tienen ciudades faltantes.</w:t>
      </w:r>
    </w:p>
    <w:p>
      <w:pPr>
        <w:spacing w:after="120"/>
      </w:pPr>
      <w:r>
        <w:rPr>
          <w:b/>
        </w:rPr>
        <w:t>Respuesta implementada:</w:t>
      </w:r>
      <w:r/>
    </w:p>
    <w:p>
      <w:pPr>
        <w:spacing w:after="120"/>
      </w:pPr>
      <w:r>
        <w:t>Cada individuo se representó como un vector ordenado de índices de ciudades. Si un dataset tiene n ciudades, un cromosoma válido contiene exactamente los valores 0, 1, 2, ..., n-1. La posición del índice dentro del vector define el orden de visita; por tanto, el cromosoma no almacena coordenadas, sino la secuencia de ciudades que construye la ruta.</w:t>
      </w:r>
    </w:p>
    <w:p>
      <w:pPr>
        <w:spacing w:after="120"/>
      </w:pPr>
      <w:r>
        <w:t>Ejemplo conceptual: [4, 1, 7, 0, 3, 2, 6, 5] significa que la ruta inicia en la ciudad 4, luego visita la ciudad 1, después la ciudad 7, y así sucesivamente hasta volver a la ciudad inicial. Esta representación es correcta para el TSP porque el problema no consiste en decidir si una ciudad se visita o no, sino en decidir en qué orden se visitan todas las ciudades.</w:t>
      </w:r>
    </w:p>
    <w:p>
      <w:pPr>
        <w:spacing w:after="120"/>
      </w:pPr>
      <w:r>
        <w:rPr>
          <w:b/>
        </w:rPr>
        <w:t>Garantía de validez por etapa:</w:t>
      </w:r>
      <w:r/>
    </w:p>
    <w:p>
      <w:pPr>
        <w:spacing w:before="80" w:after="40"/>
      </w:pPr>
      <w:r>
        <w:rPr>
          <w:b/>
          <w:color w:val="1F4E79"/>
        </w:rPr>
        <w:t>Tabla 3. Control de validez en inicialización, crossover y mutación.</w:t>
      </w:r>
    </w:p>
    <w:tbl>
      <w:tblPr>
        <w:tblStyle w:val="TableGrid"/>
        <w:tblW w:type="auto" w:w="0"/>
        <w:jc w:val="center"/>
        <w:tblLook w:firstColumn="1" w:firstRow="1" w:lastColumn="0" w:lastRow="0" w:noHBand="0" w:noVBand="1" w:val="04A0"/>
      </w:tblPr>
      <w:tblGrid>
        <w:gridCol w:w="3532"/>
        <w:gridCol w:w="3532"/>
        <w:gridCol w:w="3532"/>
      </w:tblGrid>
      <w:tr>
        <w:tc>
          <w:tcPr>
            <w:tcW w:type="dxa" w:w="3532"/>
            <w:shd w:fill="D9EAF7"/>
          </w:tcPr>
          <w:p>
            <w:pPr>
              <w:jc w:val="center"/>
            </w:pPr>
            <w:r/>
            <w:r>
              <w:rPr>
                <w:b/>
                <w:color w:val="000000"/>
                <w:sz w:val="15"/>
              </w:rPr>
              <w:t>Etapa</w:t>
            </w:r>
          </w:p>
        </w:tc>
        <w:tc>
          <w:tcPr>
            <w:tcW w:type="dxa" w:w="3532"/>
            <w:shd w:fill="D9EAF7"/>
          </w:tcPr>
          <w:p>
            <w:pPr>
              <w:jc w:val="center"/>
            </w:pPr>
            <w:r/>
            <w:r>
              <w:rPr>
                <w:b/>
                <w:color w:val="000000"/>
                <w:sz w:val="15"/>
              </w:rPr>
              <w:t>Mecanismo aplicado</w:t>
            </w:r>
          </w:p>
        </w:tc>
        <w:tc>
          <w:tcPr>
            <w:tcW w:type="dxa" w:w="3532"/>
            <w:shd w:fill="D9EAF7"/>
          </w:tcPr>
          <w:p>
            <w:pPr>
              <w:jc w:val="center"/>
            </w:pPr>
            <w:r/>
            <w:r>
              <w:rPr>
                <w:b/>
                <w:color w:val="000000"/>
                <w:sz w:val="15"/>
              </w:rPr>
              <w:t>Cómo garantiza validez</w:t>
            </w:r>
          </w:p>
        </w:tc>
      </w:tr>
      <w:tr>
        <w:tc>
          <w:tcPr>
            <w:tcW w:type="dxa" w:w="3532"/>
            <w:vAlign w:val="center"/>
          </w:tcPr>
          <w:p>
            <w:pPr>
              <w:jc w:val="center"/>
            </w:pPr>
            <w:r/>
            <w:r>
              <w:rPr>
                <w:b w:val="0"/>
                <w:sz w:val="15"/>
              </w:rPr>
              <w:t>Inicialización</w:t>
            </w:r>
          </w:p>
        </w:tc>
        <w:tc>
          <w:tcPr>
            <w:tcW w:type="dxa" w:w="3532"/>
            <w:vAlign w:val="center"/>
          </w:tcPr>
          <w:p>
            <w:pPr>
              <w:jc w:val="center"/>
            </w:pPr>
            <w:r/>
            <w:r>
              <w:rPr>
                <w:b w:val="0"/>
                <w:sz w:val="15"/>
              </w:rPr>
              <w:t>Se genera cada cromosoma con una permutación aleatoria de 0 a n-1. También se incluye una ruta semilla de Nearest Neighbor para iniciar con una solución razonable.</w:t>
            </w:r>
          </w:p>
        </w:tc>
        <w:tc>
          <w:tcPr>
            <w:tcW w:type="dxa" w:w="3532"/>
            <w:vAlign w:val="center"/>
          </w:tcPr>
          <w:p>
            <w:pPr>
              <w:jc w:val="center"/>
            </w:pPr>
            <w:r/>
            <w:r>
              <w:rPr>
                <w:b w:val="0"/>
                <w:sz w:val="15"/>
              </w:rPr>
              <w:t>No puede haber repetidas ni faltantes porque la función de permutación genera cada índice una sola vez.</w:t>
            </w:r>
          </w:p>
        </w:tc>
      </w:tr>
      <w:tr>
        <w:tc>
          <w:tcPr>
            <w:tcW w:type="dxa" w:w="3532"/>
            <w:vAlign w:val="center"/>
          </w:tcPr>
          <w:p>
            <w:pPr>
              <w:jc w:val="center"/>
            </w:pPr>
            <w:r/>
            <w:r>
              <w:rPr>
                <w:b w:val="0"/>
                <w:sz w:val="15"/>
              </w:rPr>
              <w:t>Crossover</w:t>
            </w:r>
          </w:p>
        </w:tc>
        <w:tc>
          <w:tcPr>
            <w:tcW w:type="dxa" w:w="3532"/>
            <w:vAlign w:val="center"/>
          </w:tcPr>
          <w:p>
            <w:pPr>
              <w:jc w:val="center"/>
            </w:pPr>
            <w:r/>
            <w:r>
              <w:rPr>
                <w:b w:val="0"/>
                <w:sz w:val="15"/>
              </w:rPr>
              <w:t>Se aplica Order Crossover (OX). Copia un segmento de un padre y completa los espacios con ciudades del segundo padre en el orden en que aparecen.</w:t>
            </w:r>
          </w:p>
        </w:tc>
        <w:tc>
          <w:tcPr>
            <w:tcW w:type="dxa" w:w="3532"/>
            <w:vAlign w:val="center"/>
          </w:tcPr>
          <w:p>
            <w:pPr>
              <w:jc w:val="center"/>
            </w:pPr>
            <w:r/>
            <w:r>
              <w:rPr>
                <w:b w:val="0"/>
                <w:sz w:val="15"/>
              </w:rPr>
              <w:t>OX evita duplicados porque no inserta genes ya usados y completa con los faltantes.</w:t>
            </w:r>
          </w:p>
        </w:tc>
      </w:tr>
      <w:tr>
        <w:tc>
          <w:tcPr>
            <w:tcW w:type="dxa" w:w="3532"/>
            <w:vAlign w:val="center"/>
          </w:tcPr>
          <w:p>
            <w:pPr>
              <w:jc w:val="center"/>
            </w:pPr>
            <w:r/>
            <w:r>
              <w:rPr>
                <w:b w:val="0"/>
                <w:sz w:val="15"/>
              </w:rPr>
              <w:t>Mutación</w:t>
            </w:r>
          </w:p>
        </w:tc>
        <w:tc>
          <w:tcPr>
            <w:tcW w:type="dxa" w:w="3532"/>
            <w:vAlign w:val="center"/>
          </w:tcPr>
          <w:p>
            <w:pPr>
              <w:jc w:val="center"/>
            </w:pPr>
            <w:r/>
            <w:r>
              <w:rPr>
                <w:b w:val="0"/>
                <w:sz w:val="15"/>
              </w:rPr>
              <w:t>Se aplica mutación por inversión. Selecciona dos posiciones e invierte el segmento entre ellas.</w:t>
            </w:r>
          </w:p>
        </w:tc>
        <w:tc>
          <w:tcPr>
            <w:tcW w:type="dxa" w:w="3532"/>
            <w:vAlign w:val="center"/>
          </w:tcPr>
          <w:p>
            <w:pPr>
              <w:jc w:val="center"/>
            </w:pPr>
            <w:r/>
            <w:r>
              <w:rPr>
                <w:b w:val="0"/>
                <w:sz w:val="15"/>
              </w:rPr>
              <w:t>La inversión solo cambia el orden; no crea ni elimina ciudades.</w:t>
            </w:r>
          </w:p>
        </w:tc>
      </w:tr>
      <w:tr>
        <w:tc>
          <w:tcPr>
            <w:tcW w:type="dxa" w:w="3532"/>
            <w:vAlign w:val="center"/>
          </w:tcPr>
          <w:p>
            <w:pPr>
              <w:jc w:val="center"/>
            </w:pPr>
            <w:r/>
            <w:r>
              <w:rPr>
                <w:b w:val="0"/>
                <w:sz w:val="15"/>
              </w:rPr>
              <w:t>Validación defensiva</w:t>
            </w:r>
          </w:p>
        </w:tc>
        <w:tc>
          <w:tcPr>
            <w:tcW w:type="dxa" w:w="3532"/>
            <w:vAlign w:val="center"/>
          </w:tcPr>
          <w:p>
            <w:pPr>
              <w:jc w:val="center"/>
            </w:pPr>
            <w:r/>
            <w:r>
              <w:rPr>
                <w:b w:val="0"/>
                <w:sz w:val="15"/>
              </w:rPr>
              <w:t>El código verifica cada ruta con is_valid_permutation y tiene una reparación defensiva si apareciera una ruta inválida.</w:t>
            </w:r>
          </w:p>
        </w:tc>
        <w:tc>
          <w:tcPr>
            <w:tcW w:type="dxa" w:w="3532"/>
            <w:vAlign w:val="center"/>
          </w:tcPr>
          <w:p>
            <w:pPr>
              <w:jc w:val="center"/>
            </w:pPr>
            <w:r/>
            <w:r>
              <w:rPr>
                <w:b w:val="0"/>
                <w:sz w:val="15"/>
              </w:rPr>
              <w:t>En la ejecución real no se activó reparación porque OX + inversión conservaron la validez.</w:t>
            </w:r>
          </w:p>
        </w:tc>
      </w:tr>
    </w:tbl>
    <w:p/>
    <w:p>
      <w:pPr>
        <w:spacing w:before="80" w:after="40"/>
      </w:pPr>
      <w:r>
        <w:rPr>
          <w:b/>
          <w:color w:val="1F4E79"/>
        </w:rPr>
        <w:t>Tabla 4. Evidencia de rutas válidas por dataset.</w:t>
      </w:r>
    </w:p>
    <w:tbl>
      <w:tblPr>
        <w:tblStyle w:val="TableGrid"/>
        <w:tblW w:type="auto" w:w="0"/>
        <w:jc w:val="center"/>
        <w:tblLook w:firstColumn="1" w:firstRow="1" w:lastColumn="0" w:lastRow="0" w:noHBand="0" w:noVBand="1" w:val="04A0"/>
      </w:tblPr>
      <w:tblGrid>
        <w:gridCol w:w="1514"/>
        <w:gridCol w:w="1514"/>
        <w:gridCol w:w="1514"/>
        <w:gridCol w:w="1514"/>
        <w:gridCol w:w="1514"/>
        <w:gridCol w:w="1514"/>
        <w:gridCol w:w="1514"/>
      </w:tblGrid>
      <w:tr>
        <w:tc>
          <w:tcPr>
            <w:tcW w:type="dxa" w:w="1514"/>
            <w:shd w:fill="D9EAF7"/>
          </w:tcPr>
          <w:p>
            <w:pPr>
              <w:jc w:val="center"/>
            </w:pPr>
            <w:r/>
            <w:r>
              <w:rPr>
                <w:b/>
                <w:color w:val="000000"/>
                <w:sz w:val="14"/>
              </w:rPr>
              <w:t>Dataset</w:t>
            </w:r>
          </w:p>
        </w:tc>
        <w:tc>
          <w:tcPr>
            <w:tcW w:type="dxa" w:w="1514"/>
            <w:shd w:fill="D9EAF7"/>
          </w:tcPr>
          <w:p>
            <w:pPr>
              <w:jc w:val="center"/>
            </w:pPr>
            <w:r/>
            <w:r>
              <w:rPr>
                <w:b/>
                <w:color w:val="000000"/>
                <w:sz w:val="14"/>
              </w:rPr>
              <w:t>n</w:t>
            </w:r>
          </w:p>
        </w:tc>
        <w:tc>
          <w:tcPr>
            <w:tcW w:type="dxa" w:w="1514"/>
            <w:shd w:fill="D9EAF7"/>
          </w:tcPr>
          <w:p>
            <w:pPr>
              <w:jc w:val="center"/>
            </w:pPr>
            <w:r/>
            <w:r>
              <w:rPr>
                <w:b/>
                <w:color w:val="000000"/>
                <w:sz w:val="14"/>
              </w:rPr>
              <w:t>Sin repetidas</w:t>
            </w:r>
          </w:p>
        </w:tc>
        <w:tc>
          <w:tcPr>
            <w:tcW w:type="dxa" w:w="1514"/>
            <w:shd w:fill="D9EAF7"/>
          </w:tcPr>
          <w:p>
            <w:pPr>
              <w:jc w:val="center"/>
            </w:pPr>
            <w:r/>
            <w:r>
              <w:rPr>
                <w:b/>
                <w:color w:val="000000"/>
                <w:sz w:val="14"/>
              </w:rPr>
              <w:t>Sin faltantes</w:t>
            </w:r>
          </w:p>
        </w:tc>
        <w:tc>
          <w:tcPr>
            <w:tcW w:type="dxa" w:w="1514"/>
            <w:shd w:fill="D9EAF7"/>
          </w:tcPr>
          <w:p>
            <w:pPr>
              <w:jc w:val="center"/>
            </w:pPr>
            <w:r/>
            <w:r>
              <w:rPr>
                <w:b/>
                <w:color w:val="000000"/>
                <w:sz w:val="14"/>
              </w:rPr>
              <w:t>Hijos inválidos</w:t>
            </w:r>
          </w:p>
        </w:tc>
        <w:tc>
          <w:tcPr>
            <w:tcW w:type="dxa" w:w="1514"/>
            <w:shd w:fill="D9EAF7"/>
          </w:tcPr>
          <w:p>
            <w:pPr>
              <w:jc w:val="center"/>
            </w:pPr>
            <w:r/>
            <w:r>
              <w:rPr>
                <w:b/>
                <w:color w:val="000000"/>
                <w:sz w:val="14"/>
              </w:rPr>
              <w:t>Reparados</w:t>
            </w:r>
          </w:p>
        </w:tc>
        <w:tc>
          <w:tcPr>
            <w:tcW w:type="dxa" w:w="1514"/>
            <w:shd w:fill="D9EAF7"/>
          </w:tcPr>
          <w:p>
            <w:pPr>
              <w:jc w:val="center"/>
            </w:pPr>
            <w:r/>
            <w:r>
              <w:rPr>
                <w:b/>
                <w:color w:val="000000"/>
                <w:sz w:val="14"/>
              </w:rPr>
              <w:t>Poblaciones inválidas</w:t>
            </w:r>
          </w:p>
        </w:tc>
      </w:tr>
      <w:tr>
        <w:tc>
          <w:tcPr>
            <w:tcW w:type="dxa" w:w="1514"/>
            <w:vAlign w:val="center"/>
          </w:tcPr>
          <w:p>
            <w:pPr>
              <w:jc w:val="center"/>
            </w:pPr>
            <w:r/>
            <w:r>
              <w:rPr>
                <w:b w:val="0"/>
                <w:sz w:val="14"/>
              </w:rPr>
              <w:t>cities_100_101112</w:t>
            </w:r>
          </w:p>
        </w:tc>
        <w:tc>
          <w:tcPr>
            <w:tcW w:type="dxa" w:w="1514"/>
            <w:vAlign w:val="center"/>
          </w:tcPr>
          <w:p>
            <w:pPr>
              <w:jc w:val="center"/>
            </w:pPr>
            <w:r/>
            <w:r>
              <w:rPr>
                <w:b w:val="0"/>
                <w:sz w:val="14"/>
              </w:rPr>
              <w:t>85</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cities_100_123</w:t>
            </w:r>
          </w:p>
        </w:tc>
        <w:tc>
          <w:tcPr>
            <w:tcW w:type="dxa" w:w="1514"/>
            <w:vAlign w:val="center"/>
          </w:tcPr>
          <w:p>
            <w:pPr>
              <w:jc w:val="center"/>
            </w:pPr>
            <w:r/>
            <w:r>
              <w:rPr>
                <w:b w:val="0"/>
                <w:sz w:val="14"/>
              </w:rPr>
              <w:t>82</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cities_100_131415</w:t>
            </w:r>
          </w:p>
        </w:tc>
        <w:tc>
          <w:tcPr>
            <w:tcW w:type="dxa" w:w="1514"/>
            <w:vAlign w:val="center"/>
          </w:tcPr>
          <w:p>
            <w:pPr>
              <w:jc w:val="center"/>
            </w:pPr>
            <w:r/>
            <w:r>
              <w:rPr>
                <w:b w:val="0"/>
                <w:sz w:val="14"/>
              </w:rPr>
              <w:t>88</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cities_100_161718</w:t>
            </w:r>
          </w:p>
        </w:tc>
        <w:tc>
          <w:tcPr>
            <w:tcW w:type="dxa" w:w="1514"/>
            <w:vAlign w:val="center"/>
          </w:tcPr>
          <w:p>
            <w:pPr>
              <w:jc w:val="center"/>
            </w:pPr>
            <w:r/>
            <w:r>
              <w:rPr>
                <w:b w:val="0"/>
                <w:sz w:val="14"/>
              </w:rPr>
              <w:t>80</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cities_100_192021</w:t>
            </w:r>
          </w:p>
        </w:tc>
        <w:tc>
          <w:tcPr>
            <w:tcW w:type="dxa" w:w="1514"/>
            <w:vAlign w:val="center"/>
          </w:tcPr>
          <w:p>
            <w:pPr>
              <w:jc w:val="center"/>
            </w:pPr>
            <w:r/>
            <w:r>
              <w:rPr>
                <w:b w:val="0"/>
                <w:sz w:val="14"/>
              </w:rPr>
              <w:t>80</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cities_100_222324</w:t>
            </w:r>
          </w:p>
        </w:tc>
        <w:tc>
          <w:tcPr>
            <w:tcW w:type="dxa" w:w="1514"/>
            <w:vAlign w:val="center"/>
          </w:tcPr>
          <w:p>
            <w:pPr>
              <w:jc w:val="center"/>
            </w:pPr>
            <w:r/>
            <w:r>
              <w:rPr>
                <w:b w:val="0"/>
                <w:sz w:val="14"/>
              </w:rPr>
              <w:t>82</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cities_100_252627</w:t>
            </w:r>
          </w:p>
        </w:tc>
        <w:tc>
          <w:tcPr>
            <w:tcW w:type="dxa" w:w="1514"/>
            <w:vAlign w:val="center"/>
          </w:tcPr>
          <w:p>
            <w:pPr>
              <w:jc w:val="center"/>
            </w:pPr>
            <w:r/>
            <w:r>
              <w:rPr>
                <w:b w:val="0"/>
                <w:sz w:val="14"/>
              </w:rPr>
              <w:t>84</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cities_100_282930</w:t>
            </w:r>
          </w:p>
        </w:tc>
        <w:tc>
          <w:tcPr>
            <w:tcW w:type="dxa" w:w="1514"/>
            <w:vAlign w:val="center"/>
          </w:tcPr>
          <w:p>
            <w:pPr>
              <w:jc w:val="center"/>
            </w:pPr>
            <w:r/>
            <w:r>
              <w:rPr>
                <w:b w:val="0"/>
                <w:sz w:val="14"/>
              </w:rPr>
              <w:t>83</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cities_100_456</w:t>
            </w:r>
          </w:p>
        </w:tc>
        <w:tc>
          <w:tcPr>
            <w:tcW w:type="dxa" w:w="1514"/>
            <w:vAlign w:val="center"/>
          </w:tcPr>
          <w:p>
            <w:pPr>
              <w:jc w:val="center"/>
            </w:pPr>
            <w:r/>
            <w:r>
              <w:rPr>
                <w:b w:val="0"/>
                <w:sz w:val="14"/>
              </w:rPr>
              <w:t>84</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r>
        <w:tc>
          <w:tcPr>
            <w:tcW w:type="dxa" w:w="1514"/>
            <w:vAlign w:val="center"/>
          </w:tcPr>
          <w:p>
            <w:pPr>
              <w:jc w:val="center"/>
            </w:pPr>
            <w:r/>
            <w:r>
              <w:rPr>
                <w:b w:val="0"/>
                <w:sz w:val="14"/>
              </w:rPr>
              <w:t>cities_100_789</w:t>
            </w:r>
          </w:p>
        </w:tc>
        <w:tc>
          <w:tcPr>
            <w:tcW w:type="dxa" w:w="1514"/>
            <w:vAlign w:val="center"/>
          </w:tcPr>
          <w:p>
            <w:pPr>
              <w:jc w:val="center"/>
            </w:pPr>
            <w:r/>
            <w:r>
              <w:rPr>
                <w:b w:val="0"/>
                <w:sz w:val="14"/>
              </w:rPr>
              <w:t>80</w:t>
            </w:r>
          </w:p>
        </w:tc>
        <w:tc>
          <w:tcPr>
            <w:tcW w:type="dxa" w:w="1514"/>
            <w:vAlign w:val="center"/>
          </w:tcPr>
          <w:p>
            <w:pPr>
              <w:jc w:val="center"/>
            </w:pPr>
            <w:r/>
            <w:r>
              <w:rPr>
                <w:b w:val="0"/>
                <w:sz w:val="14"/>
              </w:rPr>
              <w:t>Sí</w:t>
            </w:r>
          </w:p>
        </w:tc>
        <w:tc>
          <w:tcPr>
            <w:tcW w:type="dxa" w:w="1514"/>
            <w:vAlign w:val="center"/>
          </w:tcPr>
          <w:p>
            <w:pPr>
              <w:jc w:val="center"/>
            </w:pPr>
            <w:r/>
            <w:r>
              <w:rPr>
                <w:b w:val="0"/>
                <w:sz w:val="14"/>
              </w:rPr>
              <w:t>Sí</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c>
          <w:tcPr>
            <w:tcW w:type="dxa" w:w="1514"/>
            <w:vAlign w:val="center"/>
          </w:tcPr>
          <w:p>
            <w:pPr>
              <w:jc w:val="center"/>
            </w:pPr>
            <w:r/>
            <w:r>
              <w:rPr>
                <w:b w:val="0"/>
                <w:sz w:val="14"/>
              </w:rPr>
              <w:t>0</w:t>
            </w:r>
          </w:p>
        </w:tc>
      </w:tr>
    </w:tbl>
    <w:p/>
    <w:p>
      <w:pPr>
        <w:spacing w:after="120"/>
      </w:pPr>
      <w:r>
        <w:t>Sustentación del literal a): la validez no se dejó al azar. La estructura de permutación, el crossover OX y la mutación por inversión fueron seleccionados porque respetan la naturaleza combinatoria del TSP. La tabla anterior confirma que todos los datasets terminaron con rutas válidas; además, se registraron 0 hijos inválidos, 0 reparaciones y 0 generaciones con población inválida. Por tanto, se cumple explícitamente la condición de no repetir ciudades y no omitir ciudades.</w:t>
      </w:r>
    </w:p>
    <w:p>
      <w:pPr>
        <w:pStyle w:val="Heading1"/>
      </w:pPr>
      <w:r>
        <w:t>b) Definición de operadores genéticos y justificación del uso</w:t>
      </w:r>
    </w:p>
    <w:p>
      <w:pPr>
        <w:spacing w:after="120"/>
      </w:pPr>
      <w:r>
        <w:rPr>
          <w:b/>
        </w:rPr>
        <w:t>Qué pide el literal:</w:t>
      </w:r>
      <w:r/>
    </w:p>
    <w:p>
      <w:pPr>
        <w:pStyle w:val="ListBullet"/>
        <w:spacing w:after="40"/>
      </w:pPr>
      <w:r>
        <w:t>Definir un operador de crossover válido para permutaciones, como PMX, OX o CX.</w:t>
      </w:r>
    </w:p>
    <w:p>
      <w:pPr>
        <w:pStyle w:val="ListBullet"/>
        <w:spacing w:after="40"/>
      </w:pPr>
      <w:r>
        <w:t>Definir un operador de mutación válido, como swap, inversión o scramble.</w:t>
      </w:r>
    </w:p>
    <w:p>
      <w:pPr>
        <w:pStyle w:val="ListBullet"/>
        <w:spacing w:after="40"/>
      </w:pPr>
      <w:r>
        <w:t>Justificar por qué esos operadores son adecuados para el TSP.</w:t>
      </w:r>
    </w:p>
    <w:p>
      <w:pPr>
        <w:spacing w:after="120"/>
      </w:pPr>
      <w:r>
        <w:rPr>
          <w:b/>
        </w:rPr>
        <w:t>Respuesta implementada:</w:t>
      </w:r>
      <w:r/>
    </w:p>
    <w:p>
      <w:pPr>
        <w:spacing w:after="120"/>
      </w:pPr>
      <w:r>
        <w:t>El algoritmo elegido fue un Algoritmo Genético Generacional Elitista. Dentro de ese algoritmo se utilizaron selección por torneo, crossover OX, mutación por inversión y elitismo. Es importante diferenciar la variante del algoritmo de sus operadores: el elitismo define cómo se conserva la mejor solución entre generaciones; OX define cómo se cruzan dos rutas padres para formar un hijo válido.</w:t>
      </w:r>
    </w:p>
    <w:p>
      <w:pPr>
        <w:spacing w:after="120"/>
      </w:pPr>
      <w:r>
        <w:rPr>
          <w:b/>
        </w:rPr>
        <w:t>Análisis conceptual:</w:t>
      </w:r>
      <w:r/>
    </w:p>
    <w:p>
      <w:pPr>
        <w:spacing w:after="120"/>
      </w:pPr>
      <w:r>
        <w:t>La elección no fue entre OX y el AG elitista, porque pertenecen a niveles diferentes de la solución. El AG generacional elitista es el enfoque principal de búsqueda; OX es el operador de crossover usado dentro de ese AG para recombinar rutas sin romper la estructura de permutación. Por tanto, la formulación correcta es: “Algoritmo Genético Generacional Elitista con crossover OX y mutación por inversión”.</w:t>
      </w:r>
    </w:p>
    <w:p>
      <w:pPr>
        <w:spacing w:before="80" w:after="40"/>
      </w:pPr>
      <w:r>
        <w:rPr>
          <w:b/>
          <w:color w:val="1F4E79"/>
        </w:rPr>
        <w:t>Tabla 5. Operadores genéticos y justificación técnica.</w:t>
      </w:r>
    </w:p>
    <w:tbl>
      <w:tblPr>
        <w:tblStyle w:val="TableGrid"/>
        <w:tblW w:type="auto" w:w="0"/>
        <w:jc w:val="center"/>
        <w:tblLook w:firstColumn="1" w:firstRow="1" w:lastColumn="0" w:lastRow="0" w:noHBand="0" w:noVBand="1" w:val="04A0"/>
      </w:tblPr>
      <w:tblGrid>
        <w:gridCol w:w="3532"/>
        <w:gridCol w:w="3532"/>
        <w:gridCol w:w="3532"/>
      </w:tblGrid>
      <w:tr>
        <w:tc>
          <w:tcPr>
            <w:tcW w:type="dxa" w:w="3532"/>
            <w:shd w:fill="D9EAF7"/>
          </w:tcPr>
          <w:p>
            <w:pPr>
              <w:jc w:val="center"/>
            </w:pPr>
            <w:r/>
            <w:r>
              <w:rPr>
                <w:b/>
                <w:color w:val="000000"/>
                <w:sz w:val="15"/>
              </w:rPr>
              <w:t>Operador o componente</w:t>
            </w:r>
          </w:p>
        </w:tc>
        <w:tc>
          <w:tcPr>
            <w:tcW w:type="dxa" w:w="3532"/>
            <w:shd w:fill="D9EAF7"/>
          </w:tcPr>
          <w:p>
            <w:pPr>
              <w:jc w:val="center"/>
            </w:pPr>
            <w:r/>
            <w:r>
              <w:rPr>
                <w:b/>
                <w:color w:val="000000"/>
                <w:sz w:val="15"/>
              </w:rPr>
              <w:t>Funcionamiento</w:t>
            </w:r>
          </w:p>
        </w:tc>
        <w:tc>
          <w:tcPr>
            <w:tcW w:type="dxa" w:w="3532"/>
            <w:shd w:fill="D9EAF7"/>
          </w:tcPr>
          <w:p>
            <w:pPr>
              <w:jc w:val="center"/>
            </w:pPr>
            <w:r/>
            <w:r>
              <w:rPr>
                <w:b/>
                <w:color w:val="000000"/>
                <w:sz w:val="15"/>
              </w:rPr>
              <w:t>Justificación</w:t>
            </w:r>
          </w:p>
        </w:tc>
      </w:tr>
      <w:tr>
        <w:tc>
          <w:tcPr>
            <w:tcW w:type="dxa" w:w="3532"/>
            <w:vAlign w:val="center"/>
          </w:tcPr>
          <w:p>
            <w:pPr>
              <w:jc w:val="center"/>
            </w:pPr>
            <w:r/>
            <w:r>
              <w:rPr>
                <w:b w:val="0"/>
                <w:sz w:val="15"/>
              </w:rPr>
              <w:t>Selección por torneo</w:t>
            </w:r>
          </w:p>
        </w:tc>
        <w:tc>
          <w:tcPr>
            <w:tcW w:type="dxa" w:w="3532"/>
            <w:vAlign w:val="center"/>
          </w:tcPr>
          <w:p>
            <w:pPr>
              <w:jc w:val="center"/>
            </w:pPr>
            <w:r/>
            <w:r>
              <w:rPr>
                <w:b w:val="0"/>
                <w:sz w:val="15"/>
              </w:rPr>
              <w:t>Se eligen k individuos al azar y se reproduce el de menor distancia.</w:t>
            </w:r>
          </w:p>
        </w:tc>
        <w:tc>
          <w:tcPr>
            <w:tcW w:type="dxa" w:w="3532"/>
            <w:vAlign w:val="center"/>
          </w:tcPr>
          <w:p>
            <w:pPr>
              <w:jc w:val="center"/>
            </w:pPr>
            <w:r/>
            <w:r>
              <w:rPr>
                <w:b w:val="0"/>
                <w:sz w:val="15"/>
              </w:rPr>
              <w:t>Controla la presión selectiva y permite que las mejores rutas tengan más probabilidad de reproducirse sin eliminar toda la diversidad.</w:t>
            </w:r>
          </w:p>
        </w:tc>
      </w:tr>
      <w:tr>
        <w:tc>
          <w:tcPr>
            <w:tcW w:type="dxa" w:w="3532"/>
            <w:vAlign w:val="center"/>
          </w:tcPr>
          <w:p>
            <w:pPr>
              <w:jc w:val="center"/>
            </w:pPr>
            <w:r/>
            <w:r>
              <w:rPr>
                <w:b w:val="0"/>
                <w:sz w:val="15"/>
              </w:rPr>
              <w:t>Crossover OX</w:t>
            </w:r>
          </w:p>
        </w:tc>
        <w:tc>
          <w:tcPr>
            <w:tcW w:type="dxa" w:w="3532"/>
            <w:vAlign w:val="center"/>
          </w:tcPr>
          <w:p>
            <w:pPr>
              <w:jc w:val="center"/>
            </w:pPr>
            <w:r/>
            <w:r>
              <w:rPr>
                <w:b w:val="0"/>
                <w:sz w:val="15"/>
              </w:rPr>
              <w:t>Copia un segmento de un padre y completa con el orden relativo del otro padre.</w:t>
            </w:r>
          </w:p>
        </w:tc>
        <w:tc>
          <w:tcPr>
            <w:tcW w:type="dxa" w:w="3532"/>
            <w:vAlign w:val="center"/>
          </w:tcPr>
          <w:p>
            <w:pPr>
              <w:jc w:val="center"/>
            </w:pPr>
            <w:r/>
            <w:r>
              <w:rPr>
                <w:b w:val="0"/>
                <w:sz w:val="15"/>
              </w:rPr>
              <w:t>Es válido para permutaciones: evita ciudades repetidas y faltantes, y conserva información de orden, que es crítica en el TSP.</w:t>
            </w:r>
          </w:p>
        </w:tc>
      </w:tr>
      <w:tr>
        <w:tc>
          <w:tcPr>
            <w:tcW w:type="dxa" w:w="3532"/>
            <w:vAlign w:val="center"/>
          </w:tcPr>
          <w:p>
            <w:pPr>
              <w:jc w:val="center"/>
            </w:pPr>
            <w:r/>
            <w:r>
              <w:rPr>
                <w:b w:val="0"/>
                <w:sz w:val="15"/>
              </w:rPr>
              <w:t>Mutación por inversión</w:t>
            </w:r>
          </w:p>
        </w:tc>
        <w:tc>
          <w:tcPr>
            <w:tcW w:type="dxa" w:w="3532"/>
            <w:vAlign w:val="center"/>
          </w:tcPr>
          <w:p>
            <w:pPr>
              <w:jc w:val="center"/>
            </w:pPr>
            <w:r/>
            <w:r>
              <w:rPr>
                <w:b w:val="0"/>
                <w:sz w:val="15"/>
              </w:rPr>
              <w:t>Invierte un segmento de la ruta.</w:t>
            </w:r>
          </w:p>
        </w:tc>
        <w:tc>
          <w:tcPr>
            <w:tcW w:type="dxa" w:w="3532"/>
            <w:vAlign w:val="center"/>
          </w:tcPr>
          <w:p>
            <w:pPr>
              <w:jc w:val="center"/>
            </w:pPr>
            <w:r/>
            <w:r>
              <w:rPr>
                <w:b w:val="0"/>
                <w:sz w:val="15"/>
              </w:rPr>
              <w:t>Mantiene todos los genes y solo cambia el orden de visita; además, es coherente con mejoras típicas del TSP.</w:t>
            </w:r>
          </w:p>
        </w:tc>
      </w:tr>
      <w:tr>
        <w:tc>
          <w:tcPr>
            <w:tcW w:type="dxa" w:w="3532"/>
            <w:vAlign w:val="center"/>
          </w:tcPr>
          <w:p>
            <w:pPr>
              <w:jc w:val="center"/>
            </w:pPr>
            <w:r/>
            <w:r>
              <w:rPr>
                <w:b w:val="0"/>
                <w:sz w:val="15"/>
              </w:rPr>
              <w:t>Elitismo</w:t>
            </w:r>
          </w:p>
        </w:tc>
        <w:tc>
          <w:tcPr>
            <w:tcW w:type="dxa" w:w="3532"/>
            <w:vAlign w:val="center"/>
          </w:tcPr>
          <w:p>
            <w:pPr>
              <w:jc w:val="center"/>
            </w:pPr>
            <w:r/>
            <w:r>
              <w:rPr>
                <w:b w:val="0"/>
                <w:sz w:val="15"/>
              </w:rPr>
              <w:t>Copia los mejores individuos directamente a la siguiente generación.</w:t>
            </w:r>
          </w:p>
        </w:tc>
        <w:tc>
          <w:tcPr>
            <w:tcW w:type="dxa" w:w="3532"/>
            <w:vAlign w:val="center"/>
          </w:tcPr>
          <w:p>
            <w:pPr>
              <w:jc w:val="center"/>
            </w:pPr>
            <w:r/>
            <w:r>
              <w:rPr>
                <w:b w:val="0"/>
                <w:sz w:val="15"/>
              </w:rPr>
              <w:t>Evita que una buena ruta se pierda por azar durante crossover o mutación.</w:t>
            </w:r>
          </w:p>
        </w:tc>
      </w:tr>
      <w:tr>
        <w:tc>
          <w:tcPr>
            <w:tcW w:type="dxa" w:w="3532"/>
            <w:vAlign w:val="center"/>
          </w:tcPr>
          <w:p>
            <w:pPr>
              <w:jc w:val="center"/>
            </w:pPr>
            <w:r/>
            <w:r>
              <w:rPr>
                <w:b w:val="0"/>
                <w:sz w:val="15"/>
              </w:rPr>
              <w:t>2-opt final</w:t>
            </w:r>
          </w:p>
        </w:tc>
        <w:tc>
          <w:tcPr>
            <w:tcW w:type="dxa" w:w="3532"/>
            <w:vAlign w:val="center"/>
          </w:tcPr>
          <w:p>
            <w:pPr>
              <w:jc w:val="center"/>
            </w:pPr>
            <w:r/>
            <w:r>
              <w:rPr>
                <w:b w:val="0"/>
                <w:sz w:val="15"/>
              </w:rPr>
              <w:t>Invierte segmentos si reduce la distancia total.</w:t>
            </w:r>
          </w:p>
        </w:tc>
        <w:tc>
          <w:tcPr>
            <w:tcW w:type="dxa" w:w="3532"/>
            <w:vAlign w:val="center"/>
          </w:tcPr>
          <w:p>
            <w:pPr>
              <w:jc w:val="center"/>
            </w:pPr>
            <w:r/>
            <w:r>
              <w:rPr>
                <w:b w:val="0"/>
                <w:sz w:val="15"/>
              </w:rPr>
              <w:t>Refina la mejor ruta hallada por el AG; por eso el enfoque puede considerarse híbrido o memético en la etapa final.</w:t>
            </w:r>
          </w:p>
        </w:tc>
      </w:tr>
    </w:tbl>
    <w:p/>
    <w:p>
      <w:pPr>
        <w:spacing w:after="120"/>
      </w:pPr>
      <w:r>
        <w:t>Sustentación del literal b): OX fue seleccionado porque el TSP es sensible al orden de visita. Un cruce tradicional podría producir cromosomas inválidos, por ejemplo con ciudades repetidas y otras ausentes. OX reduce ese riesgo porque preserva un segmento de una ruta padre y completa la solución con las ciudades que faltan siguiendo el orden del otro padre. La mutación por inversión se seleccionó porque explora cambios locales sin destruir la estructura de permutación. El elitismo se incorporó para proteger la mejor solución alcanzada y estabilizar la convergencia.</w:t>
      </w:r>
    </w:p>
    <w:p>
      <w:pPr>
        <w:pStyle w:val="Heading1"/>
      </w:pPr>
      <w:r>
        <w:t>c) Análisis de la evolución del fitness</w:t>
      </w:r>
    </w:p>
    <w:p>
      <w:pPr>
        <w:spacing w:after="120"/>
      </w:pPr>
      <w:r>
        <w:rPr>
          <w:b/>
        </w:rPr>
        <w:t>Qué pide el literal:</w:t>
      </w:r>
      <w:r/>
    </w:p>
    <w:p>
      <w:pPr>
        <w:pStyle w:val="ListBullet"/>
        <w:spacing w:after="40"/>
      </w:pPr>
      <w:r>
        <w:t>Graficar por generación el mejor fitness, el fitness promedio y el peor fitness.</w:t>
      </w:r>
    </w:p>
    <w:p>
      <w:pPr>
        <w:pStyle w:val="ListBullet"/>
        <w:spacing w:after="40"/>
      </w:pPr>
      <w:r>
        <w:t>Analizar la convergencia del algoritmo.</w:t>
      </w:r>
    </w:p>
    <w:p>
      <w:pPr>
        <w:pStyle w:val="ListBullet"/>
        <w:spacing w:after="40"/>
      </w:pPr>
      <w:r>
        <w:t>Analizar la presencia de estancamiento o convergencia prematura.</w:t>
      </w:r>
    </w:p>
    <w:p>
      <w:pPr>
        <w:spacing w:after="120"/>
      </w:pPr>
      <w:r>
        <w:rPr>
          <w:b/>
        </w:rPr>
        <w:t>Definición de fitness:</w:t>
      </w:r>
      <w:r/>
    </w:p>
    <w:p>
      <w:pPr>
        <w:spacing w:after="120"/>
      </w:pPr>
      <w:r>
        <w:t>El objetivo del TSP es minimizar la distancia total. Para adaptar el problema al lenguaje de fitness, se definió fitness = 1 / distancia_total. Con esta definición, una ruta más corta tiene mayor fitness. En cada generación se registraron tres métricas: mejor fitness, fitness promedio y peor fitness. Estas tres curvas permiten observar si la población mejora, si se concentra alrededor de buenas soluciones o si todavía mantiene individuos de baja calidad.</w:t>
      </w:r>
    </w:p>
    <w:p>
      <w:pPr>
        <w:jc w:val="center"/>
      </w:pPr>
      <w:r>
        <w:drawing>
          <wp:inline xmlns:a="http://schemas.openxmlformats.org/drawingml/2006/main" xmlns:pic="http://schemas.openxmlformats.org/drawingml/2006/picture">
            <wp:extent cx="6012000" cy="7423693"/>
            <wp:docPr id="1" name="Picture 1"/>
            <wp:cNvGraphicFramePr>
              <a:graphicFrameLocks noChangeAspect="1"/>
            </wp:cNvGraphicFramePr>
            <a:graphic>
              <a:graphicData uri="http://schemas.openxmlformats.org/drawingml/2006/picture">
                <pic:pic>
                  <pic:nvPicPr>
                    <pic:cNvPr id="0" name="panel_fitness_all_datasets_v5.png"/>
                    <pic:cNvPicPr/>
                  </pic:nvPicPr>
                  <pic:blipFill>
                    <a:blip r:embed="rId10"/>
                    <a:stretch>
                      <a:fillRect/>
                    </a:stretch>
                  </pic:blipFill>
                  <pic:spPr>
                    <a:xfrm>
                      <a:off x="0" y="0"/>
                      <a:ext cx="6012000" cy="7423693"/>
                    </a:xfrm>
                    <a:prstGeom prst="rect"/>
                  </pic:spPr>
                </pic:pic>
              </a:graphicData>
            </a:graphic>
          </wp:inline>
        </w:drawing>
      </w:r>
    </w:p>
    <w:p>
      <w:pPr>
        <w:spacing w:after="160"/>
        <w:jc w:val="center"/>
      </w:pPr>
      <w:r>
        <w:rPr>
          <w:i/>
          <w:sz w:val="18"/>
        </w:rPr>
        <w:t>Figura 1. Evolución por generación del mejor fitness, fitness promedio y peor fitness para los 10 datasets.</w:t>
      </w:r>
    </w:p>
    <w:p>
      <w:pPr>
        <w:spacing w:after="120"/>
      </w:pPr>
      <w:r>
        <w:rPr>
          <w:b/>
        </w:rPr>
        <w:t>Análisis de la gráfica de fitness:</w:t>
      </w:r>
      <w:r/>
    </w:p>
    <w:p>
      <w:pPr>
        <w:spacing w:after="120"/>
      </w:pPr>
      <w:r>
        <w:t>En los 10 datasets se observa el comportamiento esperado de un algoritmo genético: el mejor fitness crece de manera rápida al inicio, porque la población encuentra rutas claramente mejores que las aleatorias; después, las mejoras se vuelven más pequeñas y la curva se estabiliza. El fitness promedio tiende a acercarse al mejor fitness, lo que evidencia convergencia de la población hacia rutas de mayor calidad. El peor fitness también mejora o se estabiliza porque la selección y el reemplazo generacional reducen la presencia de rutas de mala calidad.</w:t>
      </w:r>
    </w:p>
    <w:p>
      <w:pPr>
        <w:jc w:val="center"/>
      </w:pPr>
      <w:r>
        <w:drawing>
          <wp:inline xmlns:a="http://schemas.openxmlformats.org/drawingml/2006/main" xmlns:pic="http://schemas.openxmlformats.org/drawingml/2006/picture">
            <wp:extent cx="6012000" cy="7423693"/>
            <wp:docPr id="2" name="Picture 2"/>
            <wp:cNvGraphicFramePr>
              <a:graphicFrameLocks noChangeAspect="1"/>
            </wp:cNvGraphicFramePr>
            <a:graphic>
              <a:graphicData uri="http://schemas.openxmlformats.org/drawingml/2006/picture">
                <pic:pic>
                  <pic:nvPicPr>
                    <pic:cNvPr id="0" name="panel_convergencia_distancia_all_datasets_v5.png"/>
                    <pic:cNvPicPr/>
                  </pic:nvPicPr>
                  <pic:blipFill>
                    <a:blip r:embed="rId11"/>
                    <a:stretch>
                      <a:fillRect/>
                    </a:stretch>
                  </pic:blipFill>
                  <pic:spPr>
                    <a:xfrm>
                      <a:off x="0" y="0"/>
                      <a:ext cx="6012000" cy="7423693"/>
                    </a:xfrm>
                    <a:prstGeom prst="rect"/>
                  </pic:spPr>
                </pic:pic>
              </a:graphicData>
            </a:graphic>
          </wp:inline>
        </w:drawing>
      </w:r>
    </w:p>
    <w:p>
      <w:pPr>
        <w:spacing w:after="160"/>
        <w:jc w:val="center"/>
      </w:pPr>
      <w:r>
        <w:rPr>
          <w:i/>
          <w:sz w:val="18"/>
        </w:rPr>
        <w:t>Figura 2. Convergencia por distancia: mejor distancia acumulada, distancia promedio y peor distancia por generación.</w:t>
      </w:r>
    </w:p>
    <w:p>
      <w:pPr>
        <w:spacing w:before="80" w:after="40"/>
      </w:pPr>
      <w:r>
        <w:rPr>
          <w:b/>
          <w:color w:val="1F4E79"/>
        </w:rPr>
        <w:t>Tabla 6. Evidencia de convergencia y estancamiento por dataset.</w:t>
      </w:r>
    </w:p>
    <w:tbl>
      <w:tblPr>
        <w:tblStyle w:val="TableGrid"/>
        <w:tblW w:type="auto" w:w="0"/>
        <w:jc w:val="center"/>
        <w:tblLook w:firstColumn="1" w:firstRow="1" w:lastColumn="0" w:lastRow="0" w:noHBand="0" w:noVBand="1" w:val="04A0"/>
      </w:tblPr>
      <w:tblGrid>
        <w:gridCol w:w="1766"/>
        <w:gridCol w:w="1766"/>
        <w:gridCol w:w="1766"/>
        <w:gridCol w:w="1766"/>
        <w:gridCol w:w="1766"/>
        <w:gridCol w:w="1766"/>
      </w:tblGrid>
      <w:tr>
        <w:tc>
          <w:tcPr>
            <w:tcW w:type="dxa" w:w="1766"/>
            <w:shd w:fill="D9EAF7"/>
          </w:tcPr>
          <w:p>
            <w:pPr>
              <w:jc w:val="center"/>
            </w:pPr>
            <w:r/>
            <w:r>
              <w:rPr>
                <w:b/>
                <w:color w:val="000000"/>
                <w:sz w:val="13"/>
              </w:rPr>
              <w:t>Dataset</w:t>
            </w:r>
          </w:p>
        </w:tc>
        <w:tc>
          <w:tcPr>
            <w:tcW w:type="dxa" w:w="1766"/>
            <w:shd w:fill="D9EAF7"/>
          </w:tcPr>
          <w:p>
            <w:pPr>
              <w:jc w:val="center"/>
            </w:pPr>
            <w:r/>
            <w:r>
              <w:rPr>
                <w:b/>
                <w:color w:val="000000"/>
                <w:sz w:val="13"/>
              </w:rPr>
              <w:t>Mejor generación</w:t>
            </w:r>
          </w:p>
        </w:tc>
        <w:tc>
          <w:tcPr>
            <w:tcW w:type="dxa" w:w="1766"/>
            <w:shd w:fill="D9EAF7"/>
          </w:tcPr>
          <w:p>
            <w:pPr>
              <w:jc w:val="center"/>
            </w:pPr>
            <w:r/>
            <w:r>
              <w:rPr>
                <w:b/>
                <w:color w:val="000000"/>
                <w:sz w:val="13"/>
              </w:rPr>
              <w:t>Gen. finales sin mejora</w:t>
            </w:r>
          </w:p>
        </w:tc>
        <w:tc>
          <w:tcPr>
            <w:tcW w:type="dxa" w:w="1766"/>
            <w:shd w:fill="D9EAF7"/>
          </w:tcPr>
          <w:p>
            <w:pPr>
              <w:jc w:val="center"/>
            </w:pPr>
            <w:r/>
            <w:r>
              <w:rPr>
                <w:b/>
                <w:color w:val="000000"/>
                <w:sz w:val="13"/>
              </w:rPr>
              <w:t>Únicos finales (%)</w:t>
            </w:r>
          </w:p>
        </w:tc>
        <w:tc>
          <w:tcPr>
            <w:tcW w:type="dxa" w:w="1766"/>
            <w:shd w:fill="D9EAF7"/>
          </w:tcPr>
          <w:p>
            <w:pPr>
              <w:jc w:val="center"/>
            </w:pPr>
            <w:r/>
            <w:r>
              <w:rPr>
                <w:b/>
                <w:color w:val="000000"/>
                <w:sz w:val="13"/>
              </w:rPr>
              <w:t>Hamming final (%)</w:t>
            </w:r>
          </w:p>
        </w:tc>
        <w:tc>
          <w:tcPr>
            <w:tcW w:type="dxa" w:w="1766"/>
            <w:shd w:fill="D9EAF7"/>
          </w:tcPr>
          <w:p>
            <w:pPr>
              <w:jc w:val="center"/>
            </w:pPr>
            <w:r/>
            <w:r>
              <w:rPr>
                <w:b/>
                <w:color w:val="000000"/>
                <w:sz w:val="13"/>
              </w:rPr>
              <w:t>Diagnóstico</w:t>
            </w:r>
          </w:p>
        </w:tc>
      </w:tr>
      <w:tr>
        <w:tc>
          <w:tcPr>
            <w:tcW w:type="dxa" w:w="1766"/>
            <w:vAlign w:val="center"/>
          </w:tcPr>
          <w:p>
            <w:pPr>
              <w:jc w:val="center"/>
            </w:pPr>
            <w:r/>
            <w:r>
              <w:rPr>
                <w:b w:val="0"/>
                <w:sz w:val="13"/>
              </w:rPr>
              <w:t>cities_100_101112</w:t>
            </w:r>
          </w:p>
        </w:tc>
        <w:tc>
          <w:tcPr>
            <w:tcW w:type="dxa" w:w="1766"/>
            <w:vAlign w:val="center"/>
          </w:tcPr>
          <w:p>
            <w:pPr>
              <w:jc w:val="center"/>
            </w:pPr>
            <w:r/>
            <w:r>
              <w:rPr>
                <w:b w:val="0"/>
                <w:sz w:val="13"/>
              </w:rPr>
              <w:t>242</w:t>
            </w:r>
          </w:p>
        </w:tc>
        <w:tc>
          <w:tcPr>
            <w:tcW w:type="dxa" w:w="1766"/>
            <w:vAlign w:val="center"/>
          </w:tcPr>
          <w:p>
            <w:pPr>
              <w:jc w:val="center"/>
            </w:pPr>
            <w:r/>
            <w:r>
              <w:rPr>
                <w:b w:val="0"/>
                <w:sz w:val="13"/>
              </w:rPr>
              <w:t>8</w:t>
            </w:r>
          </w:p>
        </w:tc>
        <w:tc>
          <w:tcPr>
            <w:tcW w:type="dxa" w:w="1766"/>
            <w:vAlign w:val="center"/>
          </w:tcPr>
          <w:p>
            <w:pPr>
              <w:jc w:val="center"/>
            </w:pPr>
            <w:r/>
            <w:r>
              <w:rPr>
                <w:b w:val="0"/>
                <w:sz w:val="13"/>
              </w:rPr>
              <w:t>35.0</w:t>
            </w:r>
          </w:p>
        </w:tc>
        <w:tc>
          <w:tcPr>
            <w:tcW w:type="dxa" w:w="1766"/>
            <w:vAlign w:val="center"/>
          </w:tcPr>
          <w:p>
            <w:pPr>
              <w:jc w:val="center"/>
            </w:pPr>
            <w:r/>
            <w:r>
              <w:rPr>
                <w:b w:val="0"/>
                <w:sz w:val="13"/>
              </w:rPr>
              <w:t>39.0</w:t>
            </w:r>
          </w:p>
        </w:tc>
        <w:tc>
          <w:tcPr>
            <w:tcW w:type="dxa" w:w="1766"/>
            <w:vAlign w:val="center"/>
          </w:tcPr>
          <w:p>
            <w:pPr>
              <w:jc w:val="center"/>
            </w:pPr>
            <w:r/>
            <w:r>
              <w:rPr>
                <w:b w:val="0"/>
                <w:sz w:val="13"/>
              </w:rPr>
              <w:t>Convergencia activa: se observaron mejoras dentro del tramo final del algoritmo.</w:t>
            </w:r>
          </w:p>
        </w:tc>
      </w:tr>
      <w:tr>
        <w:tc>
          <w:tcPr>
            <w:tcW w:type="dxa" w:w="1766"/>
            <w:vAlign w:val="center"/>
          </w:tcPr>
          <w:p>
            <w:pPr>
              <w:jc w:val="center"/>
            </w:pPr>
            <w:r/>
            <w:r>
              <w:rPr>
                <w:b w:val="0"/>
                <w:sz w:val="13"/>
              </w:rPr>
              <w:t>cities_100_123</w:t>
            </w:r>
          </w:p>
        </w:tc>
        <w:tc>
          <w:tcPr>
            <w:tcW w:type="dxa" w:w="1766"/>
            <w:vAlign w:val="center"/>
          </w:tcPr>
          <w:p>
            <w:pPr>
              <w:jc w:val="center"/>
            </w:pPr>
            <w:r/>
            <w:r>
              <w:rPr>
                <w:b w:val="0"/>
                <w:sz w:val="13"/>
              </w:rPr>
              <w:t>230</w:t>
            </w:r>
          </w:p>
        </w:tc>
        <w:tc>
          <w:tcPr>
            <w:tcW w:type="dxa" w:w="1766"/>
            <w:vAlign w:val="center"/>
          </w:tcPr>
          <w:p>
            <w:pPr>
              <w:jc w:val="center"/>
            </w:pPr>
            <w:r/>
            <w:r>
              <w:rPr>
                <w:b w:val="0"/>
                <w:sz w:val="13"/>
              </w:rPr>
              <w:t>20</w:t>
            </w:r>
          </w:p>
        </w:tc>
        <w:tc>
          <w:tcPr>
            <w:tcW w:type="dxa" w:w="1766"/>
            <w:vAlign w:val="center"/>
          </w:tcPr>
          <w:p>
            <w:pPr>
              <w:jc w:val="center"/>
            </w:pPr>
            <w:r/>
            <w:r>
              <w:rPr>
                <w:b w:val="0"/>
                <w:sz w:val="13"/>
              </w:rPr>
              <w:t>16.0</w:t>
            </w:r>
          </w:p>
        </w:tc>
        <w:tc>
          <w:tcPr>
            <w:tcW w:type="dxa" w:w="1766"/>
            <w:vAlign w:val="center"/>
          </w:tcPr>
          <w:p>
            <w:pPr>
              <w:jc w:val="center"/>
            </w:pPr>
            <w:r/>
            <w:r>
              <w:rPr>
                <w:b w:val="0"/>
                <w:sz w:val="13"/>
              </w:rPr>
              <w:t>7.0</w:t>
            </w:r>
          </w:p>
        </w:tc>
        <w:tc>
          <w:tcPr>
            <w:tcW w:type="dxa" w:w="1766"/>
            <w:vAlign w:val="center"/>
          </w:tcPr>
          <w:p>
            <w:pPr>
              <w:jc w:val="center"/>
            </w:pPr>
            <w:r/>
            <w:r>
              <w:rPr>
                <w:b w:val="0"/>
                <w:sz w:val="13"/>
              </w:rPr>
              <w:t>Convergencia activa: se observaron mejoras dentro del tramo final del algoritmo.</w:t>
            </w:r>
          </w:p>
        </w:tc>
      </w:tr>
      <w:tr>
        <w:tc>
          <w:tcPr>
            <w:tcW w:type="dxa" w:w="1766"/>
            <w:vAlign w:val="center"/>
          </w:tcPr>
          <w:p>
            <w:pPr>
              <w:jc w:val="center"/>
            </w:pPr>
            <w:r/>
            <w:r>
              <w:rPr>
                <w:b w:val="0"/>
                <w:sz w:val="13"/>
              </w:rPr>
              <w:t>cities_100_131415</w:t>
            </w:r>
          </w:p>
        </w:tc>
        <w:tc>
          <w:tcPr>
            <w:tcW w:type="dxa" w:w="1766"/>
            <w:vAlign w:val="center"/>
          </w:tcPr>
          <w:p>
            <w:pPr>
              <w:jc w:val="center"/>
            </w:pPr>
            <w:r/>
            <w:r>
              <w:rPr>
                <w:b w:val="0"/>
                <w:sz w:val="13"/>
              </w:rPr>
              <w:t>214</w:t>
            </w:r>
          </w:p>
        </w:tc>
        <w:tc>
          <w:tcPr>
            <w:tcW w:type="dxa" w:w="1766"/>
            <w:vAlign w:val="center"/>
          </w:tcPr>
          <w:p>
            <w:pPr>
              <w:jc w:val="center"/>
            </w:pPr>
            <w:r/>
            <w:r>
              <w:rPr>
                <w:b w:val="0"/>
                <w:sz w:val="13"/>
              </w:rPr>
              <w:t>36</w:t>
            </w:r>
          </w:p>
        </w:tc>
        <w:tc>
          <w:tcPr>
            <w:tcW w:type="dxa" w:w="1766"/>
            <w:vAlign w:val="center"/>
          </w:tcPr>
          <w:p>
            <w:pPr>
              <w:jc w:val="center"/>
            </w:pPr>
            <w:r/>
            <w:r>
              <w:rPr>
                <w:b w:val="0"/>
                <w:sz w:val="13"/>
              </w:rPr>
              <w:t>19.0</w:t>
            </w:r>
          </w:p>
        </w:tc>
        <w:tc>
          <w:tcPr>
            <w:tcW w:type="dxa" w:w="1766"/>
            <w:vAlign w:val="center"/>
          </w:tcPr>
          <w:p>
            <w:pPr>
              <w:jc w:val="center"/>
            </w:pPr>
            <w:r/>
            <w:r>
              <w:rPr>
                <w:b w:val="0"/>
                <w:sz w:val="13"/>
              </w:rPr>
              <w:t>11.0</w:t>
            </w:r>
          </w:p>
        </w:tc>
        <w:tc>
          <w:tcPr>
            <w:tcW w:type="dxa" w:w="1766"/>
            <w:vAlign w:val="center"/>
          </w:tcPr>
          <w:p>
            <w:pPr>
              <w:jc w:val="center"/>
            </w:pPr>
            <w:r/>
            <w:r>
              <w:rPr>
                <w:b w:val="0"/>
                <w:sz w:val="13"/>
              </w:rPr>
              <w:t>Convergencia activa: se observaron mejoras dentro del tramo final del algoritmo.</w:t>
            </w:r>
          </w:p>
        </w:tc>
      </w:tr>
      <w:tr>
        <w:tc>
          <w:tcPr>
            <w:tcW w:type="dxa" w:w="1766"/>
            <w:vAlign w:val="center"/>
          </w:tcPr>
          <w:p>
            <w:pPr>
              <w:jc w:val="center"/>
            </w:pPr>
            <w:r/>
            <w:r>
              <w:rPr>
                <w:b w:val="0"/>
                <w:sz w:val="13"/>
              </w:rPr>
              <w:t>cities_100_161718</w:t>
            </w:r>
          </w:p>
        </w:tc>
        <w:tc>
          <w:tcPr>
            <w:tcW w:type="dxa" w:w="1766"/>
            <w:vAlign w:val="center"/>
          </w:tcPr>
          <w:p>
            <w:pPr>
              <w:jc w:val="center"/>
            </w:pPr>
            <w:r/>
            <w:r>
              <w:rPr>
                <w:b w:val="0"/>
                <w:sz w:val="13"/>
              </w:rPr>
              <w:t>233</w:t>
            </w:r>
          </w:p>
        </w:tc>
        <w:tc>
          <w:tcPr>
            <w:tcW w:type="dxa" w:w="1766"/>
            <w:vAlign w:val="center"/>
          </w:tcPr>
          <w:p>
            <w:pPr>
              <w:jc w:val="center"/>
            </w:pPr>
            <w:r/>
            <w:r>
              <w:rPr>
                <w:b w:val="0"/>
                <w:sz w:val="13"/>
              </w:rPr>
              <w:t>17</w:t>
            </w:r>
          </w:p>
        </w:tc>
        <w:tc>
          <w:tcPr>
            <w:tcW w:type="dxa" w:w="1766"/>
            <w:vAlign w:val="center"/>
          </w:tcPr>
          <w:p>
            <w:pPr>
              <w:jc w:val="center"/>
            </w:pPr>
            <w:r/>
            <w:r>
              <w:rPr>
                <w:b w:val="0"/>
                <w:sz w:val="13"/>
              </w:rPr>
              <w:t>17.0</w:t>
            </w:r>
          </w:p>
        </w:tc>
        <w:tc>
          <w:tcPr>
            <w:tcW w:type="dxa" w:w="1766"/>
            <w:vAlign w:val="center"/>
          </w:tcPr>
          <w:p>
            <w:pPr>
              <w:jc w:val="center"/>
            </w:pPr>
            <w:r/>
            <w:r>
              <w:rPr>
                <w:b w:val="0"/>
                <w:sz w:val="13"/>
              </w:rPr>
              <w:t>6.2</w:t>
            </w:r>
          </w:p>
        </w:tc>
        <w:tc>
          <w:tcPr>
            <w:tcW w:type="dxa" w:w="1766"/>
            <w:vAlign w:val="center"/>
          </w:tcPr>
          <w:p>
            <w:pPr>
              <w:jc w:val="center"/>
            </w:pPr>
            <w:r/>
            <w:r>
              <w:rPr>
                <w:b w:val="0"/>
                <w:sz w:val="13"/>
              </w:rPr>
              <w:t>Convergencia activa: se observaron mejoras dentro del tramo final del algoritmo.</w:t>
            </w:r>
          </w:p>
        </w:tc>
      </w:tr>
      <w:tr>
        <w:tc>
          <w:tcPr>
            <w:tcW w:type="dxa" w:w="1766"/>
            <w:vAlign w:val="center"/>
          </w:tcPr>
          <w:p>
            <w:pPr>
              <w:jc w:val="center"/>
            </w:pPr>
            <w:r/>
            <w:r>
              <w:rPr>
                <w:b w:val="0"/>
                <w:sz w:val="13"/>
              </w:rPr>
              <w:t>cities_100_192021</w:t>
            </w:r>
          </w:p>
        </w:tc>
        <w:tc>
          <w:tcPr>
            <w:tcW w:type="dxa" w:w="1766"/>
            <w:vAlign w:val="center"/>
          </w:tcPr>
          <w:p>
            <w:pPr>
              <w:jc w:val="center"/>
            </w:pPr>
            <w:r/>
            <w:r>
              <w:rPr>
                <w:b w:val="0"/>
                <w:sz w:val="13"/>
              </w:rPr>
              <w:t>225</w:t>
            </w:r>
          </w:p>
        </w:tc>
        <w:tc>
          <w:tcPr>
            <w:tcW w:type="dxa" w:w="1766"/>
            <w:vAlign w:val="center"/>
          </w:tcPr>
          <w:p>
            <w:pPr>
              <w:jc w:val="center"/>
            </w:pPr>
            <w:r/>
            <w:r>
              <w:rPr>
                <w:b w:val="0"/>
                <w:sz w:val="13"/>
              </w:rPr>
              <w:t>25</w:t>
            </w:r>
          </w:p>
        </w:tc>
        <w:tc>
          <w:tcPr>
            <w:tcW w:type="dxa" w:w="1766"/>
            <w:vAlign w:val="center"/>
          </w:tcPr>
          <w:p>
            <w:pPr>
              <w:jc w:val="center"/>
            </w:pPr>
            <w:r/>
            <w:r>
              <w:rPr>
                <w:b w:val="0"/>
                <w:sz w:val="13"/>
              </w:rPr>
              <w:t>20.0</w:t>
            </w:r>
          </w:p>
        </w:tc>
        <w:tc>
          <w:tcPr>
            <w:tcW w:type="dxa" w:w="1766"/>
            <w:vAlign w:val="center"/>
          </w:tcPr>
          <w:p>
            <w:pPr>
              <w:jc w:val="center"/>
            </w:pPr>
            <w:r/>
            <w:r>
              <w:rPr>
                <w:b w:val="0"/>
                <w:sz w:val="13"/>
              </w:rPr>
              <w:t>14.3</w:t>
            </w:r>
          </w:p>
        </w:tc>
        <w:tc>
          <w:tcPr>
            <w:tcW w:type="dxa" w:w="1766"/>
            <w:vAlign w:val="center"/>
          </w:tcPr>
          <w:p>
            <w:pPr>
              <w:jc w:val="center"/>
            </w:pPr>
            <w:r/>
            <w:r>
              <w:rPr>
                <w:b w:val="0"/>
                <w:sz w:val="13"/>
              </w:rPr>
              <w:t>Convergencia activa: se observaron mejoras dentro del tramo final del algoritmo.</w:t>
            </w:r>
          </w:p>
        </w:tc>
      </w:tr>
      <w:tr>
        <w:tc>
          <w:tcPr>
            <w:tcW w:type="dxa" w:w="1766"/>
            <w:vAlign w:val="center"/>
          </w:tcPr>
          <w:p>
            <w:pPr>
              <w:jc w:val="center"/>
            </w:pPr>
            <w:r/>
            <w:r>
              <w:rPr>
                <w:b w:val="0"/>
                <w:sz w:val="13"/>
              </w:rPr>
              <w:t>cities_100_222324</w:t>
            </w:r>
          </w:p>
        </w:tc>
        <w:tc>
          <w:tcPr>
            <w:tcW w:type="dxa" w:w="1766"/>
            <w:vAlign w:val="center"/>
          </w:tcPr>
          <w:p>
            <w:pPr>
              <w:jc w:val="center"/>
            </w:pPr>
            <w:r/>
            <w:r>
              <w:rPr>
                <w:b w:val="0"/>
                <w:sz w:val="13"/>
              </w:rPr>
              <w:t>190</w:t>
            </w:r>
          </w:p>
        </w:tc>
        <w:tc>
          <w:tcPr>
            <w:tcW w:type="dxa" w:w="1766"/>
            <w:vAlign w:val="center"/>
          </w:tcPr>
          <w:p>
            <w:pPr>
              <w:jc w:val="center"/>
            </w:pPr>
            <w:r/>
            <w:r>
              <w:rPr>
                <w:b w:val="0"/>
                <w:sz w:val="13"/>
              </w:rPr>
              <w:t>60</w:t>
            </w:r>
          </w:p>
        </w:tc>
        <w:tc>
          <w:tcPr>
            <w:tcW w:type="dxa" w:w="1766"/>
            <w:vAlign w:val="center"/>
          </w:tcPr>
          <w:p>
            <w:pPr>
              <w:jc w:val="center"/>
            </w:pPr>
            <w:r/>
            <w:r>
              <w:rPr>
                <w:b w:val="0"/>
                <w:sz w:val="13"/>
              </w:rPr>
              <w:t>16.0</w:t>
            </w:r>
          </w:p>
        </w:tc>
        <w:tc>
          <w:tcPr>
            <w:tcW w:type="dxa" w:w="1766"/>
            <w:vAlign w:val="center"/>
          </w:tcPr>
          <w:p>
            <w:pPr>
              <w:jc w:val="center"/>
            </w:pPr>
            <w:r/>
            <w:r>
              <w:rPr>
                <w:b w:val="0"/>
                <w:sz w:val="13"/>
              </w:rPr>
              <w:t>6.7</w:t>
            </w:r>
          </w:p>
        </w:tc>
        <w:tc>
          <w:tcPr>
            <w:tcW w:type="dxa" w:w="1766"/>
            <w:vAlign w:val="center"/>
          </w:tcPr>
          <w:p>
            <w:pPr>
              <w:jc w:val="center"/>
            </w:pPr>
            <w:r/>
            <w:r>
              <w:rPr>
                <w:b w:val="0"/>
                <w:sz w:val="13"/>
              </w:rPr>
              <w:t>Posible convergencia prematura: largo periodo sin mejora y diversidad final baja.</w:t>
            </w:r>
          </w:p>
        </w:tc>
      </w:tr>
      <w:tr>
        <w:tc>
          <w:tcPr>
            <w:tcW w:type="dxa" w:w="1766"/>
            <w:vAlign w:val="center"/>
          </w:tcPr>
          <w:p>
            <w:pPr>
              <w:jc w:val="center"/>
            </w:pPr>
            <w:r/>
            <w:r>
              <w:rPr>
                <w:b w:val="0"/>
                <w:sz w:val="13"/>
              </w:rPr>
              <w:t>cities_100_252627</w:t>
            </w:r>
          </w:p>
        </w:tc>
        <w:tc>
          <w:tcPr>
            <w:tcW w:type="dxa" w:w="1766"/>
            <w:vAlign w:val="center"/>
          </w:tcPr>
          <w:p>
            <w:pPr>
              <w:jc w:val="center"/>
            </w:pPr>
            <w:r/>
            <w:r>
              <w:rPr>
                <w:b w:val="0"/>
                <w:sz w:val="13"/>
              </w:rPr>
              <w:t>170</w:t>
            </w:r>
          </w:p>
        </w:tc>
        <w:tc>
          <w:tcPr>
            <w:tcW w:type="dxa" w:w="1766"/>
            <w:vAlign w:val="center"/>
          </w:tcPr>
          <w:p>
            <w:pPr>
              <w:jc w:val="center"/>
            </w:pPr>
            <w:r/>
            <w:r>
              <w:rPr>
                <w:b w:val="0"/>
                <w:sz w:val="13"/>
              </w:rPr>
              <w:t>80</w:t>
            </w:r>
          </w:p>
        </w:tc>
        <w:tc>
          <w:tcPr>
            <w:tcW w:type="dxa" w:w="1766"/>
            <w:vAlign w:val="center"/>
          </w:tcPr>
          <w:p>
            <w:pPr>
              <w:jc w:val="center"/>
            </w:pPr>
            <w:r/>
            <w:r>
              <w:rPr>
                <w:b w:val="0"/>
                <w:sz w:val="13"/>
              </w:rPr>
              <w:t>17.0</w:t>
            </w:r>
          </w:p>
        </w:tc>
        <w:tc>
          <w:tcPr>
            <w:tcW w:type="dxa" w:w="1766"/>
            <w:vAlign w:val="center"/>
          </w:tcPr>
          <w:p>
            <w:pPr>
              <w:jc w:val="center"/>
            </w:pPr>
            <w:r/>
            <w:r>
              <w:rPr>
                <w:b w:val="0"/>
                <w:sz w:val="13"/>
              </w:rPr>
              <w:t>7.9</w:t>
            </w:r>
          </w:p>
        </w:tc>
        <w:tc>
          <w:tcPr>
            <w:tcW w:type="dxa" w:w="1766"/>
            <w:vAlign w:val="center"/>
          </w:tcPr>
          <w:p>
            <w:pPr>
              <w:jc w:val="center"/>
            </w:pPr>
            <w:r/>
            <w:r>
              <w:rPr>
                <w:b w:val="0"/>
                <w:sz w:val="13"/>
              </w:rPr>
              <w:t>Posible convergencia prematura: largo periodo sin mejora y diversidad final baja.</w:t>
            </w:r>
          </w:p>
        </w:tc>
      </w:tr>
      <w:tr>
        <w:tc>
          <w:tcPr>
            <w:tcW w:type="dxa" w:w="1766"/>
            <w:vAlign w:val="center"/>
          </w:tcPr>
          <w:p>
            <w:pPr>
              <w:jc w:val="center"/>
            </w:pPr>
            <w:r/>
            <w:r>
              <w:rPr>
                <w:b w:val="0"/>
                <w:sz w:val="13"/>
              </w:rPr>
              <w:t>cities_100_282930</w:t>
            </w:r>
          </w:p>
        </w:tc>
        <w:tc>
          <w:tcPr>
            <w:tcW w:type="dxa" w:w="1766"/>
            <w:vAlign w:val="center"/>
          </w:tcPr>
          <w:p>
            <w:pPr>
              <w:jc w:val="center"/>
            </w:pPr>
            <w:r/>
            <w:r>
              <w:rPr>
                <w:b w:val="0"/>
                <w:sz w:val="13"/>
              </w:rPr>
              <w:t>235</w:t>
            </w:r>
          </w:p>
        </w:tc>
        <w:tc>
          <w:tcPr>
            <w:tcW w:type="dxa" w:w="1766"/>
            <w:vAlign w:val="center"/>
          </w:tcPr>
          <w:p>
            <w:pPr>
              <w:jc w:val="center"/>
            </w:pPr>
            <w:r/>
            <w:r>
              <w:rPr>
                <w:b w:val="0"/>
                <w:sz w:val="13"/>
              </w:rPr>
              <w:t>15</w:t>
            </w:r>
          </w:p>
        </w:tc>
        <w:tc>
          <w:tcPr>
            <w:tcW w:type="dxa" w:w="1766"/>
            <w:vAlign w:val="center"/>
          </w:tcPr>
          <w:p>
            <w:pPr>
              <w:jc w:val="center"/>
            </w:pPr>
            <w:r/>
            <w:r>
              <w:rPr>
                <w:b w:val="0"/>
                <w:sz w:val="13"/>
              </w:rPr>
              <w:t>15.0</w:t>
            </w:r>
          </w:p>
        </w:tc>
        <w:tc>
          <w:tcPr>
            <w:tcW w:type="dxa" w:w="1766"/>
            <w:vAlign w:val="center"/>
          </w:tcPr>
          <w:p>
            <w:pPr>
              <w:jc w:val="center"/>
            </w:pPr>
            <w:r/>
            <w:r>
              <w:rPr>
                <w:b w:val="0"/>
                <w:sz w:val="13"/>
              </w:rPr>
              <w:t>7.7</w:t>
            </w:r>
          </w:p>
        </w:tc>
        <w:tc>
          <w:tcPr>
            <w:tcW w:type="dxa" w:w="1766"/>
            <w:vAlign w:val="center"/>
          </w:tcPr>
          <w:p>
            <w:pPr>
              <w:jc w:val="center"/>
            </w:pPr>
            <w:r/>
            <w:r>
              <w:rPr>
                <w:b w:val="0"/>
                <w:sz w:val="13"/>
              </w:rPr>
              <w:t>Convergencia activa: se observaron mejoras dentro del tramo final del algoritmo.</w:t>
            </w:r>
          </w:p>
        </w:tc>
      </w:tr>
      <w:tr>
        <w:tc>
          <w:tcPr>
            <w:tcW w:type="dxa" w:w="1766"/>
            <w:vAlign w:val="center"/>
          </w:tcPr>
          <w:p>
            <w:pPr>
              <w:jc w:val="center"/>
            </w:pPr>
            <w:r/>
            <w:r>
              <w:rPr>
                <w:b w:val="0"/>
                <w:sz w:val="13"/>
              </w:rPr>
              <w:t>cities_100_456</w:t>
            </w:r>
          </w:p>
        </w:tc>
        <w:tc>
          <w:tcPr>
            <w:tcW w:type="dxa" w:w="1766"/>
            <w:vAlign w:val="center"/>
          </w:tcPr>
          <w:p>
            <w:pPr>
              <w:jc w:val="center"/>
            </w:pPr>
            <w:r/>
            <w:r>
              <w:rPr>
                <w:b w:val="0"/>
                <w:sz w:val="13"/>
              </w:rPr>
              <w:t>202</w:t>
            </w:r>
          </w:p>
        </w:tc>
        <w:tc>
          <w:tcPr>
            <w:tcW w:type="dxa" w:w="1766"/>
            <w:vAlign w:val="center"/>
          </w:tcPr>
          <w:p>
            <w:pPr>
              <w:jc w:val="center"/>
            </w:pPr>
            <w:r/>
            <w:r>
              <w:rPr>
                <w:b w:val="0"/>
                <w:sz w:val="13"/>
              </w:rPr>
              <w:t>48</w:t>
            </w:r>
          </w:p>
        </w:tc>
        <w:tc>
          <w:tcPr>
            <w:tcW w:type="dxa" w:w="1766"/>
            <w:vAlign w:val="center"/>
          </w:tcPr>
          <w:p>
            <w:pPr>
              <w:jc w:val="center"/>
            </w:pPr>
            <w:r/>
            <w:r>
              <w:rPr>
                <w:b w:val="0"/>
                <w:sz w:val="13"/>
              </w:rPr>
              <w:t>18.0</w:t>
            </w:r>
          </w:p>
        </w:tc>
        <w:tc>
          <w:tcPr>
            <w:tcW w:type="dxa" w:w="1766"/>
            <w:vAlign w:val="center"/>
          </w:tcPr>
          <w:p>
            <w:pPr>
              <w:jc w:val="center"/>
            </w:pPr>
            <w:r/>
            <w:r>
              <w:rPr>
                <w:b w:val="0"/>
                <w:sz w:val="13"/>
              </w:rPr>
              <w:t>13.3</w:t>
            </w:r>
          </w:p>
        </w:tc>
        <w:tc>
          <w:tcPr>
            <w:tcW w:type="dxa" w:w="1766"/>
            <w:vAlign w:val="center"/>
          </w:tcPr>
          <w:p>
            <w:pPr>
              <w:jc w:val="center"/>
            </w:pPr>
            <w:r/>
            <w:r>
              <w:rPr>
                <w:b w:val="0"/>
                <w:sz w:val="13"/>
              </w:rPr>
              <w:t>Convergencia activa: se observaron mejoras dentro del tramo final del algoritmo.</w:t>
            </w:r>
          </w:p>
        </w:tc>
      </w:tr>
      <w:tr>
        <w:tc>
          <w:tcPr>
            <w:tcW w:type="dxa" w:w="1766"/>
            <w:vAlign w:val="center"/>
          </w:tcPr>
          <w:p>
            <w:pPr>
              <w:jc w:val="center"/>
            </w:pPr>
            <w:r/>
            <w:r>
              <w:rPr>
                <w:b w:val="0"/>
                <w:sz w:val="13"/>
              </w:rPr>
              <w:t>cities_100_789</w:t>
            </w:r>
          </w:p>
        </w:tc>
        <w:tc>
          <w:tcPr>
            <w:tcW w:type="dxa" w:w="1766"/>
            <w:vAlign w:val="center"/>
          </w:tcPr>
          <w:p>
            <w:pPr>
              <w:jc w:val="center"/>
            </w:pPr>
            <w:r/>
            <w:r>
              <w:rPr>
                <w:b w:val="0"/>
                <w:sz w:val="13"/>
              </w:rPr>
              <w:t>237</w:t>
            </w:r>
          </w:p>
        </w:tc>
        <w:tc>
          <w:tcPr>
            <w:tcW w:type="dxa" w:w="1766"/>
            <w:vAlign w:val="center"/>
          </w:tcPr>
          <w:p>
            <w:pPr>
              <w:jc w:val="center"/>
            </w:pPr>
            <w:r/>
            <w:r>
              <w:rPr>
                <w:b w:val="0"/>
                <w:sz w:val="13"/>
              </w:rPr>
              <w:t>13</w:t>
            </w:r>
          </w:p>
        </w:tc>
        <w:tc>
          <w:tcPr>
            <w:tcW w:type="dxa" w:w="1766"/>
            <w:vAlign w:val="center"/>
          </w:tcPr>
          <w:p>
            <w:pPr>
              <w:jc w:val="center"/>
            </w:pPr>
            <w:r/>
            <w:r>
              <w:rPr>
                <w:b w:val="0"/>
                <w:sz w:val="13"/>
              </w:rPr>
              <w:t>24.0</w:t>
            </w:r>
          </w:p>
        </w:tc>
        <w:tc>
          <w:tcPr>
            <w:tcW w:type="dxa" w:w="1766"/>
            <w:vAlign w:val="center"/>
          </w:tcPr>
          <w:p>
            <w:pPr>
              <w:jc w:val="center"/>
            </w:pPr>
            <w:r/>
            <w:r>
              <w:rPr>
                <w:b w:val="0"/>
                <w:sz w:val="13"/>
              </w:rPr>
              <w:t>24.3</w:t>
            </w:r>
          </w:p>
        </w:tc>
        <w:tc>
          <w:tcPr>
            <w:tcW w:type="dxa" w:w="1766"/>
            <w:vAlign w:val="center"/>
          </w:tcPr>
          <w:p>
            <w:pPr>
              <w:jc w:val="center"/>
            </w:pPr>
            <w:r/>
            <w:r>
              <w:rPr>
                <w:b w:val="0"/>
                <w:sz w:val="13"/>
              </w:rPr>
              <w:t>Convergencia activa: se observaron mejoras dentro del tramo final del algoritmo.</w:t>
            </w:r>
          </w:p>
        </w:tc>
      </w:tr>
    </w:tbl>
    <w:p/>
    <w:p>
      <w:pPr>
        <w:spacing w:after="120"/>
      </w:pPr>
      <w:r>
        <w:rPr>
          <w:b/>
        </w:rPr>
        <w:t>Análisis de convergencia y estancamiento:</w:t>
      </w:r>
      <w:r/>
    </w:p>
    <w:p>
      <w:pPr>
        <w:spacing w:after="120"/>
      </w:pPr>
      <w:r>
        <w:t>El criterio de convergencia no se basó únicamente en observar las curvas. También se registró la generación en la que apareció la mejor solución, la cantidad de generaciones finales sin mejora y la diversidad final. En 8 de los 10 datasets se clasificó la convergencia como activa o con estancamiento parcial controlado, porque todavía existieron mejoras o diversidad residual. En 2 datasets se identificó posible convergencia prematura, debido a un tramo final largo sin mejora y diversidad final baja. Esto no invalida el algoritmo; más bien muestra que, en esas instancias, sería conveniente aumentar mutación, población o generaciones si se quisiera seguir explorando.</w:t>
      </w:r>
    </w:p>
    <w:p>
      <w:pPr>
        <w:spacing w:after="120"/>
      </w:pPr>
      <w:r>
        <w:t>Sustentación del literal c): se graficaron las tres curvas de fitness solicitadas para cada dataset y se complementaron con curvas de distancia para interpretar la convergencia. Además, el estancamiento se analizó con indicadores cuantitativos y no solo con apreciación visual.</w:t>
      </w:r>
    </w:p>
    <w:p>
      <w:pPr>
        <w:pStyle w:val="Heading1"/>
      </w:pPr>
      <w:r>
        <w:t>d) Medición y análisis de diversidad poblacional</w:t>
      </w:r>
    </w:p>
    <w:p>
      <w:pPr>
        <w:spacing w:after="120"/>
      </w:pPr>
      <w:r>
        <w:rPr>
          <w:b/>
        </w:rPr>
        <w:t>Qué pide el literal:</w:t>
      </w:r>
      <w:r/>
    </w:p>
    <w:p>
      <w:pPr>
        <w:pStyle w:val="ListBullet"/>
        <w:spacing w:after="40"/>
      </w:pPr>
      <w:r>
        <w:t>Definir una métrica de diversidad, como distancia promedio entre individuos y/o porcentaje de individuos únicos.</w:t>
      </w:r>
    </w:p>
    <w:p>
      <w:pPr>
        <w:pStyle w:val="ListBullet"/>
        <w:spacing w:after="40"/>
      </w:pPr>
      <w:r>
        <w:t>Graficar la diversidad a lo largo de las generaciones.</w:t>
      </w:r>
    </w:p>
    <w:p>
      <w:pPr>
        <w:pStyle w:val="ListBullet"/>
        <w:spacing w:after="40"/>
      </w:pPr>
      <w:r>
        <w:t>Analizar la relación entre diversidad y calidad de solución.</w:t>
      </w:r>
    </w:p>
    <w:p>
      <w:pPr>
        <w:pStyle w:val="ListBullet"/>
        <w:spacing w:after="40"/>
      </w:pPr>
      <w:r>
        <w:t>Analizar la relación entre diversidad y convergencia.</w:t>
      </w:r>
    </w:p>
    <w:p>
      <w:pPr>
        <w:spacing w:after="120"/>
      </w:pPr>
      <w:r>
        <w:rPr>
          <w:b/>
        </w:rPr>
        <w:t>Métricas de diversidad usadas:</w:t>
      </w:r>
      <w:r/>
    </w:p>
    <w:p>
      <w:pPr>
        <w:pStyle w:val="ListBullet"/>
        <w:spacing w:after="40"/>
      </w:pPr>
      <w:r>
        <w:rPr>
          <w:b/>
        </w:rPr>
        <w:t xml:space="preserve">Porcentaje de individuos únicos: </w:t>
      </w:r>
      <w:r>
        <w:t>mide qué proporción de la población contiene rutas distintas. Si baja demasiado, la población se vuelve homogénea.</w:t>
      </w:r>
    </w:p>
    <w:p>
      <w:pPr>
        <w:pStyle w:val="ListBullet"/>
        <w:spacing w:after="40"/>
      </w:pPr>
      <w:r>
        <w:rPr>
          <w:b/>
        </w:rPr>
        <w:t xml:space="preserve">Distancia Hamming promedio normalizada: </w:t>
      </w:r>
      <w:r>
        <w:t>mide el porcentaje promedio de posiciones diferentes entre pares de rutas. Sirve como distancia promedio entre individuos en una representación por permutaciones.</w:t>
      </w:r>
    </w:p>
    <w:p>
      <w:pPr>
        <w:jc w:val="center"/>
      </w:pPr>
      <w:r>
        <w:drawing>
          <wp:inline xmlns:a="http://schemas.openxmlformats.org/drawingml/2006/main" xmlns:pic="http://schemas.openxmlformats.org/drawingml/2006/picture">
            <wp:extent cx="6012000" cy="7426893"/>
            <wp:docPr id="3" name="Picture 3"/>
            <wp:cNvGraphicFramePr>
              <a:graphicFrameLocks noChangeAspect="1"/>
            </wp:cNvGraphicFramePr>
            <a:graphic>
              <a:graphicData uri="http://schemas.openxmlformats.org/drawingml/2006/picture">
                <pic:pic>
                  <pic:nvPicPr>
                    <pic:cNvPr id="0" name="panel_diversidad_all_datasets_v5.png"/>
                    <pic:cNvPicPr/>
                  </pic:nvPicPr>
                  <pic:blipFill>
                    <a:blip r:embed="rId12"/>
                    <a:stretch>
                      <a:fillRect/>
                    </a:stretch>
                  </pic:blipFill>
                  <pic:spPr>
                    <a:xfrm>
                      <a:off x="0" y="0"/>
                      <a:ext cx="6012000" cy="7426893"/>
                    </a:xfrm>
                    <a:prstGeom prst="rect"/>
                  </pic:spPr>
                </pic:pic>
              </a:graphicData>
            </a:graphic>
          </wp:inline>
        </w:drawing>
      </w:r>
    </w:p>
    <w:p>
      <w:pPr>
        <w:spacing w:after="160"/>
        <w:jc w:val="center"/>
      </w:pPr>
      <w:r>
        <w:rPr>
          <w:i/>
          <w:sz w:val="18"/>
        </w:rPr>
        <w:t>Figura 3. Evolución de diversidad poblacional por generación: individuos únicos y distancia Hamming promedio.</w:t>
      </w:r>
    </w:p>
    <w:p>
      <w:pPr>
        <w:spacing w:after="120"/>
      </w:pPr>
      <w:r>
        <w:rPr>
          <w:b/>
        </w:rPr>
        <w:t>Análisis de la diversidad a lo largo de las generaciones:</w:t>
      </w:r>
      <w:r/>
    </w:p>
    <w:p>
      <w:pPr>
        <w:spacing w:after="120"/>
      </w:pPr>
      <w:r>
        <w:t>La diversidad disminuye conforme avanza el algoritmo porque la selección y el elitismo favorecen la reproducción de rutas de mejor calidad. Esta reducción es normal: el algoritmo empieza explorando muchas rutas distintas y luego explota las regiones más prometedoras. Sin embargo, si la diversidad cae demasiado pronto, puede aparecer convergencia prematura, porque la población deja de explorar rutas alternativas.</w:t>
      </w:r>
    </w:p>
    <w:p>
      <w:pPr>
        <w:jc w:val="center"/>
      </w:pPr>
      <w:r>
        <w:drawing>
          <wp:inline xmlns:a="http://schemas.openxmlformats.org/drawingml/2006/main" xmlns:pic="http://schemas.openxmlformats.org/drawingml/2006/picture">
            <wp:extent cx="5832000" cy="2916000"/>
            <wp:docPr id="4" name="Picture 4"/>
            <wp:cNvGraphicFramePr>
              <a:graphicFrameLocks noChangeAspect="1"/>
            </wp:cNvGraphicFramePr>
            <a:graphic>
              <a:graphicData uri="http://schemas.openxmlformats.org/drawingml/2006/picture">
                <pic:pic>
                  <pic:nvPicPr>
                    <pic:cNvPr id="0" name="diversidad_final_por_dataset_v5.png"/>
                    <pic:cNvPicPr/>
                  </pic:nvPicPr>
                  <pic:blipFill>
                    <a:blip r:embed="rId13"/>
                    <a:stretch>
                      <a:fillRect/>
                    </a:stretch>
                  </pic:blipFill>
                  <pic:spPr>
                    <a:xfrm>
                      <a:off x="0" y="0"/>
                      <a:ext cx="5832000" cy="2916000"/>
                    </a:xfrm>
                    <a:prstGeom prst="rect"/>
                  </pic:spPr>
                </pic:pic>
              </a:graphicData>
            </a:graphic>
          </wp:inline>
        </w:drawing>
      </w:r>
    </w:p>
    <w:p>
      <w:pPr>
        <w:spacing w:after="160"/>
        <w:jc w:val="center"/>
      </w:pPr>
      <w:r>
        <w:rPr>
          <w:i/>
          <w:sz w:val="18"/>
        </w:rPr>
        <w:t>Figura 4. Porcentaje final de individuos únicos por dataset.</w:t>
      </w:r>
    </w:p>
    <w:p>
      <w:pPr>
        <w:jc w:val="center"/>
      </w:pPr>
      <w:r>
        <w:drawing>
          <wp:inline xmlns:a="http://schemas.openxmlformats.org/drawingml/2006/main" xmlns:pic="http://schemas.openxmlformats.org/drawingml/2006/picture">
            <wp:extent cx="5400000" cy="3265116"/>
            <wp:docPr id="5" name="Picture 5"/>
            <wp:cNvGraphicFramePr>
              <a:graphicFrameLocks noChangeAspect="1"/>
            </wp:cNvGraphicFramePr>
            <a:graphic>
              <a:graphicData uri="http://schemas.openxmlformats.org/drawingml/2006/picture">
                <pic:pic>
                  <pic:nvPicPr>
                    <pic:cNvPr id="0" name="diversidad_vs_calidad_solucion.png"/>
                    <pic:cNvPicPr/>
                  </pic:nvPicPr>
                  <pic:blipFill>
                    <a:blip r:embed="rId14"/>
                    <a:stretch>
                      <a:fillRect/>
                    </a:stretch>
                  </pic:blipFill>
                  <pic:spPr>
                    <a:xfrm>
                      <a:off x="0" y="0"/>
                      <a:ext cx="5400000" cy="3265116"/>
                    </a:xfrm>
                    <a:prstGeom prst="rect"/>
                  </pic:spPr>
                </pic:pic>
              </a:graphicData>
            </a:graphic>
          </wp:inline>
        </w:drawing>
      </w:r>
    </w:p>
    <w:p>
      <w:pPr>
        <w:spacing w:after="160"/>
        <w:jc w:val="center"/>
      </w:pPr>
      <w:r>
        <w:rPr>
          <w:i/>
          <w:sz w:val="18"/>
        </w:rPr>
        <w:t>Figura 5. Relación entre diversidad final y calidad de solución medida como gap relativo frente a Nearest Neighbor.</w:t>
      </w:r>
    </w:p>
    <w:p>
      <w:pPr>
        <w:jc w:val="center"/>
      </w:pPr>
      <w:r>
        <w:drawing>
          <wp:inline xmlns:a="http://schemas.openxmlformats.org/drawingml/2006/main" xmlns:pic="http://schemas.openxmlformats.org/drawingml/2006/picture">
            <wp:extent cx="5400000" cy="3265116"/>
            <wp:docPr id="6" name="Picture 6"/>
            <wp:cNvGraphicFramePr>
              <a:graphicFrameLocks noChangeAspect="1"/>
            </wp:cNvGraphicFramePr>
            <a:graphic>
              <a:graphicData uri="http://schemas.openxmlformats.org/drawingml/2006/picture">
                <pic:pic>
                  <pic:nvPicPr>
                    <pic:cNvPr id="0" name="diversidad_vs_convergencia.png"/>
                    <pic:cNvPicPr/>
                  </pic:nvPicPr>
                  <pic:blipFill>
                    <a:blip r:embed="rId15"/>
                    <a:stretch>
                      <a:fillRect/>
                    </a:stretch>
                  </pic:blipFill>
                  <pic:spPr>
                    <a:xfrm>
                      <a:off x="0" y="0"/>
                      <a:ext cx="5400000" cy="3265116"/>
                    </a:xfrm>
                    <a:prstGeom prst="rect"/>
                  </pic:spPr>
                </pic:pic>
              </a:graphicData>
            </a:graphic>
          </wp:inline>
        </w:drawing>
      </w:r>
    </w:p>
    <w:p>
      <w:pPr>
        <w:spacing w:after="160"/>
        <w:jc w:val="center"/>
      </w:pPr>
      <w:r>
        <w:rPr>
          <w:i/>
          <w:sz w:val="18"/>
        </w:rPr>
        <w:t>Figura 6. Relación entre diversidad final y convergencia/estancamiento medida por generaciones finales sin mejora.</w:t>
      </w:r>
    </w:p>
    <w:p>
      <w:pPr>
        <w:spacing w:before="80" w:after="40"/>
      </w:pPr>
      <w:r>
        <w:rPr>
          <w:b/>
          <w:color w:val="1F4E79"/>
        </w:rPr>
        <w:t>Tabla 7. Relación cuantitativa entre diversidad, calidad y convergencia.</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2649"/>
            <w:shd w:fill="D9EAF7"/>
          </w:tcPr>
          <w:p>
            <w:pPr>
              <w:jc w:val="center"/>
            </w:pPr>
            <w:r/>
            <w:r>
              <w:rPr>
                <w:b/>
                <w:color w:val="000000"/>
                <w:sz w:val="15"/>
              </w:rPr>
              <w:t>Dataset</w:t>
            </w:r>
          </w:p>
        </w:tc>
        <w:tc>
          <w:tcPr>
            <w:tcW w:type="dxa" w:w="2649"/>
            <w:shd w:fill="D9EAF7"/>
          </w:tcPr>
          <w:p>
            <w:pPr>
              <w:jc w:val="center"/>
            </w:pPr>
            <w:r/>
            <w:r>
              <w:rPr>
                <w:b/>
                <w:color w:val="000000"/>
                <w:sz w:val="15"/>
              </w:rPr>
              <w:t>Corr. únicos vs distancia</w:t>
            </w:r>
          </w:p>
        </w:tc>
        <w:tc>
          <w:tcPr>
            <w:tcW w:type="dxa" w:w="2649"/>
            <w:shd w:fill="D9EAF7"/>
          </w:tcPr>
          <w:p>
            <w:pPr>
              <w:jc w:val="center"/>
            </w:pPr>
            <w:r/>
            <w:r>
              <w:rPr>
                <w:b/>
                <w:color w:val="000000"/>
                <w:sz w:val="15"/>
              </w:rPr>
              <w:t>Corr. Hamming vs distancia</w:t>
            </w:r>
          </w:p>
        </w:tc>
        <w:tc>
          <w:tcPr>
            <w:tcW w:type="dxa" w:w="2649"/>
            <w:shd w:fill="D9EAF7"/>
          </w:tcPr>
          <w:p>
            <w:pPr>
              <w:jc w:val="center"/>
            </w:pPr>
            <w:r/>
            <w:r>
              <w:rPr>
                <w:b/>
                <w:color w:val="000000"/>
                <w:sz w:val="15"/>
              </w:rPr>
              <w:t>Corr. únicos vs no mejora</w:t>
            </w:r>
          </w:p>
        </w:tc>
      </w:tr>
      <w:tr>
        <w:tc>
          <w:tcPr>
            <w:tcW w:type="dxa" w:w="2649"/>
            <w:vAlign w:val="center"/>
          </w:tcPr>
          <w:p>
            <w:pPr>
              <w:jc w:val="center"/>
            </w:pPr>
            <w:r/>
            <w:r>
              <w:rPr>
                <w:b w:val="0"/>
                <w:sz w:val="15"/>
              </w:rPr>
              <w:t>cities_100_101112</w:t>
            </w:r>
          </w:p>
        </w:tc>
        <w:tc>
          <w:tcPr>
            <w:tcW w:type="dxa" w:w="2649"/>
            <w:vAlign w:val="center"/>
          </w:tcPr>
          <w:p>
            <w:pPr>
              <w:jc w:val="center"/>
            </w:pPr>
            <w:r/>
            <w:r>
              <w:rPr>
                <w:b w:val="0"/>
                <w:sz w:val="15"/>
              </w:rPr>
              <w:t>0.620</w:t>
            </w:r>
          </w:p>
        </w:tc>
        <w:tc>
          <w:tcPr>
            <w:tcW w:type="dxa" w:w="2649"/>
            <w:vAlign w:val="center"/>
          </w:tcPr>
          <w:p>
            <w:pPr>
              <w:jc w:val="center"/>
            </w:pPr>
            <w:r/>
            <w:r>
              <w:rPr>
                <w:b w:val="0"/>
                <w:sz w:val="15"/>
              </w:rPr>
              <w:t>0.563</w:t>
            </w:r>
          </w:p>
        </w:tc>
        <w:tc>
          <w:tcPr>
            <w:tcW w:type="dxa" w:w="2649"/>
            <w:vAlign w:val="center"/>
          </w:tcPr>
          <w:p>
            <w:pPr>
              <w:jc w:val="center"/>
            </w:pPr>
            <w:r/>
            <w:r>
              <w:rPr>
                <w:b w:val="0"/>
                <w:sz w:val="15"/>
              </w:rPr>
              <w:t>-0.234</w:t>
            </w:r>
          </w:p>
        </w:tc>
      </w:tr>
      <w:tr>
        <w:tc>
          <w:tcPr>
            <w:tcW w:type="dxa" w:w="2649"/>
            <w:vAlign w:val="center"/>
          </w:tcPr>
          <w:p>
            <w:pPr>
              <w:jc w:val="center"/>
            </w:pPr>
            <w:r/>
            <w:r>
              <w:rPr>
                <w:b w:val="0"/>
                <w:sz w:val="15"/>
              </w:rPr>
              <w:t>cities_100_123</w:t>
            </w:r>
          </w:p>
        </w:tc>
        <w:tc>
          <w:tcPr>
            <w:tcW w:type="dxa" w:w="2649"/>
            <w:vAlign w:val="center"/>
          </w:tcPr>
          <w:p>
            <w:pPr>
              <w:jc w:val="center"/>
            </w:pPr>
            <w:r/>
            <w:r>
              <w:rPr>
                <w:b w:val="0"/>
                <w:sz w:val="15"/>
              </w:rPr>
              <w:t>0.087</w:t>
            </w:r>
          </w:p>
        </w:tc>
        <w:tc>
          <w:tcPr>
            <w:tcW w:type="dxa" w:w="2649"/>
            <w:vAlign w:val="center"/>
          </w:tcPr>
          <w:p>
            <w:pPr>
              <w:jc w:val="center"/>
            </w:pPr>
            <w:r/>
            <w:r>
              <w:rPr>
                <w:b w:val="0"/>
                <w:sz w:val="15"/>
              </w:rPr>
              <w:t>0.028</w:t>
            </w:r>
          </w:p>
        </w:tc>
        <w:tc>
          <w:tcPr>
            <w:tcW w:type="dxa" w:w="2649"/>
            <w:vAlign w:val="center"/>
          </w:tcPr>
          <w:p>
            <w:pPr>
              <w:jc w:val="center"/>
            </w:pPr>
            <w:r/>
            <w:r>
              <w:rPr>
                <w:b w:val="0"/>
                <w:sz w:val="15"/>
              </w:rPr>
              <w:t>-0.260</w:t>
            </w:r>
          </w:p>
        </w:tc>
      </w:tr>
      <w:tr>
        <w:tc>
          <w:tcPr>
            <w:tcW w:type="dxa" w:w="2649"/>
            <w:vAlign w:val="center"/>
          </w:tcPr>
          <w:p>
            <w:pPr>
              <w:jc w:val="center"/>
            </w:pPr>
            <w:r/>
            <w:r>
              <w:rPr>
                <w:b w:val="0"/>
                <w:sz w:val="15"/>
              </w:rPr>
              <w:t>cities_100_131415</w:t>
            </w:r>
          </w:p>
        </w:tc>
        <w:tc>
          <w:tcPr>
            <w:tcW w:type="dxa" w:w="2649"/>
            <w:vAlign w:val="center"/>
          </w:tcPr>
          <w:p>
            <w:pPr>
              <w:jc w:val="center"/>
            </w:pPr>
            <w:r/>
            <w:r>
              <w:rPr>
                <w:b w:val="0"/>
                <w:sz w:val="15"/>
              </w:rPr>
              <w:t>0.723</w:t>
            </w:r>
          </w:p>
        </w:tc>
        <w:tc>
          <w:tcPr>
            <w:tcW w:type="dxa" w:w="2649"/>
            <w:vAlign w:val="center"/>
          </w:tcPr>
          <w:p>
            <w:pPr>
              <w:jc w:val="center"/>
            </w:pPr>
            <w:r/>
            <w:r>
              <w:rPr>
                <w:b w:val="0"/>
                <w:sz w:val="15"/>
              </w:rPr>
              <w:t>0.762</w:t>
            </w:r>
          </w:p>
        </w:tc>
        <w:tc>
          <w:tcPr>
            <w:tcW w:type="dxa" w:w="2649"/>
            <w:vAlign w:val="center"/>
          </w:tcPr>
          <w:p>
            <w:pPr>
              <w:jc w:val="center"/>
            </w:pPr>
            <w:r/>
            <w:r>
              <w:rPr>
                <w:b w:val="0"/>
                <w:sz w:val="15"/>
              </w:rPr>
              <w:t>-0.153</w:t>
            </w:r>
          </w:p>
        </w:tc>
      </w:tr>
      <w:tr>
        <w:tc>
          <w:tcPr>
            <w:tcW w:type="dxa" w:w="2649"/>
            <w:vAlign w:val="center"/>
          </w:tcPr>
          <w:p>
            <w:pPr>
              <w:jc w:val="center"/>
            </w:pPr>
            <w:r/>
            <w:r>
              <w:rPr>
                <w:b w:val="0"/>
                <w:sz w:val="15"/>
              </w:rPr>
              <w:t>cities_100_161718</w:t>
            </w:r>
          </w:p>
        </w:tc>
        <w:tc>
          <w:tcPr>
            <w:tcW w:type="dxa" w:w="2649"/>
            <w:vAlign w:val="center"/>
          </w:tcPr>
          <w:p>
            <w:pPr>
              <w:jc w:val="center"/>
            </w:pPr>
            <w:r/>
            <w:r>
              <w:rPr>
                <w:b w:val="0"/>
                <w:sz w:val="15"/>
              </w:rPr>
              <w:t>0.695</w:t>
            </w:r>
          </w:p>
        </w:tc>
        <w:tc>
          <w:tcPr>
            <w:tcW w:type="dxa" w:w="2649"/>
            <w:vAlign w:val="center"/>
          </w:tcPr>
          <w:p>
            <w:pPr>
              <w:jc w:val="center"/>
            </w:pPr>
            <w:r/>
            <w:r>
              <w:rPr>
                <w:b w:val="0"/>
                <w:sz w:val="15"/>
              </w:rPr>
              <w:t>0.674</w:t>
            </w:r>
          </w:p>
        </w:tc>
        <w:tc>
          <w:tcPr>
            <w:tcW w:type="dxa" w:w="2649"/>
            <w:vAlign w:val="center"/>
          </w:tcPr>
          <w:p>
            <w:pPr>
              <w:jc w:val="center"/>
            </w:pPr>
            <w:r/>
            <w:r>
              <w:rPr>
                <w:b w:val="0"/>
                <w:sz w:val="15"/>
              </w:rPr>
              <w:t>-0.268</w:t>
            </w:r>
          </w:p>
        </w:tc>
      </w:tr>
      <w:tr>
        <w:tc>
          <w:tcPr>
            <w:tcW w:type="dxa" w:w="2649"/>
            <w:vAlign w:val="center"/>
          </w:tcPr>
          <w:p>
            <w:pPr>
              <w:jc w:val="center"/>
            </w:pPr>
            <w:r/>
            <w:r>
              <w:rPr>
                <w:b w:val="0"/>
                <w:sz w:val="15"/>
              </w:rPr>
              <w:t>cities_100_192021</w:t>
            </w:r>
          </w:p>
        </w:tc>
        <w:tc>
          <w:tcPr>
            <w:tcW w:type="dxa" w:w="2649"/>
            <w:vAlign w:val="center"/>
          </w:tcPr>
          <w:p>
            <w:pPr>
              <w:jc w:val="center"/>
            </w:pPr>
            <w:r/>
            <w:r>
              <w:rPr>
                <w:b w:val="0"/>
                <w:sz w:val="15"/>
              </w:rPr>
              <w:t>0.758</w:t>
            </w:r>
          </w:p>
        </w:tc>
        <w:tc>
          <w:tcPr>
            <w:tcW w:type="dxa" w:w="2649"/>
            <w:vAlign w:val="center"/>
          </w:tcPr>
          <w:p>
            <w:pPr>
              <w:jc w:val="center"/>
            </w:pPr>
            <w:r/>
            <w:r>
              <w:rPr>
                <w:b w:val="0"/>
                <w:sz w:val="15"/>
              </w:rPr>
              <w:t>0.784</w:t>
            </w:r>
          </w:p>
        </w:tc>
        <w:tc>
          <w:tcPr>
            <w:tcW w:type="dxa" w:w="2649"/>
            <w:vAlign w:val="center"/>
          </w:tcPr>
          <w:p>
            <w:pPr>
              <w:jc w:val="center"/>
            </w:pPr>
            <w:r/>
            <w:r>
              <w:rPr>
                <w:b w:val="0"/>
                <w:sz w:val="15"/>
              </w:rPr>
              <w:t>-0.426</w:t>
            </w:r>
          </w:p>
        </w:tc>
      </w:tr>
      <w:tr>
        <w:tc>
          <w:tcPr>
            <w:tcW w:type="dxa" w:w="2649"/>
            <w:vAlign w:val="center"/>
          </w:tcPr>
          <w:p>
            <w:pPr>
              <w:jc w:val="center"/>
            </w:pPr>
            <w:r/>
            <w:r>
              <w:rPr>
                <w:b w:val="0"/>
                <w:sz w:val="15"/>
              </w:rPr>
              <w:t>cities_100_222324</w:t>
            </w:r>
          </w:p>
        </w:tc>
        <w:tc>
          <w:tcPr>
            <w:tcW w:type="dxa" w:w="2649"/>
            <w:vAlign w:val="center"/>
          </w:tcPr>
          <w:p>
            <w:pPr>
              <w:jc w:val="center"/>
            </w:pPr>
            <w:r/>
            <w:r>
              <w:rPr>
                <w:b w:val="0"/>
                <w:sz w:val="15"/>
              </w:rPr>
              <w:t>0.491</w:t>
            </w:r>
          </w:p>
        </w:tc>
        <w:tc>
          <w:tcPr>
            <w:tcW w:type="dxa" w:w="2649"/>
            <w:vAlign w:val="center"/>
          </w:tcPr>
          <w:p>
            <w:pPr>
              <w:jc w:val="center"/>
            </w:pPr>
            <w:r/>
            <w:r>
              <w:rPr>
                <w:b w:val="0"/>
                <w:sz w:val="15"/>
              </w:rPr>
              <w:t>0.539</w:t>
            </w:r>
          </w:p>
        </w:tc>
        <w:tc>
          <w:tcPr>
            <w:tcW w:type="dxa" w:w="2649"/>
            <w:vAlign w:val="center"/>
          </w:tcPr>
          <w:p>
            <w:pPr>
              <w:jc w:val="center"/>
            </w:pPr>
            <w:r/>
            <w:r>
              <w:rPr>
                <w:b w:val="0"/>
                <w:sz w:val="15"/>
              </w:rPr>
              <w:t>-0.300</w:t>
            </w:r>
          </w:p>
        </w:tc>
      </w:tr>
      <w:tr>
        <w:tc>
          <w:tcPr>
            <w:tcW w:type="dxa" w:w="2649"/>
            <w:vAlign w:val="center"/>
          </w:tcPr>
          <w:p>
            <w:pPr>
              <w:jc w:val="center"/>
            </w:pPr>
            <w:r/>
            <w:r>
              <w:rPr>
                <w:b w:val="0"/>
                <w:sz w:val="15"/>
              </w:rPr>
              <w:t>cities_100_252627</w:t>
            </w:r>
          </w:p>
        </w:tc>
        <w:tc>
          <w:tcPr>
            <w:tcW w:type="dxa" w:w="2649"/>
            <w:vAlign w:val="center"/>
          </w:tcPr>
          <w:p>
            <w:pPr>
              <w:jc w:val="center"/>
            </w:pPr>
            <w:r/>
            <w:r>
              <w:rPr>
                <w:b w:val="0"/>
                <w:sz w:val="15"/>
              </w:rPr>
              <w:t>0.428</w:t>
            </w:r>
          </w:p>
        </w:tc>
        <w:tc>
          <w:tcPr>
            <w:tcW w:type="dxa" w:w="2649"/>
            <w:vAlign w:val="center"/>
          </w:tcPr>
          <w:p>
            <w:pPr>
              <w:jc w:val="center"/>
            </w:pPr>
            <w:r/>
            <w:r>
              <w:rPr>
                <w:b w:val="0"/>
                <w:sz w:val="15"/>
              </w:rPr>
              <w:t>0.366</w:t>
            </w:r>
          </w:p>
        </w:tc>
        <w:tc>
          <w:tcPr>
            <w:tcW w:type="dxa" w:w="2649"/>
            <w:vAlign w:val="center"/>
          </w:tcPr>
          <w:p>
            <w:pPr>
              <w:jc w:val="center"/>
            </w:pPr>
            <w:r/>
            <w:r>
              <w:rPr>
                <w:b w:val="0"/>
                <w:sz w:val="15"/>
              </w:rPr>
              <w:t>-0.367</w:t>
            </w:r>
          </w:p>
        </w:tc>
      </w:tr>
      <w:tr>
        <w:tc>
          <w:tcPr>
            <w:tcW w:type="dxa" w:w="2649"/>
            <w:vAlign w:val="center"/>
          </w:tcPr>
          <w:p>
            <w:pPr>
              <w:jc w:val="center"/>
            </w:pPr>
            <w:r/>
            <w:r>
              <w:rPr>
                <w:b w:val="0"/>
                <w:sz w:val="15"/>
              </w:rPr>
              <w:t>cities_100_282930</w:t>
            </w:r>
          </w:p>
        </w:tc>
        <w:tc>
          <w:tcPr>
            <w:tcW w:type="dxa" w:w="2649"/>
            <w:vAlign w:val="center"/>
          </w:tcPr>
          <w:p>
            <w:pPr>
              <w:jc w:val="center"/>
            </w:pPr>
            <w:r/>
            <w:r>
              <w:rPr>
                <w:b w:val="0"/>
                <w:sz w:val="15"/>
              </w:rPr>
              <w:t>0.604</w:t>
            </w:r>
          </w:p>
        </w:tc>
        <w:tc>
          <w:tcPr>
            <w:tcW w:type="dxa" w:w="2649"/>
            <w:vAlign w:val="center"/>
          </w:tcPr>
          <w:p>
            <w:pPr>
              <w:jc w:val="center"/>
            </w:pPr>
            <w:r/>
            <w:r>
              <w:rPr>
                <w:b w:val="0"/>
                <w:sz w:val="15"/>
              </w:rPr>
              <w:t>0.642</w:t>
            </w:r>
          </w:p>
        </w:tc>
        <w:tc>
          <w:tcPr>
            <w:tcW w:type="dxa" w:w="2649"/>
            <w:vAlign w:val="center"/>
          </w:tcPr>
          <w:p>
            <w:pPr>
              <w:jc w:val="center"/>
            </w:pPr>
            <w:r/>
            <w:r>
              <w:rPr>
                <w:b w:val="0"/>
                <w:sz w:val="15"/>
              </w:rPr>
              <w:t>-0.228</w:t>
            </w:r>
          </w:p>
        </w:tc>
      </w:tr>
      <w:tr>
        <w:tc>
          <w:tcPr>
            <w:tcW w:type="dxa" w:w="2649"/>
            <w:vAlign w:val="center"/>
          </w:tcPr>
          <w:p>
            <w:pPr>
              <w:jc w:val="center"/>
            </w:pPr>
            <w:r/>
            <w:r>
              <w:rPr>
                <w:b w:val="0"/>
                <w:sz w:val="15"/>
              </w:rPr>
              <w:t>cities_100_456</w:t>
            </w:r>
          </w:p>
        </w:tc>
        <w:tc>
          <w:tcPr>
            <w:tcW w:type="dxa" w:w="2649"/>
            <w:vAlign w:val="center"/>
          </w:tcPr>
          <w:p>
            <w:pPr>
              <w:jc w:val="center"/>
            </w:pPr>
            <w:r/>
            <w:r>
              <w:rPr>
                <w:b w:val="0"/>
                <w:sz w:val="15"/>
              </w:rPr>
              <w:t>0.438</w:t>
            </w:r>
          </w:p>
        </w:tc>
        <w:tc>
          <w:tcPr>
            <w:tcW w:type="dxa" w:w="2649"/>
            <w:vAlign w:val="center"/>
          </w:tcPr>
          <w:p>
            <w:pPr>
              <w:jc w:val="center"/>
            </w:pPr>
            <w:r/>
            <w:r>
              <w:rPr>
                <w:b w:val="0"/>
                <w:sz w:val="15"/>
              </w:rPr>
              <w:t>0.530</w:t>
            </w:r>
          </w:p>
        </w:tc>
        <w:tc>
          <w:tcPr>
            <w:tcW w:type="dxa" w:w="2649"/>
            <w:vAlign w:val="center"/>
          </w:tcPr>
          <w:p>
            <w:pPr>
              <w:jc w:val="center"/>
            </w:pPr>
            <w:r/>
            <w:r>
              <w:rPr>
                <w:b w:val="0"/>
                <w:sz w:val="15"/>
              </w:rPr>
              <w:t>-0.347</w:t>
            </w:r>
          </w:p>
        </w:tc>
      </w:tr>
      <w:tr>
        <w:tc>
          <w:tcPr>
            <w:tcW w:type="dxa" w:w="2649"/>
            <w:vAlign w:val="center"/>
          </w:tcPr>
          <w:p>
            <w:pPr>
              <w:jc w:val="center"/>
            </w:pPr>
            <w:r/>
            <w:r>
              <w:rPr>
                <w:b w:val="0"/>
                <w:sz w:val="15"/>
              </w:rPr>
              <w:t>cities_100_789</w:t>
            </w:r>
          </w:p>
        </w:tc>
        <w:tc>
          <w:tcPr>
            <w:tcW w:type="dxa" w:w="2649"/>
            <w:vAlign w:val="center"/>
          </w:tcPr>
          <w:p>
            <w:pPr>
              <w:jc w:val="center"/>
            </w:pPr>
            <w:r/>
            <w:r>
              <w:rPr>
                <w:b w:val="0"/>
                <w:sz w:val="15"/>
              </w:rPr>
              <w:t>0.611</w:t>
            </w:r>
          </w:p>
        </w:tc>
        <w:tc>
          <w:tcPr>
            <w:tcW w:type="dxa" w:w="2649"/>
            <w:vAlign w:val="center"/>
          </w:tcPr>
          <w:p>
            <w:pPr>
              <w:jc w:val="center"/>
            </w:pPr>
            <w:r/>
            <w:r>
              <w:rPr>
                <w:b w:val="0"/>
                <w:sz w:val="15"/>
              </w:rPr>
              <w:t>0.610</w:t>
            </w:r>
          </w:p>
        </w:tc>
        <w:tc>
          <w:tcPr>
            <w:tcW w:type="dxa" w:w="2649"/>
            <w:vAlign w:val="center"/>
          </w:tcPr>
          <w:p>
            <w:pPr>
              <w:jc w:val="center"/>
            </w:pPr>
            <w:r/>
            <w:r>
              <w:rPr>
                <w:b w:val="0"/>
                <w:sz w:val="15"/>
              </w:rPr>
              <w:t>-0.286</w:t>
            </w:r>
          </w:p>
        </w:tc>
      </w:tr>
    </w:tbl>
    <w:p/>
    <w:p>
      <w:pPr>
        <w:spacing w:after="120"/>
      </w:pPr>
      <w:r>
        <w:rPr>
          <w:b/>
        </w:rPr>
        <w:t>Análisis diversidad-calidad:</w:t>
      </w:r>
      <w:r/>
    </w:p>
    <w:p>
      <w:pPr>
        <w:spacing w:after="120"/>
      </w:pPr>
      <w:r>
        <w:t>La relación no debe interpretarse como “más diversidad siempre es mejor”. Al inicio, una diversidad alta es necesaria para explorar rutas diferentes. En etapas finales, una diversidad moderadamente menor puede ser positiva porque indica que la población se concentra en buenas soluciones. El riesgo aparece cuando la diversidad cae demasiado temprano y el algoritmo ya no mejora. En los resultados, los gaps negativos frente a Nearest Neighbor muestran que el algoritmo obtuvo soluciones de buena calidad aun cuando la diversidad final bajó en varios datasets.</w:t>
      </w:r>
    </w:p>
    <w:p>
      <w:pPr>
        <w:spacing w:after="120"/>
      </w:pPr>
      <w:r>
        <w:rPr>
          <w:b/>
        </w:rPr>
        <w:t>Análisis diversidad-convergencia:</w:t>
      </w:r>
      <w:r/>
    </w:p>
    <w:p>
      <w:pPr>
        <w:spacing w:after="120"/>
      </w:pPr>
      <w:r>
        <w:t>Cuando la diversidad final es baja y el número de generaciones sin mejora es alto, existe evidencia de estancamiento. Esto ocurrió principalmente en los datasets señalados como posible convergencia prematura. En términos prácticos, esta información permite defender decisiones de ajuste: aumentar la probabilidad de mutación, ampliar la población o prolongar generaciones puede reintroducir exploración si la diversidad cae demasiado pronto.</w:t>
      </w:r>
    </w:p>
    <w:p>
      <w:pPr>
        <w:spacing w:after="120"/>
      </w:pPr>
      <w:r>
        <w:t>Sustentación del literal d): se definieron dos métricas de diversidad, se graficaron a lo largo de las generaciones y se analizó su relación con calidad y convergencia mediante gráficas y correlaciones. Por tanto, el literal no queda solo en una definición, sino que se evalúa con evidencia experimental.</w:t>
      </w:r>
    </w:p>
    <w:p>
      <w:pPr>
        <w:pStyle w:val="Heading1"/>
      </w:pPr>
      <w:r>
        <w:t>e) Evaluación de la calidad de las soluciones</w:t>
      </w:r>
    </w:p>
    <w:p>
      <w:pPr>
        <w:spacing w:after="120"/>
      </w:pPr>
      <w:r>
        <w:rPr>
          <w:b/>
        </w:rPr>
        <w:t>Qué pide el literal:</w:t>
      </w:r>
      <w:r/>
    </w:p>
    <w:p>
      <w:pPr>
        <w:pStyle w:val="ListBullet"/>
        <w:spacing w:after="40"/>
      </w:pPr>
      <w:r>
        <w:t>Comparar los resultados del AG con al menos una heurística simple, por ejemplo Nearest Neighbor.</w:t>
      </w:r>
    </w:p>
    <w:p>
      <w:pPr>
        <w:pStyle w:val="ListBullet"/>
        <w:spacing w:after="40"/>
      </w:pPr>
      <w:r>
        <w:t>Reportar fitness final y error relativo cuando sea posible.</w:t>
      </w:r>
    </w:p>
    <w:p>
      <w:pPr>
        <w:spacing w:after="120"/>
      </w:pPr>
      <w:r>
        <w:rPr>
          <w:b/>
        </w:rPr>
        <w:t>Heurística de comparación:</w:t>
      </w:r>
      <w:r/>
    </w:p>
    <w:p>
      <w:pPr>
        <w:spacing w:after="120"/>
      </w:pPr>
      <w:r>
        <w:t>Se utilizó Nearest Neighbor como heurística simple. Esta heurística inicia en una ciudad y, en cada paso, elige la ciudad no visitada más cercana. Para hacer una comparación más justa, se probó cada ciudad como posible inicio y se conservó la mejor ruta obtenida. Además, se calculó una versión Nearest Neighbor + 2-opt para comparar el AG contra una heurística refinada.</w:t>
      </w:r>
    </w:p>
    <w:p>
      <w:pPr>
        <w:jc w:val="center"/>
      </w:pPr>
      <w:r>
        <w:drawing>
          <wp:inline xmlns:a="http://schemas.openxmlformats.org/drawingml/2006/main" xmlns:pic="http://schemas.openxmlformats.org/drawingml/2006/picture">
            <wp:extent cx="6012000" cy="2905800"/>
            <wp:docPr id="7" name="Picture 7"/>
            <wp:cNvGraphicFramePr>
              <a:graphicFrameLocks noChangeAspect="1"/>
            </wp:cNvGraphicFramePr>
            <a:graphic>
              <a:graphicData uri="http://schemas.openxmlformats.org/drawingml/2006/picture">
                <pic:pic>
                  <pic:nvPicPr>
                    <pic:cNvPr id="0" name="comparacion_nn_vs_ag2opt_v5.png"/>
                    <pic:cNvPicPr/>
                  </pic:nvPicPr>
                  <pic:blipFill>
                    <a:blip r:embed="rId16"/>
                    <a:stretch>
                      <a:fillRect/>
                    </a:stretch>
                  </pic:blipFill>
                  <pic:spPr>
                    <a:xfrm>
                      <a:off x="0" y="0"/>
                      <a:ext cx="6012000" cy="2905800"/>
                    </a:xfrm>
                    <a:prstGeom prst="rect"/>
                  </pic:spPr>
                </pic:pic>
              </a:graphicData>
            </a:graphic>
          </wp:inline>
        </w:drawing>
      </w:r>
    </w:p>
    <w:p>
      <w:pPr>
        <w:spacing w:after="160"/>
        <w:jc w:val="center"/>
      </w:pPr>
      <w:r>
        <w:rPr>
          <w:i/>
          <w:sz w:val="18"/>
        </w:rPr>
        <w:t>Figura 7. Comparación de distancia final: Nearest Neighbor vs AG elitista + 2-opt.</w:t>
      </w:r>
    </w:p>
    <w:p>
      <w:pPr>
        <w:jc w:val="center"/>
      </w:pPr>
      <w:r>
        <w:drawing>
          <wp:inline xmlns:a="http://schemas.openxmlformats.org/drawingml/2006/main" xmlns:pic="http://schemas.openxmlformats.org/drawingml/2006/picture">
            <wp:extent cx="5832000" cy="2916000"/>
            <wp:docPr id="8" name="Picture 8"/>
            <wp:cNvGraphicFramePr>
              <a:graphicFrameLocks noChangeAspect="1"/>
            </wp:cNvGraphicFramePr>
            <a:graphic>
              <a:graphicData uri="http://schemas.openxmlformats.org/drawingml/2006/picture">
                <pic:pic>
                  <pic:nvPicPr>
                    <pic:cNvPr id="0" name="gap_relativo_vs_nn_v5.png"/>
                    <pic:cNvPicPr/>
                  </pic:nvPicPr>
                  <pic:blipFill>
                    <a:blip r:embed="rId17"/>
                    <a:stretch>
                      <a:fillRect/>
                    </a:stretch>
                  </pic:blipFill>
                  <pic:spPr>
                    <a:xfrm>
                      <a:off x="0" y="0"/>
                      <a:ext cx="5832000" cy="2916000"/>
                    </a:xfrm>
                    <a:prstGeom prst="rect"/>
                  </pic:spPr>
                </pic:pic>
              </a:graphicData>
            </a:graphic>
          </wp:inline>
        </w:drawing>
      </w:r>
    </w:p>
    <w:p>
      <w:pPr>
        <w:spacing w:after="160"/>
        <w:jc w:val="center"/>
      </w:pPr>
      <w:r>
        <w:rPr>
          <w:i/>
          <w:sz w:val="18"/>
        </w:rPr>
        <w:t>Figura 8. Error relativo frente a Nearest Neighbor. Valores negativos representan mejora del AG.</w:t>
      </w:r>
    </w:p>
    <w:p>
      <w:pPr>
        <w:spacing w:before="80" w:after="40"/>
      </w:pPr>
      <w:r>
        <w:rPr>
          <w:b/>
          <w:color w:val="1F4E79"/>
        </w:rPr>
        <w:t>Tabla 8. Calidad de solución, fitness final y error relativo.</w:t>
      </w:r>
    </w:p>
    <w:tbl>
      <w:tblPr>
        <w:tblStyle w:val="TableGrid"/>
        <w:tblW w:type="auto" w:w="0"/>
        <w:jc w:val="center"/>
        <w:tblLook w:firstColumn="1" w:firstRow="1" w:lastColumn="0" w:lastRow="0" w:noHBand="0" w:noVBand="1" w:val="04A0"/>
      </w:tblPr>
      <w:tblGrid>
        <w:gridCol w:w="1177"/>
        <w:gridCol w:w="1177"/>
        <w:gridCol w:w="1177"/>
        <w:gridCol w:w="1177"/>
        <w:gridCol w:w="1177"/>
        <w:gridCol w:w="1177"/>
        <w:gridCol w:w="1177"/>
        <w:gridCol w:w="1177"/>
        <w:gridCol w:w="1177"/>
      </w:tblGrid>
      <w:tr>
        <w:tc>
          <w:tcPr>
            <w:tcW w:type="dxa" w:w="1177"/>
            <w:shd w:fill="D9EAF7"/>
          </w:tcPr>
          <w:p>
            <w:pPr>
              <w:jc w:val="center"/>
            </w:pPr>
            <w:r/>
            <w:r>
              <w:rPr>
                <w:b/>
                <w:color w:val="000000"/>
                <w:sz w:val="13"/>
              </w:rPr>
              <w:t>Dataset</w:t>
            </w:r>
          </w:p>
        </w:tc>
        <w:tc>
          <w:tcPr>
            <w:tcW w:type="dxa" w:w="1177"/>
            <w:shd w:fill="D9EAF7"/>
          </w:tcPr>
          <w:p>
            <w:pPr>
              <w:jc w:val="center"/>
            </w:pPr>
            <w:r/>
            <w:r>
              <w:rPr>
                <w:b/>
                <w:color w:val="000000"/>
                <w:sz w:val="13"/>
              </w:rPr>
              <w:t>n</w:t>
            </w:r>
          </w:p>
        </w:tc>
        <w:tc>
          <w:tcPr>
            <w:tcW w:type="dxa" w:w="1177"/>
            <w:shd w:fill="D9EAF7"/>
          </w:tcPr>
          <w:p>
            <w:pPr>
              <w:jc w:val="center"/>
            </w:pPr>
            <w:r/>
            <w:r>
              <w:rPr>
                <w:b/>
                <w:color w:val="000000"/>
                <w:sz w:val="13"/>
              </w:rPr>
              <w:t>NN dist.</w:t>
            </w:r>
          </w:p>
        </w:tc>
        <w:tc>
          <w:tcPr>
            <w:tcW w:type="dxa" w:w="1177"/>
            <w:shd w:fill="D9EAF7"/>
          </w:tcPr>
          <w:p>
            <w:pPr>
              <w:jc w:val="center"/>
            </w:pPr>
            <w:r/>
            <w:r>
              <w:rPr>
                <w:b/>
                <w:color w:val="000000"/>
                <w:sz w:val="13"/>
              </w:rPr>
              <w:t>NN+2opt dist.</w:t>
            </w:r>
          </w:p>
        </w:tc>
        <w:tc>
          <w:tcPr>
            <w:tcW w:type="dxa" w:w="1177"/>
            <w:shd w:fill="D9EAF7"/>
          </w:tcPr>
          <w:p>
            <w:pPr>
              <w:jc w:val="center"/>
            </w:pPr>
            <w:r/>
            <w:r>
              <w:rPr>
                <w:b/>
                <w:color w:val="000000"/>
                <w:sz w:val="13"/>
              </w:rPr>
              <w:t>AG+2opt dist.</w:t>
            </w:r>
          </w:p>
        </w:tc>
        <w:tc>
          <w:tcPr>
            <w:tcW w:type="dxa" w:w="1177"/>
            <w:shd w:fill="D9EAF7"/>
          </w:tcPr>
          <w:p>
            <w:pPr>
              <w:jc w:val="center"/>
            </w:pPr>
            <w:r/>
            <w:r>
              <w:rPr>
                <w:b/>
                <w:color w:val="000000"/>
                <w:sz w:val="13"/>
              </w:rPr>
              <w:t>Fitness final</w:t>
            </w:r>
          </w:p>
        </w:tc>
        <w:tc>
          <w:tcPr>
            <w:tcW w:type="dxa" w:w="1177"/>
            <w:shd w:fill="D9EAF7"/>
          </w:tcPr>
          <w:p>
            <w:pPr>
              <w:jc w:val="center"/>
            </w:pPr>
            <w:r/>
            <w:r>
              <w:rPr>
                <w:b/>
                <w:color w:val="000000"/>
                <w:sz w:val="13"/>
              </w:rPr>
              <w:t>Error vs NN</w:t>
            </w:r>
          </w:p>
        </w:tc>
        <w:tc>
          <w:tcPr>
            <w:tcW w:type="dxa" w:w="1177"/>
            <w:shd w:fill="D9EAF7"/>
          </w:tcPr>
          <w:p>
            <w:pPr>
              <w:jc w:val="center"/>
            </w:pPr>
            <w:r/>
            <w:r>
              <w:rPr>
                <w:b/>
                <w:color w:val="000000"/>
                <w:sz w:val="13"/>
              </w:rPr>
              <w:t>Error vs NN+2opt</w:t>
            </w:r>
          </w:p>
        </w:tc>
        <w:tc>
          <w:tcPr>
            <w:tcW w:type="dxa" w:w="1177"/>
            <w:shd w:fill="D9EAF7"/>
          </w:tcPr>
          <w:p>
            <w:pPr>
              <w:jc w:val="center"/>
            </w:pPr>
            <w:r/>
            <w:r>
              <w:rPr>
                <w:b/>
                <w:color w:val="000000"/>
                <w:sz w:val="13"/>
              </w:rPr>
              <w:t>Ruta válida</w:t>
            </w:r>
          </w:p>
        </w:tc>
      </w:tr>
      <w:tr>
        <w:tc>
          <w:tcPr>
            <w:tcW w:type="dxa" w:w="1177"/>
            <w:vAlign w:val="center"/>
          </w:tcPr>
          <w:p>
            <w:pPr>
              <w:jc w:val="center"/>
            </w:pPr>
            <w:r/>
            <w:r>
              <w:rPr>
                <w:b w:val="0"/>
                <w:sz w:val="13"/>
              </w:rPr>
              <w:t>cities_100_101112</w:t>
            </w:r>
          </w:p>
        </w:tc>
        <w:tc>
          <w:tcPr>
            <w:tcW w:type="dxa" w:w="1177"/>
            <w:vAlign w:val="center"/>
          </w:tcPr>
          <w:p>
            <w:pPr>
              <w:jc w:val="center"/>
            </w:pPr>
            <w:r/>
            <w:r>
              <w:rPr>
                <w:b w:val="0"/>
                <w:sz w:val="13"/>
              </w:rPr>
              <w:t>85</w:t>
            </w:r>
          </w:p>
        </w:tc>
        <w:tc>
          <w:tcPr>
            <w:tcW w:type="dxa" w:w="1177"/>
            <w:vAlign w:val="center"/>
          </w:tcPr>
          <w:p>
            <w:pPr>
              <w:jc w:val="center"/>
            </w:pPr>
            <w:r/>
            <w:r>
              <w:rPr>
                <w:b w:val="0"/>
                <w:sz w:val="13"/>
              </w:rPr>
              <w:t>1,619.41</w:t>
            </w:r>
          </w:p>
        </w:tc>
        <w:tc>
          <w:tcPr>
            <w:tcW w:type="dxa" w:w="1177"/>
            <w:vAlign w:val="center"/>
          </w:tcPr>
          <w:p>
            <w:pPr>
              <w:jc w:val="center"/>
            </w:pPr>
            <w:r/>
            <w:r>
              <w:rPr>
                <w:b w:val="0"/>
                <w:sz w:val="13"/>
              </w:rPr>
              <w:t>1,487.02</w:t>
            </w:r>
          </w:p>
        </w:tc>
        <w:tc>
          <w:tcPr>
            <w:tcW w:type="dxa" w:w="1177"/>
            <w:vAlign w:val="center"/>
          </w:tcPr>
          <w:p>
            <w:pPr>
              <w:jc w:val="center"/>
            </w:pPr>
            <w:r/>
            <w:r>
              <w:rPr>
                <w:b w:val="0"/>
                <w:sz w:val="13"/>
              </w:rPr>
              <w:t>1,469.42</w:t>
            </w:r>
          </w:p>
        </w:tc>
        <w:tc>
          <w:tcPr>
            <w:tcW w:type="dxa" w:w="1177"/>
            <w:vAlign w:val="center"/>
          </w:tcPr>
          <w:p>
            <w:pPr>
              <w:jc w:val="center"/>
            </w:pPr>
            <w:r/>
            <w:r>
              <w:rPr>
                <w:b w:val="0"/>
                <w:sz w:val="13"/>
              </w:rPr>
              <w:t>0.000681</w:t>
            </w:r>
          </w:p>
        </w:tc>
        <w:tc>
          <w:tcPr>
            <w:tcW w:type="dxa" w:w="1177"/>
            <w:vAlign w:val="center"/>
          </w:tcPr>
          <w:p>
            <w:pPr>
              <w:jc w:val="center"/>
            </w:pPr>
            <w:r/>
            <w:r>
              <w:rPr>
                <w:b w:val="0"/>
                <w:sz w:val="13"/>
              </w:rPr>
              <w:t>-9.26</w:t>
            </w:r>
          </w:p>
        </w:tc>
        <w:tc>
          <w:tcPr>
            <w:tcW w:type="dxa" w:w="1177"/>
            <w:vAlign w:val="center"/>
          </w:tcPr>
          <w:p>
            <w:pPr>
              <w:jc w:val="center"/>
            </w:pPr>
            <w:r/>
            <w:r>
              <w:rPr>
                <w:b w:val="0"/>
                <w:sz w:val="13"/>
              </w:rPr>
              <w:t>-1.18</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cities_100_123</w:t>
            </w:r>
          </w:p>
        </w:tc>
        <w:tc>
          <w:tcPr>
            <w:tcW w:type="dxa" w:w="1177"/>
            <w:vAlign w:val="center"/>
          </w:tcPr>
          <w:p>
            <w:pPr>
              <w:jc w:val="center"/>
            </w:pPr>
            <w:r/>
            <w:r>
              <w:rPr>
                <w:b w:val="0"/>
                <w:sz w:val="13"/>
              </w:rPr>
              <w:t>82</w:t>
            </w:r>
          </w:p>
        </w:tc>
        <w:tc>
          <w:tcPr>
            <w:tcW w:type="dxa" w:w="1177"/>
            <w:vAlign w:val="center"/>
          </w:tcPr>
          <w:p>
            <w:pPr>
              <w:jc w:val="center"/>
            </w:pPr>
            <w:r/>
            <w:r>
              <w:rPr>
                <w:b w:val="0"/>
                <w:sz w:val="13"/>
              </w:rPr>
              <w:t>1,676.68</w:t>
            </w:r>
          </w:p>
        </w:tc>
        <w:tc>
          <w:tcPr>
            <w:tcW w:type="dxa" w:w="1177"/>
            <w:vAlign w:val="center"/>
          </w:tcPr>
          <w:p>
            <w:pPr>
              <w:jc w:val="center"/>
            </w:pPr>
            <w:r/>
            <w:r>
              <w:rPr>
                <w:b w:val="0"/>
                <w:sz w:val="13"/>
              </w:rPr>
              <w:t>1,536.72</w:t>
            </w:r>
          </w:p>
        </w:tc>
        <w:tc>
          <w:tcPr>
            <w:tcW w:type="dxa" w:w="1177"/>
            <w:vAlign w:val="center"/>
          </w:tcPr>
          <w:p>
            <w:pPr>
              <w:jc w:val="center"/>
            </w:pPr>
            <w:r/>
            <w:r>
              <w:rPr>
                <w:b w:val="0"/>
                <w:sz w:val="13"/>
              </w:rPr>
              <w:t>1,527.83</w:t>
            </w:r>
          </w:p>
        </w:tc>
        <w:tc>
          <w:tcPr>
            <w:tcW w:type="dxa" w:w="1177"/>
            <w:vAlign w:val="center"/>
          </w:tcPr>
          <w:p>
            <w:pPr>
              <w:jc w:val="center"/>
            </w:pPr>
            <w:r/>
            <w:r>
              <w:rPr>
                <w:b w:val="0"/>
                <w:sz w:val="13"/>
              </w:rPr>
              <w:t>0.000655</w:t>
            </w:r>
          </w:p>
        </w:tc>
        <w:tc>
          <w:tcPr>
            <w:tcW w:type="dxa" w:w="1177"/>
            <w:vAlign w:val="center"/>
          </w:tcPr>
          <w:p>
            <w:pPr>
              <w:jc w:val="center"/>
            </w:pPr>
            <w:r/>
            <w:r>
              <w:rPr>
                <w:b w:val="0"/>
                <w:sz w:val="13"/>
              </w:rPr>
              <w:t>-8.88</w:t>
            </w:r>
          </w:p>
        </w:tc>
        <w:tc>
          <w:tcPr>
            <w:tcW w:type="dxa" w:w="1177"/>
            <w:vAlign w:val="center"/>
          </w:tcPr>
          <w:p>
            <w:pPr>
              <w:jc w:val="center"/>
            </w:pPr>
            <w:r/>
            <w:r>
              <w:rPr>
                <w:b w:val="0"/>
                <w:sz w:val="13"/>
              </w:rPr>
              <w:t>-0.58</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cities_100_131415</w:t>
            </w:r>
          </w:p>
        </w:tc>
        <w:tc>
          <w:tcPr>
            <w:tcW w:type="dxa" w:w="1177"/>
            <w:vAlign w:val="center"/>
          </w:tcPr>
          <w:p>
            <w:pPr>
              <w:jc w:val="center"/>
            </w:pPr>
            <w:r/>
            <w:r>
              <w:rPr>
                <w:b w:val="0"/>
                <w:sz w:val="13"/>
              </w:rPr>
              <w:t>88</w:t>
            </w:r>
          </w:p>
        </w:tc>
        <w:tc>
          <w:tcPr>
            <w:tcW w:type="dxa" w:w="1177"/>
            <w:vAlign w:val="center"/>
          </w:tcPr>
          <w:p>
            <w:pPr>
              <w:jc w:val="center"/>
            </w:pPr>
            <w:r/>
            <w:r>
              <w:rPr>
                <w:b w:val="0"/>
                <w:sz w:val="13"/>
              </w:rPr>
              <w:t>1,590.97</w:t>
            </w:r>
          </w:p>
        </w:tc>
        <w:tc>
          <w:tcPr>
            <w:tcW w:type="dxa" w:w="1177"/>
            <w:vAlign w:val="center"/>
          </w:tcPr>
          <w:p>
            <w:pPr>
              <w:jc w:val="center"/>
            </w:pPr>
            <w:r/>
            <w:r>
              <w:rPr>
                <w:b w:val="0"/>
                <w:sz w:val="13"/>
              </w:rPr>
              <w:t>1,472.80</w:t>
            </w:r>
          </w:p>
        </w:tc>
        <w:tc>
          <w:tcPr>
            <w:tcW w:type="dxa" w:w="1177"/>
            <w:vAlign w:val="center"/>
          </w:tcPr>
          <w:p>
            <w:pPr>
              <w:jc w:val="center"/>
            </w:pPr>
            <w:r/>
            <w:r>
              <w:rPr>
                <w:b w:val="0"/>
                <w:sz w:val="13"/>
              </w:rPr>
              <w:t>1,475.42</w:t>
            </w:r>
          </w:p>
        </w:tc>
        <w:tc>
          <w:tcPr>
            <w:tcW w:type="dxa" w:w="1177"/>
            <w:vAlign w:val="center"/>
          </w:tcPr>
          <w:p>
            <w:pPr>
              <w:jc w:val="center"/>
            </w:pPr>
            <w:r/>
            <w:r>
              <w:rPr>
                <w:b w:val="0"/>
                <w:sz w:val="13"/>
              </w:rPr>
              <w:t>0.000678</w:t>
            </w:r>
          </w:p>
        </w:tc>
        <w:tc>
          <w:tcPr>
            <w:tcW w:type="dxa" w:w="1177"/>
            <w:vAlign w:val="center"/>
          </w:tcPr>
          <w:p>
            <w:pPr>
              <w:jc w:val="center"/>
            </w:pPr>
            <w:r/>
            <w:r>
              <w:rPr>
                <w:b w:val="0"/>
                <w:sz w:val="13"/>
              </w:rPr>
              <w:t>-7.26</w:t>
            </w:r>
          </w:p>
        </w:tc>
        <w:tc>
          <w:tcPr>
            <w:tcW w:type="dxa" w:w="1177"/>
            <w:vAlign w:val="center"/>
          </w:tcPr>
          <w:p>
            <w:pPr>
              <w:jc w:val="center"/>
            </w:pPr>
            <w:r/>
            <w:r>
              <w:rPr>
                <w:b w:val="0"/>
                <w:sz w:val="13"/>
              </w:rPr>
              <w:t>0.18</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cities_100_161718</w:t>
            </w:r>
          </w:p>
        </w:tc>
        <w:tc>
          <w:tcPr>
            <w:tcW w:type="dxa" w:w="1177"/>
            <w:vAlign w:val="center"/>
          </w:tcPr>
          <w:p>
            <w:pPr>
              <w:jc w:val="center"/>
            </w:pPr>
            <w:r/>
            <w:r>
              <w:rPr>
                <w:b w:val="0"/>
                <w:sz w:val="13"/>
              </w:rPr>
              <w:t>80</w:t>
            </w:r>
          </w:p>
        </w:tc>
        <w:tc>
          <w:tcPr>
            <w:tcW w:type="dxa" w:w="1177"/>
            <w:vAlign w:val="center"/>
          </w:tcPr>
          <w:p>
            <w:pPr>
              <w:jc w:val="center"/>
            </w:pPr>
            <w:r/>
            <w:r>
              <w:rPr>
                <w:b w:val="0"/>
                <w:sz w:val="13"/>
              </w:rPr>
              <w:t>1,778.42</w:t>
            </w:r>
          </w:p>
        </w:tc>
        <w:tc>
          <w:tcPr>
            <w:tcW w:type="dxa" w:w="1177"/>
            <w:vAlign w:val="center"/>
          </w:tcPr>
          <w:p>
            <w:pPr>
              <w:jc w:val="center"/>
            </w:pPr>
            <w:r/>
            <w:r>
              <w:rPr>
                <w:b w:val="0"/>
                <w:sz w:val="13"/>
              </w:rPr>
              <w:t>1,586.98</w:t>
            </w:r>
          </w:p>
        </w:tc>
        <w:tc>
          <w:tcPr>
            <w:tcW w:type="dxa" w:w="1177"/>
            <w:vAlign w:val="center"/>
          </w:tcPr>
          <w:p>
            <w:pPr>
              <w:jc w:val="center"/>
            </w:pPr>
            <w:r/>
            <w:r>
              <w:rPr>
                <w:b w:val="0"/>
                <w:sz w:val="13"/>
              </w:rPr>
              <w:t>1,597.80</w:t>
            </w:r>
          </w:p>
        </w:tc>
        <w:tc>
          <w:tcPr>
            <w:tcW w:type="dxa" w:w="1177"/>
            <w:vAlign w:val="center"/>
          </w:tcPr>
          <w:p>
            <w:pPr>
              <w:jc w:val="center"/>
            </w:pPr>
            <w:r/>
            <w:r>
              <w:rPr>
                <w:b w:val="0"/>
                <w:sz w:val="13"/>
              </w:rPr>
              <w:t>0.000626</w:t>
            </w:r>
          </w:p>
        </w:tc>
        <w:tc>
          <w:tcPr>
            <w:tcW w:type="dxa" w:w="1177"/>
            <w:vAlign w:val="center"/>
          </w:tcPr>
          <w:p>
            <w:pPr>
              <w:jc w:val="center"/>
            </w:pPr>
            <w:r/>
            <w:r>
              <w:rPr>
                <w:b w:val="0"/>
                <w:sz w:val="13"/>
              </w:rPr>
              <w:t>-10.16</w:t>
            </w:r>
          </w:p>
        </w:tc>
        <w:tc>
          <w:tcPr>
            <w:tcW w:type="dxa" w:w="1177"/>
            <w:vAlign w:val="center"/>
          </w:tcPr>
          <w:p>
            <w:pPr>
              <w:jc w:val="center"/>
            </w:pPr>
            <w:r/>
            <w:r>
              <w:rPr>
                <w:b w:val="0"/>
                <w:sz w:val="13"/>
              </w:rPr>
              <w:t>0.68</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cities_100_192021</w:t>
            </w:r>
          </w:p>
        </w:tc>
        <w:tc>
          <w:tcPr>
            <w:tcW w:type="dxa" w:w="1177"/>
            <w:vAlign w:val="center"/>
          </w:tcPr>
          <w:p>
            <w:pPr>
              <w:jc w:val="center"/>
            </w:pPr>
            <w:r/>
            <w:r>
              <w:rPr>
                <w:b w:val="0"/>
                <w:sz w:val="13"/>
              </w:rPr>
              <w:t>80</w:t>
            </w:r>
          </w:p>
        </w:tc>
        <w:tc>
          <w:tcPr>
            <w:tcW w:type="dxa" w:w="1177"/>
            <w:vAlign w:val="center"/>
          </w:tcPr>
          <w:p>
            <w:pPr>
              <w:jc w:val="center"/>
            </w:pPr>
            <w:r/>
            <w:r>
              <w:rPr>
                <w:b w:val="0"/>
                <w:sz w:val="13"/>
              </w:rPr>
              <w:t>1,792.02</w:t>
            </w:r>
          </w:p>
        </w:tc>
        <w:tc>
          <w:tcPr>
            <w:tcW w:type="dxa" w:w="1177"/>
            <w:vAlign w:val="center"/>
          </w:tcPr>
          <w:p>
            <w:pPr>
              <w:jc w:val="center"/>
            </w:pPr>
            <w:r/>
            <w:r>
              <w:rPr>
                <w:b w:val="0"/>
                <w:sz w:val="13"/>
              </w:rPr>
              <w:t>1,564.55</w:t>
            </w:r>
          </w:p>
        </w:tc>
        <w:tc>
          <w:tcPr>
            <w:tcW w:type="dxa" w:w="1177"/>
            <w:vAlign w:val="center"/>
          </w:tcPr>
          <w:p>
            <w:pPr>
              <w:jc w:val="center"/>
            </w:pPr>
            <w:r/>
            <w:r>
              <w:rPr>
                <w:b w:val="0"/>
                <w:sz w:val="13"/>
              </w:rPr>
              <w:t>1,632.69</w:t>
            </w:r>
          </w:p>
        </w:tc>
        <w:tc>
          <w:tcPr>
            <w:tcW w:type="dxa" w:w="1177"/>
            <w:vAlign w:val="center"/>
          </w:tcPr>
          <w:p>
            <w:pPr>
              <w:jc w:val="center"/>
            </w:pPr>
            <w:r/>
            <w:r>
              <w:rPr>
                <w:b w:val="0"/>
                <w:sz w:val="13"/>
              </w:rPr>
              <w:t>0.000612</w:t>
            </w:r>
          </w:p>
        </w:tc>
        <w:tc>
          <w:tcPr>
            <w:tcW w:type="dxa" w:w="1177"/>
            <w:vAlign w:val="center"/>
          </w:tcPr>
          <w:p>
            <w:pPr>
              <w:jc w:val="center"/>
            </w:pPr>
            <w:r/>
            <w:r>
              <w:rPr>
                <w:b w:val="0"/>
                <w:sz w:val="13"/>
              </w:rPr>
              <w:t>-8.89</w:t>
            </w:r>
          </w:p>
        </w:tc>
        <w:tc>
          <w:tcPr>
            <w:tcW w:type="dxa" w:w="1177"/>
            <w:vAlign w:val="center"/>
          </w:tcPr>
          <w:p>
            <w:pPr>
              <w:jc w:val="center"/>
            </w:pPr>
            <w:r/>
            <w:r>
              <w:rPr>
                <w:b w:val="0"/>
                <w:sz w:val="13"/>
              </w:rPr>
              <w:t>4.36</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cities_100_222324</w:t>
            </w:r>
          </w:p>
        </w:tc>
        <w:tc>
          <w:tcPr>
            <w:tcW w:type="dxa" w:w="1177"/>
            <w:vAlign w:val="center"/>
          </w:tcPr>
          <w:p>
            <w:pPr>
              <w:jc w:val="center"/>
            </w:pPr>
            <w:r/>
            <w:r>
              <w:rPr>
                <w:b w:val="0"/>
                <w:sz w:val="13"/>
              </w:rPr>
              <w:t>82</w:t>
            </w:r>
          </w:p>
        </w:tc>
        <w:tc>
          <w:tcPr>
            <w:tcW w:type="dxa" w:w="1177"/>
            <w:vAlign w:val="center"/>
          </w:tcPr>
          <w:p>
            <w:pPr>
              <w:jc w:val="center"/>
            </w:pPr>
            <w:r/>
            <w:r>
              <w:rPr>
                <w:b w:val="0"/>
                <w:sz w:val="13"/>
              </w:rPr>
              <w:t>1,604.02</w:t>
            </w:r>
          </w:p>
        </w:tc>
        <w:tc>
          <w:tcPr>
            <w:tcW w:type="dxa" w:w="1177"/>
            <w:vAlign w:val="center"/>
          </w:tcPr>
          <w:p>
            <w:pPr>
              <w:jc w:val="center"/>
            </w:pPr>
            <w:r/>
            <w:r>
              <w:rPr>
                <w:b w:val="0"/>
                <w:sz w:val="13"/>
              </w:rPr>
              <w:t>1,493.68</w:t>
            </w:r>
          </w:p>
        </w:tc>
        <w:tc>
          <w:tcPr>
            <w:tcW w:type="dxa" w:w="1177"/>
            <w:vAlign w:val="center"/>
          </w:tcPr>
          <w:p>
            <w:pPr>
              <w:jc w:val="center"/>
            </w:pPr>
            <w:r/>
            <w:r>
              <w:rPr>
                <w:b w:val="0"/>
                <w:sz w:val="13"/>
              </w:rPr>
              <w:t>1,463.85</w:t>
            </w:r>
          </w:p>
        </w:tc>
        <w:tc>
          <w:tcPr>
            <w:tcW w:type="dxa" w:w="1177"/>
            <w:vAlign w:val="center"/>
          </w:tcPr>
          <w:p>
            <w:pPr>
              <w:jc w:val="center"/>
            </w:pPr>
            <w:r/>
            <w:r>
              <w:rPr>
                <w:b w:val="0"/>
                <w:sz w:val="13"/>
              </w:rPr>
              <w:t>0.000683</w:t>
            </w:r>
          </w:p>
        </w:tc>
        <w:tc>
          <w:tcPr>
            <w:tcW w:type="dxa" w:w="1177"/>
            <w:vAlign w:val="center"/>
          </w:tcPr>
          <w:p>
            <w:pPr>
              <w:jc w:val="center"/>
            </w:pPr>
            <w:r/>
            <w:r>
              <w:rPr>
                <w:b w:val="0"/>
                <w:sz w:val="13"/>
              </w:rPr>
              <w:t>-8.74</w:t>
            </w:r>
          </w:p>
        </w:tc>
        <w:tc>
          <w:tcPr>
            <w:tcW w:type="dxa" w:w="1177"/>
            <w:vAlign w:val="center"/>
          </w:tcPr>
          <w:p>
            <w:pPr>
              <w:jc w:val="center"/>
            </w:pPr>
            <w:r/>
            <w:r>
              <w:rPr>
                <w:b w:val="0"/>
                <w:sz w:val="13"/>
              </w:rPr>
              <w:t>-2.00</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cities_100_252627</w:t>
            </w:r>
          </w:p>
        </w:tc>
        <w:tc>
          <w:tcPr>
            <w:tcW w:type="dxa" w:w="1177"/>
            <w:vAlign w:val="center"/>
          </w:tcPr>
          <w:p>
            <w:pPr>
              <w:jc w:val="center"/>
            </w:pPr>
            <w:r/>
            <w:r>
              <w:rPr>
                <w:b w:val="0"/>
                <w:sz w:val="13"/>
              </w:rPr>
              <w:t>84</w:t>
            </w:r>
          </w:p>
        </w:tc>
        <w:tc>
          <w:tcPr>
            <w:tcW w:type="dxa" w:w="1177"/>
            <w:vAlign w:val="center"/>
          </w:tcPr>
          <w:p>
            <w:pPr>
              <w:jc w:val="center"/>
            </w:pPr>
            <w:r/>
            <w:r>
              <w:rPr>
                <w:b w:val="0"/>
                <w:sz w:val="13"/>
              </w:rPr>
              <w:t>1,537.77</w:t>
            </w:r>
          </w:p>
        </w:tc>
        <w:tc>
          <w:tcPr>
            <w:tcW w:type="dxa" w:w="1177"/>
            <w:vAlign w:val="center"/>
          </w:tcPr>
          <w:p>
            <w:pPr>
              <w:jc w:val="center"/>
            </w:pPr>
            <w:r/>
            <w:r>
              <w:rPr>
                <w:b w:val="0"/>
                <w:sz w:val="13"/>
              </w:rPr>
              <w:t>1,491.85</w:t>
            </w:r>
          </w:p>
        </w:tc>
        <w:tc>
          <w:tcPr>
            <w:tcW w:type="dxa" w:w="1177"/>
            <w:vAlign w:val="center"/>
          </w:tcPr>
          <w:p>
            <w:pPr>
              <w:jc w:val="center"/>
            </w:pPr>
            <w:r/>
            <w:r>
              <w:rPr>
                <w:b w:val="0"/>
                <w:sz w:val="13"/>
              </w:rPr>
              <w:t>1,461.27</w:t>
            </w:r>
          </w:p>
        </w:tc>
        <w:tc>
          <w:tcPr>
            <w:tcW w:type="dxa" w:w="1177"/>
            <w:vAlign w:val="center"/>
          </w:tcPr>
          <w:p>
            <w:pPr>
              <w:jc w:val="center"/>
            </w:pPr>
            <w:r/>
            <w:r>
              <w:rPr>
                <w:b w:val="0"/>
                <w:sz w:val="13"/>
              </w:rPr>
              <w:t>0.000684</w:t>
            </w:r>
          </w:p>
        </w:tc>
        <w:tc>
          <w:tcPr>
            <w:tcW w:type="dxa" w:w="1177"/>
            <w:vAlign w:val="center"/>
          </w:tcPr>
          <w:p>
            <w:pPr>
              <w:jc w:val="center"/>
            </w:pPr>
            <w:r/>
            <w:r>
              <w:rPr>
                <w:b w:val="0"/>
                <w:sz w:val="13"/>
              </w:rPr>
              <w:t>-4.97</w:t>
            </w:r>
          </w:p>
        </w:tc>
        <w:tc>
          <w:tcPr>
            <w:tcW w:type="dxa" w:w="1177"/>
            <w:vAlign w:val="center"/>
          </w:tcPr>
          <w:p>
            <w:pPr>
              <w:jc w:val="center"/>
            </w:pPr>
            <w:r/>
            <w:r>
              <w:rPr>
                <w:b w:val="0"/>
                <w:sz w:val="13"/>
              </w:rPr>
              <w:t>-2.05</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cities_100_282930</w:t>
            </w:r>
          </w:p>
        </w:tc>
        <w:tc>
          <w:tcPr>
            <w:tcW w:type="dxa" w:w="1177"/>
            <w:vAlign w:val="center"/>
          </w:tcPr>
          <w:p>
            <w:pPr>
              <w:jc w:val="center"/>
            </w:pPr>
            <w:r/>
            <w:r>
              <w:rPr>
                <w:b w:val="0"/>
                <w:sz w:val="13"/>
              </w:rPr>
              <w:t>83</w:t>
            </w:r>
          </w:p>
        </w:tc>
        <w:tc>
          <w:tcPr>
            <w:tcW w:type="dxa" w:w="1177"/>
            <w:vAlign w:val="center"/>
          </w:tcPr>
          <w:p>
            <w:pPr>
              <w:jc w:val="center"/>
            </w:pPr>
            <w:r/>
            <w:r>
              <w:rPr>
                <w:b w:val="0"/>
                <w:sz w:val="13"/>
              </w:rPr>
              <w:t>1,551.43</w:t>
            </w:r>
          </w:p>
        </w:tc>
        <w:tc>
          <w:tcPr>
            <w:tcW w:type="dxa" w:w="1177"/>
            <w:vAlign w:val="center"/>
          </w:tcPr>
          <w:p>
            <w:pPr>
              <w:jc w:val="center"/>
            </w:pPr>
            <w:r/>
            <w:r>
              <w:rPr>
                <w:b w:val="0"/>
                <w:sz w:val="13"/>
              </w:rPr>
              <w:t>1,494.41</w:t>
            </w:r>
          </w:p>
        </w:tc>
        <w:tc>
          <w:tcPr>
            <w:tcW w:type="dxa" w:w="1177"/>
            <w:vAlign w:val="center"/>
          </w:tcPr>
          <w:p>
            <w:pPr>
              <w:jc w:val="center"/>
            </w:pPr>
            <w:r/>
            <w:r>
              <w:rPr>
                <w:b w:val="0"/>
                <w:sz w:val="13"/>
              </w:rPr>
              <w:t>1,476.72</w:t>
            </w:r>
          </w:p>
        </w:tc>
        <w:tc>
          <w:tcPr>
            <w:tcW w:type="dxa" w:w="1177"/>
            <w:vAlign w:val="center"/>
          </w:tcPr>
          <w:p>
            <w:pPr>
              <w:jc w:val="center"/>
            </w:pPr>
            <w:r/>
            <w:r>
              <w:rPr>
                <w:b w:val="0"/>
                <w:sz w:val="13"/>
              </w:rPr>
              <w:t>0.000677</w:t>
            </w:r>
          </w:p>
        </w:tc>
        <w:tc>
          <w:tcPr>
            <w:tcW w:type="dxa" w:w="1177"/>
            <w:vAlign w:val="center"/>
          </w:tcPr>
          <w:p>
            <w:pPr>
              <w:jc w:val="center"/>
            </w:pPr>
            <w:r/>
            <w:r>
              <w:rPr>
                <w:b w:val="0"/>
                <w:sz w:val="13"/>
              </w:rPr>
              <w:t>-4.82</w:t>
            </w:r>
          </w:p>
        </w:tc>
        <w:tc>
          <w:tcPr>
            <w:tcW w:type="dxa" w:w="1177"/>
            <w:vAlign w:val="center"/>
          </w:tcPr>
          <w:p>
            <w:pPr>
              <w:jc w:val="center"/>
            </w:pPr>
            <w:r/>
            <w:r>
              <w:rPr>
                <w:b w:val="0"/>
                <w:sz w:val="13"/>
              </w:rPr>
              <w:t>-1.18</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cities_100_456</w:t>
            </w:r>
          </w:p>
        </w:tc>
        <w:tc>
          <w:tcPr>
            <w:tcW w:type="dxa" w:w="1177"/>
            <w:vAlign w:val="center"/>
          </w:tcPr>
          <w:p>
            <w:pPr>
              <w:jc w:val="center"/>
            </w:pPr>
            <w:r/>
            <w:r>
              <w:rPr>
                <w:b w:val="0"/>
                <w:sz w:val="13"/>
              </w:rPr>
              <w:t>84</w:t>
            </w:r>
          </w:p>
        </w:tc>
        <w:tc>
          <w:tcPr>
            <w:tcW w:type="dxa" w:w="1177"/>
            <w:vAlign w:val="center"/>
          </w:tcPr>
          <w:p>
            <w:pPr>
              <w:jc w:val="center"/>
            </w:pPr>
            <w:r/>
            <w:r>
              <w:rPr>
                <w:b w:val="0"/>
                <w:sz w:val="13"/>
              </w:rPr>
              <w:t>1,644.44</w:t>
            </w:r>
          </w:p>
        </w:tc>
        <w:tc>
          <w:tcPr>
            <w:tcW w:type="dxa" w:w="1177"/>
            <w:vAlign w:val="center"/>
          </w:tcPr>
          <w:p>
            <w:pPr>
              <w:jc w:val="center"/>
            </w:pPr>
            <w:r/>
            <w:r>
              <w:rPr>
                <w:b w:val="0"/>
                <w:sz w:val="13"/>
              </w:rPr>
              <w:t>1,544.33</w:t>
            </w:r>
          </w:p>
        </w:tc>
        <w:tc>
          <w:tcPr>
            <w:tcW w:type="dxa" w:w="1177"/>
            <w:vAlign w:val="center"/>
          </w:tcPr>
          <w:p>
            <w:pPr>
              <w:jc w:val="center"/>
            </w:pPr>
            <w:r/>
            <w:r>
              <w:rPr>
                <w:b w:val="0"/>
                <w:sz w:val="13"/>
              </w:rPr>
              <w:t>1,538.99</w:t>
            </w:r>
          </w:p>
        </w:tc>
        <w:tc>
          <w:tcPr>
            <w:tcW w:type="dxa" w:w="1177"/>
            <w:vAlign w:val="center"/>
          </w:tcPr>
          <w:p>
            <w:pPr>
              <w:jc w:val="center"/>
            </w:pPr>
            <w:r/>
            <w:r>
              <w:rPr>
                <w:b w:val="0"/>
                <w:sz w:val="13"/>
              </w:rPr>
              <w:t>0.000650</w:t>
            </w:r>
          </w:p>
        </w:tc>
        <w:tc>
          <w:tcPr>
            <w:tcW w:type="dxa" w:w="1177"/>
            <w:vAlign w:val="center"/>
          </w:tcPr>
          <w:p>
            <w:pPr>
              <w:jc w:val="center"/>
            </w:pPr>
            <w:r/>
            <w:r>
              <w:rPr>
                <w:b w:val="0"/>
                <w:sz w:val="13"/>
              </w:rPr>
              <w:t>-6.41</w:t>
            </w:r>
          </w:p>
        </w:tc>
        <w:tc>
          <w:tcPr>
            <w:tcW w:type="dxa" w:w="1177"/>
            <w:vAlign w:val="center"/>
          </w:tcPr>
          <w:p>
            <w:pPr>
              <w:jc w:val="center"/>
            </w:pPr>
            <w:r/>
            <w:r>
              <w:rPr>
                <w:b w:val="0"/>
                <w:sz w:val="13"/>
              </w:rPr>
              <w:t>-0.35</w:t>
            </w:r>
          </w:p>
        </w:tc>
        <w:tc>
          <w:tcPr>
            <w:tcW w:type="dxa" w:w="1177"/>
            <w:vAlign w:val="center"/>
          </w:tcPr>
          <w:p>
            <w:pPr>
              <w:jc w:val="center"/>
            </w:pPr>
            <w:r/>
            <w:r>
              <w:rPr>
                <w:b w:val="0"/>
                <w:sz w:val="13"/>
              </w:rPr>
              <w:t>Sí</w:t>
            </w:r>
          </w:p>
        </w:tc>
      </w:tr>
      <w:tr>
        <w:tc>
          <w:tcPr>
            <w:tcW w:type="dxa" w:w="1177"/>
            <w:vAlign w:val="center"/>
          </w:tcPr>
          <w:p>
            <w:pPr>
              <w:jc w:val="center"/>
            </w:pPr>
            <w:r/>
            <w:r>
              <w:rPr>
                <w:b w:val="0"/>
                <w:sz w:val="13"/>
              </w:rPr>
              <w:t>cities_100_789</w:t>
            </w:r>
          </w:p>
        </w:tc>
        <w:tc>
          <w:tcPr>
            <w:tcW w:type="dxa" w:w="1177"/>
            <w:vAlign w:val="center"/>
          </w:tcPr>
          <w:p>
            <w:pPr>
              <w:jc w:val="center"/>
            </w:pPr>
            <w:r/>
            <w:r>
              <w:rPr>
                <w:b w:val="0"/>
                <w:sz w:val="13"/>
              </w:rPr>
              <w:t>80</w:t>
            </w:r>
          </w:p>
        </w:tc>
        <w:tc>
          <w:tcPr>
            <w:tcW w:type="dxa" w:w="1177"/>
            <w:vAlign w:val="center"/>
          </w:tcPr>
          <w:p>
            <w:pPr>
              <w:jc w:val="center"/>
            </w:pPr>
            <w:r/>
            <w:r>
              <w:rPr>
                <w:b w:val="0"/>
                <w:sz w:val="13"/>
              </w:rPr>
              <w:t>1,591.55</w:t>
            </w:r>
          </w:p>
        </w:tc>
        <w:tc>
          <w:tcPr>
            <w:tcW w:type="dxa" w:w="1177"/>
            <w:vAlign w:val="center"/>
          </w:tcPr>
          <w:p>
            <w:pPr>
              <w:jc w:val="center"/>
            </w:pPr>
            <w:r/>
            <w:r>
              <w:rPr>
                <w:b w:val="0"/>
                <w:sz w:val="13"/>
              </w:rPr>
              <w:t>1,477.00</w:t>
            </w:r>
          </w:p>
        </w:tc>
        <w:tc>
          <w:tcPr>
            <w:tcW w:type="dxa" w:w="1177"/>
            <w:vAlign w:val="center"/>
          </w:tcPr>
          <w:p>
            <w:pPr>
              <w:jc w:val="center"/>
            </w:pPr>
            <w:r/>
            <w:r>
              <w:rPr>
                <w:b w:val="0"/>
                <w:sz w:val="13"/>
              </w:rPr>
              <w:t>1,450.54</w:t>
            </w:r>
          </w:p>
        </w:tc>
        <w:tc>
          <w:tcPr>
            <w:tcW w:type="dxa" w:w="1177"/>
            <w:vAlign w:val="center"/>
          </w:tcPr>
          <w:p>
            <w:pPr>
              <w:jc w:val="center"/>
            </w:pPr>
            <w:r/>
            <w:r>
              <w:rPr>
                <w:b w:val="0"/>
                <w:sz w:val="13"/>
              </w:rPr>
              <w:t>0.000689</w:t>
            </w:r>
          </w:p>
        </w:tc>
        <w:tc>
          <w:tcPr>
            <w:tcW w:type="dxa" w:w="1177"/>
            <w:vAlign w:val="center"/>
          </w:tcPr>
          <w:p>
            <w:pPr>
              <w:jc w:val="center"/>
            </w:pPr>
            <w:r/>
            <w:r>
              <w:rPr>
                <w:b w:val="0"/>
                <w:sz w:val="13"/>
              </w:rPr>
              <w:t>-8.86</w:t>
            </w:r>
          </w:p>
        </w:tc>
        <w:tc>
          <w:tcPr>
            <w:tcW w:type="dxa" w:w="1177"/>
            <w:vAlign w:val="center"/>
          </w:tcPr>
          <w:p>
            <w:pPr>
              <w:jc w:val="center"/>
            </w:pPr>
            <w:r/>
            <w:r>
              <w:rPr>
                <w:b w:val="0"/>
                <w:sz w:val="13"/>
              </w:rPr>
              <w:t>-1.79</w:t>
            </w:r>
          </w:p>
        </w:tc>
        <w:tc>
          <w:tcPr>
            <w:tcW w:type="dxa" w:w="1177"/>
            <w:vAlign w:val="center"/>
          </w:tcPr>
          <w:p>
            <w:pPr>
              <w:jc w:val="center"/>
            </w:pPr>
            <w:r/>
            <w:r>
              <w:rPr>
                <w:b w:val="0"/>
                <w:sz w:val="13"/>
              </w:rPr>
              <w:t>Sí</w:t>
            </w:r>
          </w:p>
        </w:tc>
      </w:tr>
    </w:tbl>
    <w:p/>
    <w:p>
      <w:pPr>
        <w:spacing w:after="120"/>
      </w:pPr>
      <w:r>
        <w:rPr>
          <w:b/>
        </w:rPr>
        <w:t>Análisis de calidad:</w:t>
      </w:r>
      <w:r/>
    </w:p>
    <w:p>
      <w:pPr>
        <w:spacing w:after="120"/>
      </w:pPr>
      <w:r>
        <w:t>El AG elitista + 2-opt superó a Nearest Neighbor en todos los datasets, porque los errores relativos frente a NN fueron negativos. En promedio, la distancia se redujo en -7.83% respecto a NN. Frente a NN+2-opt, el promedio fue -0.39%, lo que indica que el AG también fue competitivo frente a una heurística simple refinada, aunque en algunos datasets NN+2-opt quedó ligeramente por debajo. Esto es esperable porque 2-opt es una mejora local fuerte y el AG no garantiza óptimo global, sino buenas soluciones aproximadas.</w:t>
      </w:r>
    </w:p>
    <w:p>
      <w:pPr>
        <w:spacing w:after="120"/>
      </w:pPr>
      <w:r>
        <w:rPr>
          <w:b/>
        </w:rPr>
        <w:t>Nota sobre el error relativo:</w:t>
      </w:r>
      <w:r/>
    </w:p>
    <w:p>
      <w:pPr>
        <w:spacing w:after="120"/>
      </w:pPr>
      <w:r>
        <w:t>Como los datasets no incluyen una solución óptima certificada, no sería correcto reportar error relativo contra el óptimo global. Por transparencia, el error relativo se reportó respecto a la heurística Nearest Neighbor y adicionalmente respecto a Nearest Neighbor + 2-opt. Esta decisión cumple el literal e) “cuando sea posible” y evita afirmar una precisión que no fue verificada.</w:t>
      </w:r>
    </w:p>
    <w:p>
      <w:pPr>
        <w:spacing w:after="120"/>
      </w:pPr>
      <w:r>
        <w:t>Sustentación del literal e): se comparó el AG contra una heurística simple, se reportó el fitness final y se calculó error relativo contra la referencia disponible. Las rutas finales fueron válidas en todos los casos, por lo que la comparación no mezcla soluciones inválidas ni incompletas.</w:t>
      </w:r>
    </w:p>
    <w:p>
      <w:pPr>
        <w:pStyle w:val="Heading1"/>
      </w:pPr>
      <w:r>
        <w:t>f) Análisis experimental de parámetros</w:t>
      </w:r>
    </w:p>
    <w:p>
      <w:pPr>
        <w:spacing w:after="120"/>
      </w:pPr>
      <w:r>
        <w:rPr>
          <w:b/>
        </w:rPr>
        <w:t>Qué pide el literal:</w:t>
      </w:r>
      <w:r/>
    </w:p>
    <w:p>
      <w:pPr>
        <w:pStyle w:val="ListBullet"/>
        <w:spacing w:after="40"/>
      </w:pPr>
      <w:r>
        <w:t>Reportar resultados en tablas.</w:t>
      </w:r>
    </w:p>
    <w:p>
      <w:pPr>
        <w:pStyle w:val="ListBullet"/>
        <w:spacing w:after="40"/>
      </w:pPr>
      <w:r>
        <w:t>Analizar el tamaño de población.</w:t>
      </w:r>
    </w:p>
    <w:p>
      <w:pPr>
        <w:pStyle w:val="ListBullet"/>
        <w:spacing w:after="40"/>
      </w:pPr>
      <w:r>
        <w:t>Analizar la parametrización del crossover.</w:t>
      </w:r>
    </w:p>
    <w:p>
      <w:pPr>
        <w:pStyle w:val="ListBullet"/>
        <w:spacing w:after="40"/>
      </w:pPr>
      <w:r>
        <w:t>Analizar la probabilidad de mutación.</w:t>
      </w:r>
    </w:p>
    <w:p>
      <w:pPr>
        <w:spacing w:after="120"/>
      </w:pPr>
      <w:r>
        <w:rPr>
          <w:b/>
        </w:rPr>
        <w:t>Diseño del experimento:</w:t>
      </w:r>
      <w:r/>
    </w:p>
    <w:p>
      <w:pPr>
        <w:spacing w:after="120"/>
      </w:pPr>
      <w:r>
        <w:t>El análisis de parámetros se realizó sobre el dataset con mayor número de ciudades: cities_100_131415. Se eligió ese archivo porque representa el escenario más exigente entre los datos disponibles. Para mantener un costo computacional razonable, cada configuración se evaluó con 40 generaciones y luego se aplicó 2-opt final. Las variables analizadas fueron tamaño de población, tipo de crossover, probabilidad de crossover y probabilidad de mutación.</w:t>
      </w:r>
    </w:p>
    <w:p>
      <w:pPr>
        <w:spacing w:before="80" w:after="40"/>
      </w:pPr>
      <w:r>
        <w:rPr>
          <w:b/>
          <w:color w:val="1F4E79"/>
        </w:rPr>
        <w:t>Tabla 9. Diseño del análisis experimental de parámetros.</w:t>
      </w:r>
    </w:p>
    <w:tbl>
      <w:tblPr>
        <w:tblStyle w:val="TableGrid"/>
        <w:tblW w:type="auto" w:w="0"/>
        <w:jc w:val="center"/>
        <w:tblLook w:firstColumn="1" w:firstRow="1" w:lastColumn="0" w:lastRow="0" w:noHBand="0" w:noVBand="1" w:val="04A0"/>
      </w:tblPr>
      <w:tblGrid>
        <w:gridCol w:w="3532"/>
        <w:gridCol w:w="3532"/>
        <w:gridCol w:w="3532"/>
      </w:tblGrid>
      <w:tr>
        <w:tc>
          <w:tcPr>
            <w:tcW w:type="dxa" w:w="3532"/>
            <w:shd w:fill="D9EAF7"/>
          </w:tcPr>
          <w:p>
            <w:pPr>
              <w:jc w:val="center"/>
            </w:pPr>
            <w:r/>
            <w:r>
              <w:rPr>
                <w:b/>
                <w:color w:val="000000"/>
                <w:sz w:val="16"/>
              </w:rPr>
              <w:t>Parámetro analizado</w:t>
            </w:r>
          </w:p>
        </w:tc>
        <w:tc>
          <w:tcPr>
            <w:tcW w:type="dxa" w:w="3532"/>
            <w:shd w:fill="D9EAF7"/>
          </w:tcPr>
          <w:p>
            <w:pPr>
              <w:jc w:val="center"/>
            </w:pPr>
            <w:r/>
            <w:r>
              <w:rPr>
                <w:b/>
                <w:color w:val="000000"/>
                <w:sz w:val="16"/>
              </w:rPr>
              <w:t>Valores probados</w:t>
            </w:r>
          </w:p>
        </w:tc>
        <w:tc>
          <w:tcPr>
            <w:tcW w:type="dxa" w:w="3532"/>
            <w:shd w:fill="D9EAF7"/>
          </w:tcPr>
          <w:p>
            <w:pPr>
              <w:jc w:val="center"/>
            </w:pPr>
            <w:r/>
            <w:r>
              <w:rPr>
                <w:b/>
                <w:color w:val="000000"/>
                <w:sz w:val="16"/>
              </w:rPr>
              <w:t>Razón de análisis</w:t>
            </w:r>
          </w:p>
        </w:tc>
      </w:tr>
      <w:tr>
        <w:tc>
          <w:tcPr>
            <w:tcW w:type="dxa" w:w="3532"/>
            <w:vAlign w:val="center"/>
          </w:tcPr>
          <w:p>
            <w:pPr>
              <w:jc w:val="center"/>
            </w:pPr>
            <w:r/>
            <w:r>
              <w:rPr>
                <w:b w:val="0"/>
                <w:sz w:val="16"/>
              </w:rPr>
              <w:t>Tamaño de población</w:t>
            </w:r>
          </w:p>
        </w:tc>
        <w:tc>
          <w:tcPr>
            <w:tcW w:type="dxa" w:w="3532"/>
            <w:vAlign w:val="center"/>
          </w:tcPr>
          <w:p>
            <w:pPr>
              <w:jc w:val="center"/>
            </w:pPr>
            <w:r/>
            <w:r>
              <w:rPr>
                <w:b w:val="0"/>
                <w:sz w:val="16"/>
              </w:rPr>
              <w:t>60, 100, 140</w:t>
            </w:r>
          </w:p>
        </w:tc>
        <w:tc>
          <w:tcPr>
            <w:tcW w:type="dxa" w:w="3532"/>
            <w:vAlign w:val="center"/>
          </w:tcPr>
          <w:p>
            <w:pPr>
              <w:jc w:val="center"/>
            </w:pPr>
            <w:r/>
            <w:r>
              <w:rPr>
                <w:b w:val="0"/>
                <w:sz w:val="16"/>
              </w:rPr>
              <w:t>Permite observar si más individuos mejoran exploración y calidad.</w:t>
            </w:r>
          </w:p>
        </w:tc>
      </w:tr>
      <w:tr>
        <w:tc>
          <w:tcPr>
            <w:tcW w:type="dxa" w:w="3532"/>
            <w:vAlign w:val="center"/>
          </w:tcPr>
          <w:p>
            <w:pPr>
              <w:jc w:val="center"/>
            </w:pPr>
            <w:r/>
            <w:r>
              <w:rPr>
                <w:b w:val="0"/>
                <w:sz w:val="16"/>
              </w:rPr>
              <w:t>Tipo de crossover</w:t>
            </w:r>
          </w:p>
        </w:tc>
        <w:tc>
          <w:tcPr>
            <w:tcW w:type="dxa" w:w="3532"/>
            <w:vAlign w:val="center"/>
          </w:tcPr>
          <w:p>
            <w:pPr>
              <w:jc w:val="center"/>
            </w:pPr>
            <w:r/>
            <w:r>
              <w:rPr>
                <w:b w:val="0"/>
                <w:sz w:val="16"/>
              </w:rPr>
              <w:t>OX y PMX</w:t>
            </w:r>
          </w:p>
        </w:tc>
        <w:tc>
          <w:tcPr>
            <w:tcW w:type="dxa" w:w="3532"/>
            <w:vAlign w:val="center"/>
          </w:tcPr>
          <w:p>
            <w:pPr>
              <w:jc w:val="center"/>
            </w:pPr>
            <w:r/>
            <w:r>
              <w:rPr>
                <w:b w:val="0"/>
                <w:sz w:val="16"/>
              </w:rPr>
              <w:t>Ambos son válidos para permutaciones; se compara su desempeño experimental.</w:t>
            </w:r>
          </w:p>
        </w:tc>
      </w:tr>
      <w:tr>
        <w:tc>
          <w:tcPr>
            <w:tcW w:type="dxa" w:w="3532"/>
            <w:vAlign w:val="center"/>
          </w:tcPr>
          <w:p>
            <w:pPr>
              <w:jc w:val="center"/>
            </w:pPr>
            <w:r/>
            <w:r>
              <w:rPr>
                <w:b w:val="0"/>
                <w:sz w:val="16"/>
              </w:rPr>
              <w:t>Probabilidad de crossover</w:t>
            </w:r>
          </w:p>
        </w:tc>
        <w:tc>
          <w:tcPr>
            <w:tcW w:type="dxa" w:w="3532"/>
            <w:vAlign w:val="center"/>
          </w:tcPr>
          <w:p>
            <w:pPr>
              <w:jc w:val="center"/>
            </w:pPr>
            <w:r/>
            <w:r>
              <w:rPr>
                <w:b w:val="0"/>
                <w:sz w:val="16"/>
              </w:rPr>
              <w:t>0.80 y 0.90</w:t>
            </w:r>
          </w:p>
        </w:tc>
        <w:tc>
          <w:tcPr>
            <w:tcW w:type="dxa" w:w="3532"/>
            <w:vAlign w:val="center"/>
          </w:tcPr>
          <w:p>
            <w:pPr>
              <w:jc w:val="center"/>
            </w:pPr>
            <w:r/>
            <w:r>
              <w:rPr>
                <w:b w:val="0"/>
                <w:sz w:val="16"/>
              </w:rPr>
              <w:t>Mide cuánto influye recombinar padres frente a copiar un padre.</w:t>
            </w:r>
          </w:p>
        </w:tc>
      </w:tr>
      <w:tr>
        <w:tc>
          <w:tcPr>
            <w:tcW w:type="dxa" w:w="3532"/>
            <w:vAlign w:val="center"/>
          </w:tcPr>
          <w:p>
            <w:pPr>
              <w:jc w:val="center"/>
            </w:pPr>
            <w:r/>
            <w:r>
              <w:rPr>
                <w:b w:val="0"/>
                <w:sz w:val="16"/>
              </w:rPr>
              <w:t>Probabilidad de mutación</w:t>
            </w:r>
          </w:p>
        </w:tc>
        <w:tc>
          <w:tcPr>
            <w:tcW w:type="dxa" w:w="3532"/>
            <w:vAlign w:val="center"/>
          </w:tcPr>
          <w:p>
            <w:pPr>
              <w:jc w:val="center"/>
            </w:pPr>
            <w:r/>
            <w:r>
              <w:rPr>
                <w:b w:val="0"/>
                <w:sz w:val="16"/>
              </w:rPr>
              <w:t>0.05 y 0.20</w:t>
            </w:r>
          </w:p>
        </w:tc>
        <w:tc>
          <w:tcPr>
            <w:tcW w:type="dxa" w:w="3532"/>
            <w:vAlign w:val="center"/>
          </w:tcPr>
          <w:p>
            <w:pPr>
              <w:jc w:val="center"/>
            </w:pPr>
            <w:r/>
            <w:r>
              <w:rPr>
                <w:b w:val="0"/>
                <w:sz w:val="16"/>
              </w:rPr>
              <w:t>Evalúa el balance entre exploración adicional y perturbación excesiva.</w:t>
            </w:r>
          </w:p>
        </w:tc>
      </w:tr>
      <w:tr>
        <w:tc>
          <w:tcPr>
            <w:tcW w:type="dxa" w:w="3532"/>
            <w:vAlign w:val="center"/>
          </w:tcPr>
          <w:p>
            <w:pPr>
              <w:jc w:val="center"/>
            </w:pPr>
            <w:r/>
            <w:r>
              <w:rPr>
                <w:b w:val="0"/>
                <w:sz w:val="16"/>
              </w:rPr>
              <w:t>Generaciones por configuración</w:t>
            </w:r>
          </w:p>
        </w:tc>
        <w:tc>
          <w:tcPr>
            <w:tcW w:type="dxa" w:w="3532"/>
            <w:vAlign w:val="center"/>
          </w:tcPr>
          <w:p>
            <w:pPr>
              <w:jc w:val="center"/>
            </w:pPr>
            <w:r/>
            <w:r>
              <w:rPr>
                <w:b w:val="0"/>
                <w:sz w:val="16"/>
              </w:rPr>
              <w:t>40</w:t>
            </w:r>
          </w:p>
        </w:tc>
        <w:tc>
          <w:tcPr>
            <w:tcW w:type="dxa" w:w="3532"/>
            <w:vAlign w:val="center"/>
          </w:tcPr>
          <w:p>
            <w:pPr>
              <w:jc w:val="center"/>
            </w:pPr>
            <w:r/>
            <w:r>
              <w:rPr>
                <w:b w:val="0"/>
                <w:sz w:val="16"/>
              </w:rPr>
              <w:t>Presupuesto uniforme para comparar parámetros bajo la misma restricción.</w:t>
            </w:r>
          </w:p>
        </w:tc>
      </w:tr>
    </w:tbl>
    <w:p/>
    <w:p>
      <w:pPr>
        <w:spacing w:before="80" w:after="40"/>
      </w:pPr>
      <w:r>
        <w:rPr>
          <w:b/>
          <w:color w:val="1F4E79"/>
        </w:rPr>
        <w:t>Tabla 10. Diez mejores configuraciones del experimento de parámetros.</w:t>
      </w:r>
    </w:p>
    <w:tbl>
      <w:tblPr>
        <w:tblStyle w:val="TableGrid"/>
        <w:tblW w:type="auto" w:w="0"/>
        <w:jc w:val="center"/>
        <w:tblLook w:firstColumn="1" w:firstRow="1" w:lastColumn="0" w:lastRow="0" w:noHBand="0" w:noVBand="1" w:val="04A0"/>
      </w:tblPr>
      <w:tblGrid>
        <w:gridCol w:w="1324"/>
        <w:gridCol w:w="1324"/>
        <w:gridCol w:w="1324"/>
        <w:gridCol w:w="1324"/>
        <w:gridCol w:w="1324"/>
        <w:gridCol w:w="1324"/>
        <w:gridCol w:w="1324"/>
        <w:gridCol w:w="1324"/>
      </w:tblGrid>
      <w:tr>
        <w:tc>
          <w:tcPr>
            <w:tcW w:type="dxa" w:w="1324"/>
            <w:shd w:fill="D9EAF7"/>
          </w:tcPr>
          <w:p>
            <w:pPr>
              <w:jc w:val="center"/>
            </w:pPr>
            <w:r/>
            <w:r>
              <w:rPr>
                <w:b/>
                <w:color w:val="000000"/>
                <w:sz w:val="14"/>
              </w:rPr>
              <w:t>Población</w:t>
            </w:r>
          </w:p>
        </w:tc>
        <w:tc>
          <w:tcPr>
            <w:tcW w:type="dxa" w:w="1324"/>
            <w:shd w:fill="D9EAF7"/>
          </w:tcPr>
          <w:p>
            <w:pPr>
              <w:jc w:val="center"/>
            </w:pPr>
            <w:r/>
            <w:r>
              <w:rPr>
                <w:b/>
                <w:color w:val="000000"/>
                <w:sz w:val="14"/>
              </w:rPr>
              <w:t>Crossover</w:t>
            </w:r>
          </w:p>
        </w:tc>
        <w:tc>
          <w:tcPr>
            <w:tcW w:type="dxa" w:w="1324"/>
            <w:shd w:fill="D9EAF7"/>
          </w:tcPr>
          <w:p>
            <w:pPr>
              <w:jc w:val="center"/>
            </w:pPr>
            <w:r/>
            <w:r>
              <w:rPr>
                <w:b/>
                <w:color w:val="000000"/>
                <w:sz w:val="14"/>
              </w:rPr>
              <w:t>Pc</w:t>
            </w:r>
          </w:p>
        </w:tc>
        <w:tc>
          <w:tcPr>
            <w:tcW w:type="dxa" w:w="1324"/>
            <w:shd w:fill="D9EAF7"/>
          </w:tcPr>
          <w:p>
            <w:pPr>
              <w:jc w:val="center"/>
            </w:pPr>
            <w:r/>
            <w:r>
              <w:rPr>
                <w:b/>
                <w:color w:val="000000"/>
                <w:sz w:val="14"/>
              </w:rPr>
              <w:t>Pm</w:t>
            </w:r>
          </w:p>
        </w:tc>
        <w:tc>
          <w:tcPr>
            <w:tcW w:type="dxa" w:w="1324"/>
            <w:shd w:fill="D9EAF7"/>
          </w:tcPr>
          <w:p>
            <w:pPr>
              <w:jc w:val="center"/>
            </w:pPr>
            <w:r/>
            <w:r>
              <w:rPr>
                <w:b/>
                <w:color w:val="000000"/>
                <w:sz w:val="14"/>
              </w:rPr>
              <w:t>Dist. AG+2opt</w:t>
            </w:r>
          </w:p>
        </w:tc>
        <w:tc>
          <w:tcPr>
            <w:tcW w:type="dxa" w:w="1324"/>
            <w:shd w:fill="D9EAF7"/>
          </w:tcPr>
          <w:p>
            <w:pPr>
              <w:jc w:val="center"/>
            </w:pPr>
            <w:r/>
            <w:r>
              <w:rPr>
                <w:b/>
                <w:color w:val="000000"/>
                <w:sz w:val="14"/>
              </w:rPr>
              <w:t>Error vs NN</w:t>
            </w:r>
          </w:p>
        </w:tc>
        <w:tc>
          <w:tcPr>
            <w:tcW w:type="dxa" w:w="1324"/>
            <w:shd w:fill="D9EAF7"/>
          </w:tcPr>
          <w:p>
            <w:pPr>
              <w:jc w:val="center"/>
            </w:pPr>
            <w:r/>
            <w:r>
              <w:rPr>
                <w:b/>
                <w:color w:val="000000"/>
                <w:sz w:val="14"/>
              </w:rPr>
              <w:t>Únicos finales (%)</w:t>
            </w:r>
          </w:p>
        </w:tc>
        <w:tc>
          <w:tcPr>
            <w:tcW w:type="dxa" w:w="1324"/>
            <w:shd w:fill="D9EAF7"/>
          </w:tcPr>
          <w:p>
            <w:pPr>
              <w:jc w:val="center"/>
            </w:pPr>
            <w:r/>
            <w:r>
              <w:rPr>
                <w:b/>
                <w:color w:val="000000"/>
                <w:sz w:val="14"/>
              </w:rPr>
              <w:t>Hamming final (%)</w:t>
            </w:r>
          </w:p>
        </w:tc>
      </w:tr>
      <w:tr>
        <w:tc>
          <w:tcPr>
            <w:tcW w:type="dxa" w:w="1324"/>
            <w:vAlign w:val="center"/>
          </w:tcPr>
          <w:p>
            <w:pPr>
              <w:jc w:val="center"/>
            </w:pPr>
            <w:r/>
            <w:r>
              <w:rPr>
                <w:b w:val="0"/>
                <w:sz w:val="14"/>
              </w:rPr>
              <w:t>100</w:t>
            </w:r>
          </w:p>
        </w:tc>
        <w:tc>
          <w:tcPr>
            <w:tcW w:type="dxa" w:w="1324"/>
            <w:vAlign w:val="center"/>
          </w:tcPr>
          <w:p>
            <w:pPr>
              <w:jc w:val="center"/>
            </w:pPr>
            <w:r/>
            <w:r>
              <w:rPr>
                <w:b w:val="0"/>
                <w:sz w:val="14"/>
              </w:rPr>
              <w:t>PMX</w:t>
            </w:r>
          </w:p>
        </w:tc>
        <w:tc>
          <w:tcPr>
            <w:tcW w:type="dxa" w:w="1324"/>
            <w:vAlign w:val="center"/>
          </w:tcPr>
          <w:p>
            <w:pPr>
              <w:jc w:val="center"/>
            </w:pPr>
            <w:r/>
            <w:r>
              <w:rPr>
                <w:b w:val="0"/>
                <w:sz w:val="14"/>
              </w:rPr>
              <w:t>0.90</w:t>
            </w:r>
          </w:p>
        </w:tc>
        <w:tc>
          <w:tcPr>
            <w:tcW w:type="dxa" w:w="1324"/>
            <w:vAlign w:val="center"/>
          </w:tcPr>
          <w:p>
            <w:pPr>
              <w:jc w:val="center"/>
            </w:pPr>
            <w:r/>
            <w:r>
              <w:rPr>
                <w:b w:val="0"/>
                <w:sz w:val="14"/>
              </w:rPr>
              <w:t>0.20</w:t>
            </w:r>
          </w:p>
        </w:tc>
        <w:tc>
          <w:tcPr>
            <w:tcW w:type="dxa" w:w="1324"/>
            <w:vAlign w:val="center"/>
          </w:tcPr>
          <w:p>
            <w:pPr>
              <w:jc w:val="center"/>
            </w:pPr>
            <w:r/>
            <w:r>
              <w:rPr>
                <w:b w:val="0"/>
                <w:sz w:val="14"/>
              </w:rPr>
              <w:t>1,455.27</w:t>
            </w:r>
          </w:p>
        </w:tc>
        <w:tc>
          <w:tcPr>
            <w:tcW w:type="dxa" w:w="1324"/>
            <w:vAlign w:val="center"/>
          </w:tcPr>
          <w:p>
            <w:pPr>
              <w:jc w:val="center"/>
            </w:pPr>
            <w:r/>
            <w:r>
              <w:rPr>
                <w:b w:val="0"/>
                <w:sz w:val="14"/>
              </w:rPr>
              <w:t>-8.53</w:t>
            </w:r>
          </w:p>
        </w:tc>
        <w:tc>
          <w:tcPr>
            <w:tcW w:type="dxa" w:w="1324"/>
            <w:vAlign w:val="center"/>
          </w:tcPr>
          <w:p>
            <w:pPr>
              <w:jc w:val="center"/>
            </w:pPr>
            <w:r/>
            <w:r>
              <w:rPr>
                <w:b w:val="0"/>
                <w:sz w:val="14"/>
              </w:rPr>
              <w:t>24.0</w:t>
            </w:r>
          </w:p>
        </w:tc>
        <w:tc>
          <w:tcPr>
            <w:tcW w:type="dxa" w:w="1324"/>
            <w:vAlign w:val="center"/>
          </w:tcPr>
          <w:p>
            <w:pPr>
              <w:jc w:val="center"/>
            </w:pPr>
            <w:r/>
            <w:r>
              <w:rPr>
                <w:b w:val="0"/>
                <w:sz w:val="14"/>
              </w:rPr>
              <w:t>18.2</w:t>
            </w:r>
          </w:p>
        </w:tc>
      </w:tr>
      <w:tr>
        <w:tc>
          <w:tcPr>
            <w:tcW w:type="dxa" w:w="1324"/>
            <w:vAlign w:val="center"/>
          </w:tcPr>
          <w:p>
            <w:pPr>
              <w:jc w:val="center"/>
            </w:pPr>
            <w:r/>
            <w:r>
              <w:rPr>
                <w:b w:val="0"/>
                <w:sz w:val="14"/>
              </w:rPr>
              <w:t>60</w:t>
            </w:r>
          </w:p>
        </w:tc>
        <w:tc>
          <w:tcPr>
            <w:tcW w:type="dxa" w:w="1324"/>
            <w:vAlign w:val="center"/>
          </w:tcPr>
          <w:p>
            <w:pPr>
              <w:jc w:val="center"/>
            </w:pPr>
            <w:r/>
            <w:r>
              <w:rPr>
                <w:b w:val="0"/>
                <w:sz w:val="14"/>
              </w:rPr>
              <w:t>OX</w:t>
            </w:r>
          </w:p>
        </w:tc>
        <w:tc>
          <w:tcPr>
            <w:tcW w:type="dxa" w:w="1324"/>
            <w:vAlign w:val="center"/>
          </w:tcPr>
          <w:p>
            <w:pPr>
              <w:jc w:val="center"/>
            </w:pPr>
            <w:r/>
            <w:r>
              <w:rPr>
                <w:b w:val="0"/>
                <w:sz w:val="14"/>
              </w:rPr>
              <w:t>0.80</w:t>
            </w:r>
          </w:p>
        </w:tc>
        <w:tc>
          <w:tcPr>
            <w:tcW w:type="dxa" w:w="1324"/>
            <w:vAlign w:val="center"/>
          </w:tcPr>
          <w:p>
            <w:pPr>
              <w:jc w:val="center"/>
            </w:pPr>
            <w:r/>
            <w:r>
              <w:rPr>
                <w:b w:val="0"/>
                <w:sz w:val="14"/>
              </w:rPr>
              <w:t>0.20</w:t>
            </w:r>
          </w:p>
        </w:tc>
        <w:tc>
          <w:tcPr>
            <w:tcW w:type="dxa" w:w="1324"/>
            <w:vAlign w:val="center"/>
          </w:tcPr>
          <w:p>
            <w:pPr>
              <w:jc w:val="center"/>
            </w:pPr>
            <w:r/>
            <w:r>
              <w:rPr>
                <w:b w:val="0"/>
                <w:sz w:val="14"/>
              </w:rPr>
              <w:t>1,455.27</w:t>
            </w:r>
          </w:p>
        </w:tc>
        <w:tc>
          <w:tcPr>
            <w:tcW w:type="dxa" w:w="1324"/>
            <w:vAlign w:val="center"/>
          </w:tcPr>
          <w:p>
            <w:pPr>
              <w:jc w:val="center"/>
            </w:pPr>
            <w:r/>
            <w:r>
              <w:rPr>
                <w:b w:val="0"/>
                <w:sz w:val="14"/>
              </w:rPr>
              <w:t>-8.53</w:t>
            </w:r>
          </w:p>
        </w:tc>
        <w:tc>
          <w:tcPr>
            <w:tcW w:type="dxa" w:w="1324"/>
            <w:vAlign w:val="center"/>
          </w:tcPr>
          <w:p>
            <w:pPr>
              <w:jc w:val="center"/>
            </w:pPr>
            <w:r/>
            <w:r>
              <w:rPr>
                <w:b w:val="0"/>
                <w:sz w:val="14"/>
              </w:rPr>
              <w:t>21.7</w:t>
            </w:r>
          </w:p>
        </w:tc>
        <w:tc>
          <w:tcPr>
            <w:tcW w:type="dxa" w:w="1324"/>
            <w:vAlign w:val="center"/>
          </w:tcPr>
          <w:p>
            <w:pPr>
              <w:jc w:val="center"/>
            </w:pPr>
            <w:r/>
            <w:r>
              <w:rPr>
                <w:b w:val="0"/>
                <w:sz w:val="14"/>
              </w:rPr>
              <w:t>12.0</w:t>
            </w:r>
          </w:p>
        </w:tc>
      </w:tr>
      <w:tr>
        <w:tc>
          <w:tcPr>
            <w:tcW w:type="dxa" w:w="1324"/>
            <w:vAlign w:val="center"/>
          </w:tcPr>
          <w:p>
            <w:pPr>
              <w:jc w:val="center"/>
            </w:pPr>
            <w:r/>
            <w:r>
              <w:rPr>
                <w:b w:val="0"/>
                <w:sz w:val="14"/>
              </w:rPr>
              <w:t>140</w:t>
            </w:r>
          </w:p>
        </w:tc>
        <w:tc>
          <w:tcPr>
            <w:tcW w:type="dxa" w:w="1324"/>
            <w:vAlign w:val="center"/>
          </w:tcPr>
          <w:p>
            <w:pPr>
              <w:jc w:val="center"/>
            </w:pPr>
            <w:r/>
            <w:r>
              <w:rPr>
                <w:b w:val="0"/>
                <w:sz w:val="14"/>
              </w:rPr>
              <w:t>OX</w:t>
            </w:r>
          </w:p>
        </w:tc>
        <w:tc>
          <w:tcPr>
            <w:tcW w:type="dxa" w:w="1324"/>
            <w:vAlign w:val="center"/>
          </w:tcPr>
          <w:p>
            <w:pPr>
              <w:jc w:val="center"/>
            </w:pPr>
            <w:r/>
            <w:r>
              <w:rPr>
                <w:b w:val="0"/>
                <w:sz w:val="14"/>
              </w:rPr>
              <w:t>0.90</w:t>
            </w:r>
          </w:p>
        </w:tc>
        <w:tc>
          <w:tcPr>
            <w:tcW w:type="dxa" w:w="1324"/>
            <w:vAlign w:val="center"/>
          </w:tcPr>
          <w:p>
            <w:pPr>
              <w:jc w:val="center"/>
            </w:pPr>
            <w:r/>
            <w:r>
              <w:rPr>
                <w:b w:val="0"/>
                <w:sz w:val="14"/>
              </w:rPr>
              <w:t>0.20</w:t>
            </w:r>
          </w:p>
        </w:tc>
        <w:tc>
          <w:tcPr>
            <w:tcW w:type="dxa" w:w="1324"/>
            <w:vAlign w:val="center"/>
          </w:tcPr>
          <w:p>
            <w:pPr>
              <w:jc w:val="center"/>
            </w:pPr>
            <w:r/>
            <w:r>
              <w:rPr>
                <w:b w:val="0"/>
                <w:sz w:val="14"/>
              </w:rPr>
              <w:t>1,455.92</w:t>
            </w:r>
          </w:p>
        </w:tc>
        <w:tc>
          <w:tcPr>
            <w:tcW w:type="dxa" w:w="1324"/>
            <w:vAlign w:val="center"/>
          </w:tcPr>
          <w:p>
            <w:pPr>
              <w:jc w:val="center"/>
            </w:pPr>
            <w:r/>
            <w:r>
              <w:rPr>
                <w:b w:val="0"/>
                <w:sz w:val="14"/>
              </w:rPr>
              <w:t>-8.49</w:t>
            </w:r>
          </w:p>
        </w:tc>
        <w:tc>
          <w:tcPr>
            <w:tcW w:type="dxa" w:w="1324"/>
            <w:vAlign w:val="center"/>
          </w:tcPr>
          <w:p>
            <w:pPr>
              <w:jc w:val="center"/>
            </w:pPr>
            <w:r/>
            <w:r>
              <w:rPr>
                <w:b w:val="0"/>
                <w:sz w:val="14"/>
              </w:rPr>
              <w:t>25.0</w:t>
            </w:r>
          </w:p>
        </w:tc>
        <w:tc>
          <w:tcPr>
            <w:tcW w:type="dxa" w:w="1324"/>
            <w:vAlign w:val="center"/>
          </w:tcPr>
          <w:p>
            <w:pPr>
              <w:jc w:val="center"/>
            </w:pPr>
            <w:r/>
            <w:r>
              <w:rPr>
                <w:b w:val="0"/>
                <w:sz w:val="14"/>
              </w:rPr>
              <w:t>13.8</w:t>
            </w:r>
          </w:p>
        </w:tc>
      </w:tr>
      <w:tr>
        <w:tc>
          <w:tcPr>
            <w:tcW w:type="dxa" w:w="1324"/>
            <w:vAlign w:val="center"/>
          </w:tcPr>
          <w:p>
            <w:pPr>
              <w:jc w:val="center"/>
            </w:pPr>
            <w:r/>
            <w:r>
              <w:rPr>
                <w:b w:val="0"/>
                <w:sz w:val="14"/>
              </w:rPr>
              <w:t>60</w:t>
            </w:r>
          </w:p>
        </w:tc>
        <w:tc>
          <w:tcPr>
            <w:tcW w:type="dxa" w:w="1324"/>
            <w:vAlign w:val="center"/>
          </w:tcPr>
          <w:p>
            <w:pPr>
              <w:jc w:val="center"/>
            </w:pPr>
            <w:r/>
            <w:r>
              <w:rPr>
                <w:b w:val="0"/>
                <w:sz w:val="14"/>
              </w:rPr>
              <w:t>PMX</w:t>
            </w:r>
          </w:p>
        </w:tc>
        <w:tc>
          <w:tcPr>
            <w:tcW w:type="dxa" w:w="1324"/>
            <w:vAlign w:val="center"/>
          </w:tcPr>
          <w:p>
            <w:pPr>
              <w:jc w:val="center"/>
            </w:pPr>
            <w:r/>
            <w:r>
              <w:rPr>
                <w:b w:val="0"/>
                <w:sz w:val="14"/>
              </w:rPr>
              <w:t>0.80</w:t>
            </w:r>
          </w:p>
        </w:tc>
        <w:tc>
          <w:tcPr>
            <w:tcW w:type="dxa" w:w="1324"/>
            <w:vAlign w:val="center"/>
          </w:tcPr>
          <w:p>
            <w:pPr>
              <w:jc w:val="center"/>
            </w:pPr>
            <w:r/>
            <w:r>
              <w:rPr>
                <w:b w:val="0"/>
                <w:sz w:val="14"/>
              </w:rPr>
              <w:t>0.20</w:t>
            </w:r>
          </w:p>
        </w:tc>
        <w:tc>
          <w:tcPr>
            <w:tcW w:type="dxa" w:w="1324"/>
            <w:vAlign w:val="center"/>
          </w:tcPr>
          <w:p>
            <w:pPr>
              <w:jc w:val="center"/>
            </w:pPr>
            <w:r/>
            <w:r>
              <w:rPr>
                <w:b w:val="0"/>
                <w:sz w:val="14"/>
              </w:rPr>
              <w:t>1,460.41</w:t>
            </w:r>
          </w:p>
        </w:tc>
        <w:tc>
          <w:tcPr>
            <w:tcW w:type="dxa" w:w="1324"/>
            <w:vAlign w:val="center"/>
          </w:tcPr>
          <w:p>
            <w:pPr>
              <w:jc w:val="center"/>
            </w:pPr>
            <w:r/>
            <w:r>
              <w:rPr>
                <w:b w:val="0"/>
                <w:sz w:val="14"/>
              </w:rPr>
              <w:t>-8.21</w:t>
            </w:r>
          </w:p>
        </w:tc>
        <w:tc>
          <w:tcPr>
            <w:tcW w:type="dxa" w:w="1324"/>
            <w:vAlign w:val="center"/>
          </w:tcPr>
          <w:p>
            <w:pPr>
              <w:jc w:val="center"/>
            </w:pPr>
            <w:r/>
            <w:r>
              <w:rPr>
                <w:b w:val="0"/>
                <w:sz w:val="14"/>
              </w:rPr>
              <w:t>26.7</w:t>
            </w:r>
          </w:p>
        </w:tc>
        <w:tc>
          <w:tcPr>
            <w:tcW w:type="dxa" w:w="1324"/>
            <w:vAlign w:val="center"/>
          </w:tcPr>
          <w:p>
            <w:pPr>
              <w:jc w:val="center"/>
            </w:pPr>
            <w:r/>
            <w:r>
              <w:rPr>
                <w:b w:val="0"/>
                <w:sz w:val="14"/>
              </w:rPr>
              <w:t>19.9</w:t>
            </w:r>
          </w:p>
        </w:tc>
      </w:tr>
      <w:tr>
        <w:tc>
          <w:tcPr>
            <w:tcW w:type="dxa" w:w="1324"/>
            <w:vAlign w:val="center"/>
          </w:tcPr>
          <w:p>
            <w:pPr>
              <w:jc w:val="center"/>
            </w:pPr>
            <w:r/>
            <w:r>
              <w:rPr>
                <w:b w:val="0"/>
                <w:sz w:val="14"/>
              </w:rPr>
              <w:t>60</w:t>
            </w:r>
          </w:p>
        </w:tc>
        <w:tc>
          <w:tcPr>
            <w:tcW w:type="dxa" w:w="1324"/>
            <w:vAlign w:val="center"/>
          </w:tcPr>
          <w:p>
            <w:pPr>
              <w:jc w:val="center"/>
            </w:pPr>
            <w:r/>
            <w:r>
              <w:rPr>
                <w:b w:val="0"/>
                <w:sz w:val="14"/>
              </w:rPr>
              <w:t>OX</w:t>
            </w:r>
          </w:p>
        </w:tc>
        <w:tc>
          <w:tcPr>
            <w:tcW w:type="dxa" w:w="1324"/>
            <w:vAlign w:val="center"/>
          </w:tcPr>
          <w:p>
            <w:pPr>
              <w:jc w:val="center"/>
            </w:pPr>
            <w:r/>
            <w:r>
              <w:rPr>
                <w:b w:val="0"/>
                <w:sz w:val="14"/>
              </w:rPr>
              <w:t>0.80</w:t>
            </w:r>
          </w:p>
        </w:tc>
        <w:tc>
          <w:tcPr>
            <w:tcW w:type="dxa" w:w="1324"/>
            <w:vAlign w:val="center"/>
          </w:tcPr>
          <w:p>
            <w:pPr>
              <w:jc w:val="center"/>
            </w:pPr>
            <w:r/>
            <w:r>
              <w:rPr>
                <w:b w:val="0"/>
                <w:sz w:val="14"/>
              </w:rPr>
              <w:t>0.05</w:t>
            </w:r>
          </w:p>
        </w:tc>
        <w:tc>
          <w:tcPr>
            <w:tcW w:type="dxa" w:w="1324"/>
            <w:vAlign w:val="center"/>
          </w:tcPr>
          <w:p>
            <w:pPr>
              <w:jc w:val="center"/>
            </w:pPr>
            <w:r/>
            <w:r>
              <w:rPr>
                <w:b w:val="0"/>
                <w:sz w:val="14"/>
              </w:rPr>
              <w:t>1,461.26</w:t>
            </w:r>
          </w:p>
        </w:tc>
        <w:tc>
          <w:tcPr>
            <w:tcW w:type="dxa" w:w="1324"/>
            <w:vAlign w:val="center"/>
          </w:tcPr>
          <w:p>
            <w:pPr>
              <w:jc w:val="center"/>
            </w:pPr>
            <w:r/>
            <w:r>
              <w:rPr>
                <w:b w:val="0"/>
                <w:sz w:val="14"/>
              </w:rPr>
              <w:t>-8.15</w:t>
            </w:r>
          </w:p>
        </w:tc>
        <w:tc>
          <w:tcPr>
            <w:tcW w:type="dxa" w:w="1324"/>
            <w:vAlign w:val="center"/>
          </w:tcPr>
          <w:p>
            <w:pPr>
              <w:jc w:val="center"/>
            </w:pPr>
            <w:r/>
            <w:r>
              <w:rPr>
                <w:b w:val="0"/>
                <w:sz w:val="14"/>
              </w:rPr>
              <w:t>3.3</w:t>
            </w:r>
          </w:p>
        </w:tc>
        <w:tc>
          <w:tcPr>
            <w:tcW w:type="dxa" w:w="1324"/>
            <w:vAlign w:val="center"/>
          </w:tcPr>
          <w:p>
            <w:pPr>
              <w:jc w:val="center"/>
            </w:pPr>
            <w:r/>
            <w:r>
              <w:rPr>
                <w:b w:val="0"/>
                <w:sz w:val="14"/>
              </w:rPr>
              <w:t>1.4</w:t>
            </w:r>
          </w:p>
        </w:tc>
      </w:tr>
      <w:tr>
        <w:tc>
          <w:tcPr>
            <w:tcW w:type="dxa" w:w="1324"/>
            <w:vAlign w:val="center"/>
          </w:tcPr>
          <w:p>
            <w:pPr>
              <w:jc w:val="center"/>
            </w:pPr>
            <w:r/>
            <w:r>
              <w:rPr>
                <w:b w:val="0"/>
                <w:sz w:val="14"/>
              </w:rPr>
              <w:t>140</w:t>
            </w:r>
          </w:p>
        </w:tc>
        <w:tc>
          <w:tcPr>
            <w:tcW w:type="dxa" w:w="1324"/>
            <w:vAlign w:val="center"/>
          </w:tcPr>
          <w:p>
            <w:pPr>
              <w:jc w:val="center"/>
            </w:pPr>
            <w:r/>
            <w:r>
              <w:rPr>
                <w:b w:val="0"/>
                <w:sz w:val="14"/>
              </w:rPr>
              <w:t>OX</w:t>
            </w:r>
          </w:p>
        </w:tc>
        <w:tc>
          <w:tcPr>
            <w:tcW w:type="dxa" w:w="1324"/>
            <w:vAlign w:val="center"/>
          </w:tcPr>
          <w:p>
            <w:pPr>
              <w:jc w:val="center"/>
            </w:pPr>
            <w:r/>
            <w:r>
              <w:rPr>
                <w:b w:val="0"/>
                <w:sz w:val="14"/>
              </w:rPr>
              <w:t>0.90</w:t>
            </w:r>
          </w:p>
        </w:tc>
        <w:tc>
          <w:tcPr>
            <w:tcW w:type="dxa" w:w="1324"/>
            <w:vAlign w:val="center"/>
          </w:tcPr>
          <w:p>
            <w:pPr>
              <w:jc w:val="center"/>
            </w:pPr>
            <w:r/>
            <w:r>
              <w:rPr>
                <w:b w:val="0"/>
                <w:sz w:val="14"/>
              </w:rPr>
              <w:t>0.05</w:t>
            </w:r>
          </w:p>
        </w:tc>
        <w:tc>
          <w:tcPr>
            <w:tcW w:type="dxa" w:w="1324"/>
            <w:vAlign w:val="center"/>
          </w:tcPr>
          <w:p>
            <w:pPr>
              <w:jc w:val="center"/>
            </w:pPr>
            <w:r/>
            <w:r>
              <w:rPr>
                <w:b w:val="0"/>
                <w:sz w:val="14"/>
              </w:rPr>
              <w:t>1,462.68</w:t>
            </w:r>
          </w:p>
        </w:tc>
        <w:tc>
          <w:tcPr>
            <w:tcW w:type="dxa" w:w="1324"/>
            <w:vAlign w:val="center"/>
          </w:tcPr>
          <w:p>
            <w:pPr>
              <w:jc w:val="center"/>
            </w:pPr>
            <w:r/>
            <w:r>
              <w:rPr>
                <w:b w:val="0"/>
                <w:sz w:val="14"/>
              </w:rPr>
              <w:t>-8.06</w:t>
            </w:r>
          </w:p>
        </w:tc>
        <w:tc>
          <w:tcPr>
            <w:tcW w:type="dxa" w:w="1324"/>
            <w:vAlign w:val="center"/>
          </w:tcPr>
          <w:p>
            <w:pPr>
              <w:jc w:val="center"/>
            </w:pPr>
            <w:r/>
            <w:r>
              <w:rPr>
                <w:b w:val="0"/>
                <w:sz w:val="14"/>
              </w:rPr>
              <w:t>5.0</w:t>
            </w:r>
          </w:p>
        </w:tc>
        <w:tc>
          <w:tcPr>
            <w:tcW w:type="dxa" w:w="1324"/>
            <w:vAlign w:val="center"/>
          </w:tcPr>
          <w:p>
            <w:pPr>
              <w:jc w:val="center"/>
            </w:pPr>
            <w:r/>
            <w:r>
              <w:rPr>
                <w:b w:val="0"/>
                <w:sz w:val="14"/>
              </w:rPr>
              <w:t>0.6</w:t>
            </w:r>
          </w:p>
        </w:tc>
      </w:tr>
      <w:tr>
        <w:tc>
          <w:tcPr>
            <w:tcW w:type="dxa" w:w="1324"/>
            <w:vAlign w:val="center"/>
          </w:tcPr>
          <w:p>
            <w:pPr>
              <w:jc w:val="center"/>
            </w:pPr>
            <w:r/>
            <w:r>
              <w:rPr>
                <w:b w:val="0"/>
                <w:sz w:val="14"/>
              </w:rPr>
              <w:t>140</w:t>
            </w:r>
          </w:p>
        </w:tc>
        <w:tc>
          <w:tcPr>
            <w:tcW w:type="dxa" w:w="1324"/>
            <w:vAlign w:val="center"/>
          </w:tcPr>
          <w:p>
            <w:pPr>
              <w:jc w:val="center"/>
            </w:pPr>
            <w:r/>
            <w:r>
              <w:rPr>
                <w:b w:val="0"/>
                <w:sz w:val="14"/>
              </w:rPr>
              <w:t>PMX</w:t>
            </w:r>
          </w:p>
        </w:tc>
        <w:tc>
          <w:tcPr>
            <w:tcW w:type="dxa" w:w="1324"/>
            <w:vAlign w:val="center"/>
          </w:tcPr>
          <w:p>
            <w:pPr>
              <w:jc w:val="center"/>
            </w:pPr>
            <w:r/>
            <w:r>
              <w:rPr>
                <w:b w:val="0"/>
                <w:sz w:val="14"/>
              </w:rPr>
              <w:t>0.80</w:t>
            </w:r>
          </w:p>
        </w:tc>
        <w:tc>
          <w:tcPr>
            <w:tcW w:type="dxa" w:w="1324"/>
            <w:vAlign w:val="center"/>
          </w:tcPr>
          <w:p>
            <w:pPr>
              <w:jc w:val="center"/>
            </w:pPr>
            <w:r/>
            <w:r>
              <w:rPr>
                <w:b w:val="0"/>
                <w:sz w:val="14"/>
              </w:rPr>
              <w:t>0.20</w:t>
            </w:r>
          </w:p>
        </w:tc>
        <w:tc>
          <w:tcPr>
            <w:tcW w:type="dxa" w:w="1324"/>
            <w:vAlign w:val="center"/>
          </w:tcPr>
          <w:p>
            <w:pPr>
              <w:jc w:val="center"/>
            </w:pPr>
            <w:r/>
            <w:r>
              <w:rPr>
                <w:b w:val="0"/>
                <w:sz w:val="14"/>
              </w:rPr>
              <w:t>1,465.76</w:t>
            </w:r>
          </w:p>
        </w:tc>
        <w:tc>
          <w:tcPr>
            <w:tcW w:type="dxa" w:w="1324"/>
            <w:vAlign w:val="center"/>
          </w:tcPr>
          <w:p>
            <w:pPr>
              <w:jc w:val="center"/>
            </w:pPr>
            <w:r/>
            <w:r>
              <w:rPr>
                <w:b w:val="0"/>
                <w:sz w:val="14"/>
              </w:rPr>
              <w:t>-7.87</w:t>
            </w:r>
          </w:p>
        </w:tc>
        <w:tc>
          <w:tcPr>
            <w:tcW w:type="dxa" w:w="1324"/>
            <w:vAlign w:val="center"/>
          </w:tcPr>
          <w:p>
            <w:pPr>
              <w:jc w:val="center"/>
            </w:pPr>
            <w:r/>
            <w:r>
              <w:rPr>
                <w:b w:val="0"/>
                <w:sz w:val="14"/>
              </w:rPr>
              <w:t>21.4</w:t>
            </w:r>
          </w:p>
        </w:tc>
        <w:tc>
          <w:tcPr>
            <w:tcW w:type="dxa" w:w="1324"/>
            <w:vAlign w:val="center"/>
          </w:tcPr>
          <w:p>
            <w:pPr>
              <w:jc w:val="center"/>
            </w:pPr>
            <w:r/>
            <w:r>
              <w:rPr>
                <w:b w:val="0"/>
                <w:sz w:val="14"/>
              </w:rPr>
              <w:t>4.9</w:t>
            </w:r>
          </w:p>
        </w:tc>
      </w:tr>
      <w:tr>
        <w:tc>
          <w:tcPr>
            <w:tcW w:type="dxa" w:w="1324"/>
            <w:vAlign w:val="center"/>
          </w:tcPr>
          <w:p>
            <w:pPr>
              <w:jc w:val="center"/>
            </w:pPr>
            <w:r/>
            <w:r>
              <w:rPr>
                <w:b w:val="0"/>
                <w:sz w:val="14"/>
              </w:rPr>
              <w:t>100</w:t>
            </w:r>
          </w:p>
        </w:tc>
        <w:tc>
          <w:tcPr>
            <w:tcW w:type="dxa" w:w="1324"/>
            <w:vAlign w:val="center"/>
          </w:tcPr>
          <w:p>
            <w:pPr>
              <w:jc w:val="center"/>
            </w:pPr>
            <w:r/>
            <w:r>
              <w:rPr>
                <w:b w:val="0"/>
                <w:sz w:val="14"/>
              </w:rPr>
              <w:t>PMX</w:t>
            </w:r>
          </w:p>
        </w:tc>
        <w:tc>
          <w:tcPr>
            <w:tcW w:type="dxa" w:w="1324"/>
            <w:vAlign w:val="center"/>
          </w:tcPr>
          <w:p>
            <w:pPr>
              <w:jc w:val="center"/>
            </w:pPr>
            <w:r/>
            <w:r>
              <w:rPr>
                <w:b w:val="0"/>
                <w:sz w:val="14"/>
              </w:rPr>
              <w:t>0.90</w:t>
            </w:r>
          </w:p>
        </w:tc>
        <w:tc>
          <w:tcPr>
            <w:tcW w:type="dxa" w:w="1324"/>
            <w:vAlign w:val="center"/>
          </w:tcPr>
          <w:p>
            <w:pPr>
              <w:jc w:val="center"/>
            </w:pPr>
            <w:r/>
            <w:r>
              <w:rPr>
                <w:b w:val="0"/>
                <w:sz w:val="14"/>
              </w:rPr>
              <w:t>0.05</w:t>
            </w:r>
          </w:p>
        </w:tc>
        <w:tc>
          <w:tcPr>
            <w:tcW w:type="dxa" w:w="1324"/>
            <w:vAlign w:val="center"/>
          </w:tcPr>
          <w:p>
            <w:pPr>
              <w:jc w:val="center"/>
            </w:pPr>
            <w:r/>
            <w:r>
              <w:rPr>
                <w:b w:val="0"/>
                <w:sz w:val="14"/>
              </w:rPr>
              <w:t>1,465.76</w:t>
            </w:r>
          </w:p>
        </w:tc>
        <w:tc>
          <w:tcPr>
            <w:tcW w:type="dxa" w:w="1324"/>
            <w:vAlign w:val="center"/>
          </w:tcPr>
          <w:p>
            <w:pPr>
              <w:jc w:val="center"/>
            </w:pPr>
            <w:r/>
            <w:r>
              <w:rPr>
                <w:b w:val="0"/>
                <w:sz w:val="14"/>
              </w:rPr>
              <w:t>-7.87</w:t>
            </w:r>
          </w:p>
        </w:tc>
        <w:tc>
          <w:tcPr>
            <w:tcW w:type="dxa" w:w="1324"/>
            <w:vAlign w:val="center"/>
          </w:tcPr>
          <w:p>
            <w:pPr>
              <w:jc w:val="center"/>
            </w:pPr>
            <w:r/>
            <w:r>
              <w:rPr>
                <w:b w:val="0"/>
                <w:sz w:val="14"/>
              </w:rPr>
              <w:t>7.0</w:t>
            </w:r>
          </w:p>
        </w:tc>
        <w:tc>
          <w:tcPr>
            <w:tcW w:type="dxa" w:w="1324"/>
            <w:vAlign w:val="center"/>
          </w:tcPr>
          <w:p>
            <w:pPr>
              <w:jc w:val="center"/>
            </w:pPr>
            <w:r/>
            <w:r>
              <w:rPr>
                <w:b w:val="0"/>
                <w:sz w:val="14"/>
              </w:rPr>
              <w:t>19.1</w:t>
            </w:r>
          </w:p>
        </w:tc>
      </w:tr>
      <w:tr>
        <w:tc>
          <w:tcPr>
            <w:tcW w:type="dxa" w:w="1324"/>
            <w:vAlign w:val="center"/>
          </w:tcPr>
          <w:p>
            <w:pPr>
              <w:jc w:val="center"/>
            </w:pPr>
            <w:r/>
            <w:r>
              <w:rPr>
                <w:b w:val="0"/>
                <w:sz w:val="14"/>
              </w:rPr>
              <w:t>100</w:t>
            </w:r>
          </w:p>
        </w:tc>
        <w:tc>
          <w:tcPr>
            <w:tcW w:type="dxa" w:w="1324"/>
            <w:vAlign w:val="center"/>
          </w:tcPr>
          <w:p>
            <w:pPr>
              <w:jc w:val="center"/>
            </w:pPr>
            <w:r/>
            <w:r>
              <w:rPr>
                <w:b w:val="0"/>
                <w:sz w:val="14"/>
              </w:rPr>
              <w:t>OX</w:t>
            </w:r>
          </w:p>
        </w:tc>
        <w:tc>
          <w:tcPr>
            <w:tcW w:type="dxa" w:w="1324"/>
            <w:vAlign w:val="center"/>
          </w:tcPr>
          <w:p>
            <w:pPr>
              <w:jc w:val="center"/>
            </w:pPr>
            <w:r/>
            <w:r>
              <w:rPr>
                <w:b w:val="0"/>
                <w:sz w:val="14"/>
              </w:rPr>
              <w:t>0.90</w:t>
            </w:r>
          </w:p>
        </w:tc>
        <w:tc>
          <w:tcPr>
            <w:tcW w:type="dxa" w:w="1324"/>
            <w:vAlign w:val="center"/>
          </w:tcPr>
          <w:p>
            <w:pPr>
              <w:jc w:val="center"/>
            </w:pPr>
            <w:r/>
            <w:r>
              <w:rPr>
                <w:b w:val="0"/>
                <w:sz w:val="14"/>
              </w:rPr>
              <w:t>0.20</w:t>
            </w:r>
          </w:p>
        </w:tc>
        <w:tc>
          <w:tcPr>
            <w:tcW w:type="dxa" w:w="1324"/>
            <w:vAlign w:val="center"/>
          </w:tcPr>
          <w:p>
            <w:pPr>
              <w:jc w:val="center"/>
            </w:pPr>
            <w:r/>
            <w:r>
              <w:rPr>
                <w:b w:val="0"/>
                <w:sz w:val="14"/>
              </w:rPr>
              <w:t>1,467.45</w:t>
            </w:r>
          </w:p>
        </w:tc>
        <w:tc>
          <w:tcPr>
            <w:tcW w:type="dxa" w:w="1324"/>
            <w:vAlign w:val="center"/>
          </w:tcPr>
          <w:p>
            <w:pPr>
              <w:jc w:val="center"/>
            </w:pPr>
            <w:r/>
            <w:r>
              <w:rPr>
                <w:b w:val="0"/>
                <w:sz w:val="14"/>
              </w:rPr>
              <w:t>-7.76</w:t>
            </w:r>
          </w:p>
        </w:tc>
        <w:tc>
          <w:tcPr>
            <w:tcW w:type="dxa" w:w="1324"/>
            <w:vAlign w:val="center"/>
          </w:tcPr>
          <w:p>
            <w:pPr>
              <w:jc w:val="center"/>
            </w:pPr>
            <w:r/>
            <w:r>
              <w:rPr>
                <w:b w:val="0"/>
                <w:sz w:val="14"/>
              </w:rPr>
              <w:t>21.0</w:t>
            </w:r>
          </w:p>
        </w:tc>
        <w:tc>
          <w:tcPr>
            <w:tcW w:type="dxa" w:w="1324"/>
            <w:vAlign w:val="center"/>
          </w:tcPr>
          <w:p>
            <w:pPr>
              <w:jc w:val="center"/>
            </w:pPr>
            <w:r/>
            <w:r>
              <w:rPr>
                <w:b w:val="0"/>
                <w:sz w:val="14"/>
              </w:rPr>
              <w:t>11.7</w:t>
            </w:r>
          </w:p>
        </w:tc>
      </w:tr>
      <w:tr>
        <w:tc>
          <w:tcPr>
            <w:tcW w:type="dxa" w:w="1324"/>
            <w:vAlign w:val="center"/>
          </w:tcPr>
          <w:p>
            <w:pPr>
              <w:jc w:val="center"/>
            </w:pPr>
            <w:r/>
            <w:r>
              <w:rPr>
                <w:b w:val="0"/>
                <w:sz w:val="14"/>
              </w:rPr>
              <w:t>140</w:t>
            </w:r>
          </w:p>
        </w:tc>
        <w:tc>
          <w:tcPr>
            <w:tcW w:type="dxa" w:w="1324"/>
            <w:vAlign w:val="center"/>
          </w:tcPr>
          <w:p>
            <w:pPr>
              <w:jc w:val="center"/>
            </w:pPr>
            <w:r/>
            <w:r>
              <w:rPr>
                <w:b w:val="0"/>
                <w:sz w:val="14"/>
              </w:rPr>
              <w:t>OX</w:t>
            </w:r>
          </w:p>
        </w:tc>
        <w:tc>
          <w:tcPr>
            <w:tcW w:type="dxa" w:w="1324"/>
            <w:vAlign w:val="center"/>
          </w:tcPr>
          <w:p>
            <w:pPr>
              <w:jc w:val="center"/>
            </w:pPr>
            <w:r/>
            <w:r>
              <w:rPr>
                <w:b w:val="0"/>
                <w:sz w:val="14"/>
              </w:rPr>
              <w:t>0.80</w:t>
            </w:r>
          </w:p>
        </w:tc>
        <w:tc>
          <w:tcPr>
            <w:tcW w:type="dxa" w:w="1324"/>
            <w:vAlign w:val="center"/>
          </w:tcPr>
          <w:p>
            <w:pPr>
              <w:jc w:val="center"/>
            </w:pPr>
            <w:r/>
            <w:r>
              <w:rPr>
                <w:b w:val="0"/>
                <w:sz w:val="14"/>
              </w:rPr>
              <w:t>0.20</w:t>
            </w:r>
          </w:p>
        </w:tc>
        <w:tc>
          <w:tcPr>
            <w:tcW w:type="dxa" w:w="1324"/>
            <w:vAlign w:val="center"/>
          </w:tcPr>
          <w:p>
            <w:pPr>
              <w:jc w:val="center"/>
            </w:pPr>
            <w:r/>
            <w:r>
              <w:rPr>
                <w:b w:val="0"/>
                <w:sz w:val="14"/>
              </w:rPr>
              <w:t>1,468.00</w:t>
            </w:r>
          </w:p>
        </w:tc>
        <w:tc>
          <w:tcPr>
            <w:tcW w:type="dxa" w:w="1324"/>
            <w:vAlign w:val="center"/>
          </w:tcPr>
          <w:p>
            <w:pPr>
              <w:jc w:val="center"/>
            </w:pPr>
            <w:r/>
            <w:r>
              <w:rPr>
                <w:b w:val="0"/>
                <w:sz w:val="14"/>
              </w:rPr>
              <w:t>-7.73</w:t>
            </w:r>
          </w:p>
        </w:tc>
        <w:tc>
          <w:tcPr>
            <w:tcW w:type="dxa" w:w="1324"/>
            <w:vAlign w:val="center"/>
          </w:tcPr>
          <w:p>
            <w:pPr>
              <w:jc w:val="center"/>
            </w:pPr>
            <w:r/>
            <w:r>
              <w:rPr>
                <w:b w:val="0"/>
                <w:sz w:val="14"/>
              </w:rPr>
              <w:t>21.4</w:t>
            </w:r>
          </w:p>
        </w:tc>
        <w:tc>
          <w:tcPr>
            <w:tcW w:type="dxa" w:w="1324"/>
            <w:vAlign w:val="center"/>
          </w:tcPr>
          <w:p>
            <w:pPr>
              <w:jc w:val="center"/>
            </w:pPr>
            <w:r/>
            <w:r>
              <w:rPr>
                <w:b w:val="0"/>
                <w:sz w:val="14"/>
              </w:rPr>
              <w:t>8.6</w:t>
            </w:r>
          </w:p>
        </w:tc>
      </w:tr>
    </w:tbl>
    <w:p/>
    <w:p>
      <w:pPr>
        <w:jc w:val="center"/>
      </w:pPr>
      <w:r>
        <w:drawing>
          <wp:inline xmlns:a="http://schemas.openxmlformats.org/drawingml/2006/main" xmlns:pic="http://schemas.openxmlformats.org/drawingml/2006/picture">
            <wp:extent cx="6012000" cy="2774769"/>
            <wp:docPr id="9" name="Picture 9"/>
            <wp:cNvGraphicFramePr>
              <a:graphicFrameLocks noChangeAspect="1"/>
            </wp:cNvGraphicFramePr>
            <a:graphic>
              <a:graphicData uri="http://schemas.openxmlformats.org/drawingml/2006/picture">
                <pic:pic>
                  <pic:nvPicPr>
                    <pic:cNvPr id="0" name="parametros_top_configuraciones.png"/>
                    <pic:cNvPicPr/>
                  </pic:nvPicPr>
                  <pic:blipFill>
                    <a:blip r:embed="rId18"/>
                    <a:stretch>
                      <a:fillRect/>
                    </a:stretch>
                  </pic:blipFill>
                  <pic:spPr>
                    <a:xfrm>
                      <a:off x="0" y="0"/>
                      <a:ext cx="6012000" cy="2774769"/>
                    </a:xfrm>
                    <a:prstGeom prst="rect"/>
                  </pic:spPr>
                </pic:pic>
              </a:graphicData>
            </a:graphic>
          </wp:inline>
        </w:drawing>
      </w:r>
    </w:p>
    <w:p>
      <w:pPr>
        <w:spacing w:after="160"/>
        <w:jc w:val="center"/>
      </w:pPr>
      <w:r>
        <w:rPr>
          <w:i/>
          <w:sz w:val="18"/>
        </w:rPr>
        <w:t>Figura 9. Mejores configuraciones del análisis experimental de parámetros.</w:t>
      </w:r>
    </w:p>
    <w:p>
      <w:pPr>
        <w:jc w:val="center"/>
      </w:pPr>
      <w:r>
        <w:drawing>
          <wp:inline xmlns:a="http://schemas.openxmlformats.org/drawingml/2006/main" xmlns:pic="http://schemas.openxmlformats.org/drawingml/2006/picture">
            <wp:extent cx="5220000" cy="3070588"/>
            <wp:docPr id="10" name="Picture 10"/>
            <wp:cNvGraphicFramePr>
              <a:graphicFrameLocks noChangeAspect="1"/>
            </wp:cNvGraphicFramePr>
            <a:graphic>
              <a:graphicData uri="http://schemas.openxmlformats.org/drawingml/2006/picture">
                <pic:pic>
                  <pic:nvPicPr>
                    <pic:cNvPr id="0" name="parametros_poblacion_distancia.png"/>
                    <pic:cNvPicPr/>
                  </pic:nvPicPr>
                  <pic:blipFill>
                    <a:blip r:embed="rId19"/>
                    <a:stretch>
                      <a:fillRect/>
                    </a:stretch>
                  </pic:blipFill>
                  <pic:spPr>
                    <a:xfrm>
                      <a:off x="0" y="0"/>
                      <a:ext cx="5220000" cy="3070588"/>
                    </a:xfrm>
                    <a:prstGeom prst="rect"/>
                  </pic:spPr>
                </pic:pic>
              </a:graphicData>
            </a:graphic>
          </wp:inline>
        </w:drawing>
      </w:r>
    </w:p>
    <w:p>
      <w:pPr>
        <w:spacing w:after="160"/>
        <w:jc w:val="center"/>
      </w:pPr>
      <w:r>
        <w:rPr>
          <w:i/>
          <w:sz w:val="18"/>
        </w:rPr>
        <w:t>Figura 10. Efecto del tamaño de población sobre la distancia promedio.</w:t>
      </w:r>
    </w:p>
    <w:p>
      <w:pPr>
        <w:jc w:val="center"/>
      </w:pPr>
      <w:r>
        <w:drawing>
          <wp:inline xmlns:a="http://schemas.openxmlformats.org/drawingml/2006/main" xmlns:pic="http://schemas.openxmlformats.org/drawingml/2006/picture">
            <wp:extent cx="5220000" cy="3070588"/>
            <wp:docPr id="11" name="Picture 11"/>
            <wp:cNvGraphicFramePr>
              <a:graphicFrameLocks noChangeAspect="1"/>
            </wp:cNvGraphicFramePr>
            <a:graphic>
              <a:graphicData uri="http://schemas.openxmlformats.org/drawingml/2006/picture">
                <pic:pic>
                  <pic:nvPicPr>
                    <pic:cNvPr id="0" name="parametros_mutacion_distancia.png"/>
                    <pic:cNvPicPr/>
                  </pic:nvPicPr>
                  <pic:blipFill>
                    <a:blip r:embed="rId20"/>
                    <a:stretch>
                      <a:fillRect/>
                    </a:stretch>
                  </pic:blipFill>
                  <pic:spPr>
                    <a:xfrm>
                      <a:off x="0" y="0"/>
                      <a:ext cx="5220000" cy="3070588"/>
                    </a:xfrm>
                    <a:prstGeom prst="rect"/>
                  </pic:spPr>
                </pic:pic>
              </a:graphicData>
            </a:graphic>
          </wp:inline>
        </w:drawing>
      </w:r>
    </w:p>
    <w:p>
      <w:pPr>
        <w:spacing w:after="160"/>
        <w:jc w:val="center"/>
      </w:pPr>
      <w:r>
        <w:rPr>
          <w:i/>
          <w:sz w:val="18"/>
        </w:rPr>
        <w:t>Figura 11. Efecto de la probabilidad de mutación sobre la distancia promedio.</w:t>
      </w:r>
    </w:p>
    <w:p>
      <w:pPr>
        <w:jc w:val="center"/>
      </w:pPr>
      <w:r>
        <w:drawing>
          <wp:inline xmlns:a="http://schemas.openxmlformats.org/drawingml/2006/main" xmlns:pic="http://schemas.openxmlformats.org/drawingml/2006/picture">
            <wp:extent cx="5220000" cy="3070588"/>
            <wp:docPr id="12" name="Picture 12"/>
            <wp:cNvGraphicFramePr>
              <a:graphicFrameLocks noChangeAspect="1"/>
            </wp:cNvGraphicFramePr>
            <a:graphic>
              <a:graphicData uri="http://schemas.openxmlformats.org/drawingml/2006/picture">
                <pic:pic>
                  <pic:nvPicPr>
                    <pic:cNvPr id="0" name="parametros_crossover_distancia.png"/>
                    <pic:cNvPicPr/>
                  </pic:nvPicPr>
                  <pic:blipFill>
                    <a:blip r:embed="rId21"/>
                    <a:stretch>
                      <a:fillRect/>
                    </a:stretch>
                  </pic:blipFill>
                  <pic:spPr>
                    <a:xfrm>
                      <a:off x="0" y="0"/>
                      <a:ext cx="5220000" cy="3070588"/>
                    </a:xfrm>
                    <a:prstGeom prst="rect"/>
                  </pic:spPr>
                </pic:pic>
              </a:graphicData>
            </a:graphic>
          </wp:inline>
        </w:drawing>
      </w:r>
    </w:p>
    <w:p>
      <w:pPr>
        <w:spacing w:after="160"/>
        <w:jc w:val="center"/>
      </w:pPr>
      <w:r>
        <w:rPr>
          <w:i/>
          <w:sz w:val="18"/>
        </w:rPr>
        <w:t>Figura 12. Efecto del tipo y probabilidad de crossover sobre la distancia promedio.</w:t>
      </w:r>
    </w:p>
    <w:p>
      <w:pPr>
        <w:spacing w:before="80" w:after="40"/>
      </w:pPr>
      <w:r>
        <w:rPr>
          <w:b/>
          <w:color w:val="1F4E79"/>
        </w:rPr>
        <w:t>Tabla 11. Resumen por tamaño de población.</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2649"/>
            <w:shd w:fill="D9EAF7"/>
          </w:tcPr>
          <w:p>
            <w:pPr>
              <w:jc w:val="center"/>
            </w:pPr>
            <w:r/>
            <w:r>
              <w:rPr>
                <w:b/>
                <w:color w:val="000000"/>
                <w:sz w:val="16"/>
              </w:rPr>
              <w:t>Población</w:t>
            </w:r>
          </w:p>
        </w:tc>
        <w:tc>
          <w:tcPr>
            <w:tcW w:type="dxa" w:w="2649"/>
            <w:shd w:fill="D9EAF7"/>
          </w:tcPr>
          <w:p>
            <w:pPr>
              <w:jc w:val="center"/>
            </w:pPr>
            <w:r/>
            <w:r>
              <w:rPr>
                <w:b/>
                <w:color w:val="000000"/>
                <w:sz w:val="16"/>
              </w:rPr>
              <w:t>Distancia promedio</w:t>
            </w:r>
          </w:p>
        </w:tc>
        <w:tc>
          <w:tcPr>
            <w:tcW w:type="dxa" w:w="2649"/>
            <w:shd w:fill="D9EAF7"/>
          </w:tcPr>
          <w:p>
            <w:pPr>
              <w:jc w:val="center"/>
            </w:pPr>
            <w:r/>
            <w:r>
              <w:rPr>
                <w:b/>
                <w:color w:val="000000"/>
                <w:sz w:val="16"/>
              </w:rPr>
              <w:t>Únicos prom. (%)</w:t>
            </w:r>
          </w:p>
        </w:tc>
        <w:tc>
          <w:tcPr>
            <w:tcW w:type="dxa" w:w="2649"/>
            <w:shd w:fill="D9EAF7"/>
          </w:tcPr>
          <w:p>
            <w:pPr>
              <w:jc w:val="center"/>
            </w:pPr>
            <w:r/>
            <w:r>
              <w:rPr>
                <w:b/>
                <w:color w:val="000000"/>
                <w:sz w:val="16"/>
              </w:rPr>
              <w:t>Hamming prom. (%)</w:t>
            </w:r>
          </w:p>
        </w:tc>
      </w:tr>
      <w:tr>
        <w:tc>
          <w:tcPr>
            <w:tcW w:type="dxa" w:w="2649"/>
            <w:vAlign w:val="center"/>
          </w:tcPr>
          <w:p>
            <w:pPr>
              <w:jc w:val="center"/>
            </w:pPr>
            <w:r/>
            <w:r>
              <w:rPr>
                <w:b w:val="0"/>
                <w:sz w:val="16"/>
              </w:rPr>
              <w:t>60.00</w:t>
            </w:r>
          </w:p>
        </w:tc>
        <w:tc>
          <w:tcPr>
            <w:tcW w:type="dxa" w:w="2649"/>
            <w:vAlign w:val="center"/>
          </w:tcPr>
          <w:p>
            <w:pPr>
              <w:jc w:val="center"/>
            </w:pPr>
            <w:r/>
            <w:r>
              <w:rPr>
                <w:b w:val="0"/>
                <w:sz w:val="16"/>
              </w:rPr>
              <w:t>1,467.34</w:t>
            </w:r>
          </w:p>
        </w:tc>
        <w:tc>
          <w:tcPr>
            <w:tcW w:type="dxa" w:w="2649"/>
            <w:vAlign w:val="center"/>
          </w:tcPr>
          <w:p>
            <w:pPr>
              <w:jc w:val="center"/>
            </w:pPr>
            <w:r/>
            <w:r>
              <w:rPr>
                <w:b w:val="0"/>
                <w:sz w:val="16"/>
              </w:rPr>
              <w:t>14.8</w:t>
            </w:r>
          </w:p>
        </w:tc>
        <w:tc>
          <w:tcPr>
            <w:tcW w:type="dxa" w:w="2649"/>
            <w:vAlign w:val="center"/>
          </w:tcPr>
          <w:p>
            <w:pPr>
              <w:jc w:val="center"/>
            </w:pPr>
            <w:r/>
            <w:r>
              <w:rPr>
                <w:b w:val="0"/>
                <w:sz w:val="16"/>
              </w:rPr>
              <w:t>8.6</w:t>
            </w:r>
          </w:p>
        </w:tc>
      </w:tr>
      <w:tr>
        <w:tc>
          <w:tcPr>
            <w:tcW w:type="dxa" w:w="2649"/>
            <w:vAlign w:val="center"/>
          </w:tcPr>
          <w:p>
            <w:pPr>
              <w:jc w:val="center"/>
            </w:pPr>
            <w:r/>
            <w:r>
              <w:rPr>
                <w:b w:val="0"/>
                <w:sz w:val="16"/>
              </w:rPr>
              <w:t>100.00</w:t>
            </w:r>
          </w:p>
        </w:tc>
        <w:tc>
          <w:tcPr>
            <w:tcW w:type="dxa" w:w="2649"/>
            <w:vAlign w:val="center"/>
          </w:tcPr>
          <w:p>
            <w:pPr>
              <w:jc w:val="center"/>
            </w:pPr>
            <w:r/>
            <w:r>
              <w:rPr>
                <w:b w:val="0"/>
                <w:sz w:val="16"/>
              </w:rPr>
              <w:t>1,473.58</w:t>
            </w:r>
          </w:p>
        </w:tc>
        <w:tc>
          <w:tcPr>
            <w:tcW w:type="dxa" w:w="2649"/>
            <w:vAlign w:val="center"/>
          </w:tcPr>
          <w:p>
            <w:pPr>
              <w:jc w:val="center"/>
            </w:pPr>
            <w:r/>
            <w:r>
              <w:rPr>
                <w:b w:val="0"/>
                <w:sz w:val="16"/>
              </w:rPr>
              <w:t>17.2</w:t>
            </w:r>
          </w:p>
        </w:tc>
        <w:tc>
          <w:tcPr>
            <w:tcW w:type="dxa" w:w="2649"/>
            <w:vAlign w:val="center"/>
          </w:tcPr>
          <w:p>
            <w:pPr>
              <w:jc w:val="center"/>
            </w:pPr>
            <w:r/>
            <w:r>
              <w:rPr>
                <w:b w:val="0"/>
                <w:sz w:val="16"/>
              </w:rPr>
              <w:t>12.3</w:t>
            </w:r>
          </w:p>
        </w:tc>
      </w:tr>
      <w:tr>
        <w:tc>
          <w:tcPr>
            <w:tcW w:type="dxa" w:w="2649"/>
            <w:vAlign w:val="center"/>
          </w:tcPr>
          <w:p>
            <w:pPr>
              <w:jc w:val="center"/>
            </w:pPr>
            <w:r/>
            <w:r>
              <w:rPr>
                <w:b w:val="0"/>
                <w:sz w:val="16"/>
              </w:rPr>
              <w:t>140.00</w:t>
            </w:r>
          </w:p>
        </w:tc>
        <w:tc>
          <w:tcPr>
            <w:tcW w:type="dxa" w:w="2649"/>
            <w:vAlign w:val="center"/>
          </w:tcPr>
          <w:p>
            <w:pPr>
              <w:jc w:val="center"/>
            </w:pPr>
            <w:r/>
            <w:r>
              <w:rPr>
                <w:b w:val="0"/>
                <w:sz w:val="16"/>
              </w:rPr>
              <w:t>1,476.35</w:t>
            </w:r>
          </w:p>
        </w:tc>
        <w:tc>
          <w:tcPr>
            <w:tcW w:type="dxa" w:w="2649"/>
            <w:vAlign w:val="center"/>
          </w:tcPr>
          <w:p>
            <w:pPr>
              <w:jc w:val="center"/>
            </w:pPr>
            <w:r/>
            <w:r>
              <w:rPr>
                <w:b w:val="0"/>
                <w:sz w:val="16"/>
              </w:rPr>
              <w:t>15.7</w:t>
            </w:r>
          </w:p>
        </w:tc>
        <w:tc>
          <w:tcPr>
            <w:tcW w:type="dxa" w:w="2649"/>
            <w:vAlign w:val="center"/>
          </w:tcPr>
          <w:p>
            <w:pPr>
              <w:jc w:val="center"/>
            </w:pPr>
            <w:r/>
            <w:r>
              <w:rPr>
                <w:b w:val="0"/>
                <w:sz w:val="16"/>
              </w:rPr>
              <w:t>8.3</w:t>
            </w:r>
          </w:p>
        </w:tc>
      </w:tr>
    </w:tbl>
    <w:p/>
    <w:p>
      <w:pPr>
        <w:spacing w:before="80" w:after="40"/>
      </w:pPr>
      <w:r>
        <w:rPr>
          <w:b/>
          <w:color w:val="1F4E79"/>
        </w:rPr>
        <w:t>Tabla 12. Resumen por probabilidad de mutación.</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2649"/>
            <w:shd w:fill="D9EAF7"/>
          </w:tcPr>
          <w:p>
            <w:pPr>
              <w:jc w:val="center"/>
            </w:pPr>
            <w:r/>
            <w:r>
              <w:rPr>
                <w:b/>
                <w:color w:val="000000"/>
                <w:sz w:val="16"/>
              </w:rPr>
              <w:t>Prob. mutación</w:t>
            </w:r>
          </w:p>
        </w:tc>
        <w:tc>
          <w:tcPr>
            <w:tcW w:type="dxa" w:w="2649"/>
            <w:shd w:fill="D9EAF7"/>
          </w:tcPr>
          <w:p>
            <w:pPr>
              <w:jc w:val="center"/>
            </w:pPr>
            <w:r/>
            <w:r>
              <w:rPr>
                <w:b/>
                <w:color w:val="000000"/>
                <w:sz w:val="16"/>
              </w:rPr>
              <w:t>Distancia promedio</w:t>
            </w:r>
          </w:p>
        </w:tc>
        <w:tc>
          <w:tcPr>
            <w:tcW w:type="dxa" w:w="2649"/>
            <w:shd w:fill="D9EAF7"/>
          </w:tcPr>
          <w:p>
            <w:pPr>
              <w:jc w:val="center"/>
            </w:pPr>
            <w:r/>
            <w:r>
              <w:rPr>
                <w:b/>
                <w:color w:val="000000"/>
                <w:sz w:val="16"/>
              </w:rPr>
              <w:t>Únicos prom. (%)</w:t>
            </w:r>
          </w:p>
        </w:tc>
        <w:tc>
          <w:tcPr>
            <w:tcW w:type="dxa" w:w="2649"/>
            <w:shd w:fill="D9EAF7"/>
          </w:tcPr>
          <w:p>
            <w:pPr>
              <w:jc w:val="center"/>
            </w:pPr>
            <w:r/>
            <w:r>
              <w:rPr>
                <w:b/>
                <w:color w:val="000000"/>
                <w:sz w:val="16"/>
              </w:rPr>
              <w:t>Hamming prom. (%)</w:t>
            </w:r>
          </w:p>
        </w:tc>
      </w:tr>
      <w:tr>
        <w:tc>
          <w:tcPr>
            <w:tcW w:type="dxa" w:w="2649"/>
            <w:vAlign w:val="center"/>
          </w:tcPr>
          <w:p>
            <w:pPr>
              <w:jc w:val="center"/>
            </w:pPr>
            <w:r/>
            <w:r>
              <w:rPr>
                <w:b w:val="0"/>
                <w:sz w:val="16"/>
              </w:rPr>
              <w:t>0.05</w:t>
            </w:r>
          </w:p>
        </w:tc>
        <w:tc>
          <w:tcPr>
            <w:tcW w:type="dxa" w:w="2649"/>
            <w:vAlign w:val="center"/>
          </w:tcPr>
          <w:p>
            <w:pPr>
              <w:jc w:val="center"/>
            </w:pPr>
            <w:r/>
            <w:r>
              <w:rPr>
                <w:b w:val="0"/>
                <w:sz w:val="16"/>
              </w:rPr>
              <w:t>1,473.93</w:t>
            </w:r>
          </w:p>
        </w:tc>
        <w:tc>
          <w:tcPr>
            <w:tcW w:type="dxa" w:w="2649"/>
            <w:vAlign w:val="center"/>
          </w:tcPr>
          <w:p>
            <w:pPr>
              <w:jc w:val="center"/>
            </w:pPr>
            <w:r/>
            <w:r>
              <w:rPr>
                <w:b w:val="0"/>
                <w:sz w:val="16"/>
              </w:rPr>
              <w:t>7.6</w:t>
            </w:r>
          </w:p>
        </w:tc>
        <w:tc>
          <w:tcPr>
            <w:tcW w:type="dxa" w:w="2649"/>
            <w:vAlign w:val="center"/>
          </w:tcPr>
          <w:p>
            <w:pPr>
              <w:jc w:val="center"/>
            </w:pPr>
            <w:r/>
            <w:r>
              <w:rPr>
                <w:b w:val="0"/>
                <w:sz w:val="16"/>
              </w:rPr>
              <w:t>6.0</w:t>
            </w:r>
          </w:p>
        </w:tc>
      </w:tr>
      <w:tr>
        <w:tc>
          <w:tcPr>
            <w:tcW w:type="dxa" w:w="2649"/>
            <w:vAlign w:val="center"/>
          </w:tcPr>
          <w:p>
            <w:pPr>
              <w:jc w:val="center"/>
            </w:pPr>
            <w:r/>
            <w:r>
              <w:rPr>
                <w:b w:val="0"/>
                <w:sz w:val="16"/>
              </w:rPr>
              <w:t>0.20</w:t>
            </w:r>
          </w:p>
        </w:tc>
        <w:tc>
          <w:tcPr>
            <w:tcW w:type="dxa" w:w="2649"/>
            <w:vAlign w:val="center"/>
          </w:tcPr>
          <w:p>
            <w:pPr>
              <w:jc w:val="center"/>
            </w:pPr>
            <w:r/>
            <w:r>
              <w:rPr>
                <w:b w:val="0"/>
                <w:sz w:val="16"/>
              </w:rPr>
              <w:t>1,470.92</w:t>
            </w:r>
          </w:p>
        </w:tc>
        <w:tc>
          <w:tcPr>
            <w:tcW w:type="dxa" w:w="2649"/>
            <w:vAlign w:val="center"/>
          </w:tcPr>
          <w:p>
            <w:pPr>
              <w:jc w:val="center"/>
            </w:pPr>
            <w:r/>
            <w:r>
              <w:rPr>
                <w:b w:val="0"/>
                <w:sz w:val="16"/>
              </w:rPr>
              <w:t>24.2</w:t>
            </w:r>
          </w:p>
        </w:tc>
        <w:tc>
          <w:tcPr>
            <w:tcW w:type="dxa" w:w="2649"/>
            <w:vAlign w:val="center"/>
          </w:tcPr>
          <w:p>
            <w:pPr>
              <w:jc w:val="center"/>
            </w:pPr>
            <w:r/>
            <w:r>
              <w:rPr>
                <w:b w:val="0"/>
                <w:sz w:val="16"/>
              </w:rPr>
              <w:t>13.5</w:t>
            </w:r>
          </w:p>
        </w:tc>
      </w:tr>
    </w:tbl>
    <w:p/>
    <w:p>
      <w:pPr>
        <w:spacing w:before="80" w:after="40"/>
      </w:pPr>
      <w:r>
        <w:rPr>
          <w:b/>
          <w:color w:val="1F4E79"/>
        </w:rPr>
        <w:t>Tabla 13. Resumen por parametrización del crossover.</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2649"/>
            <w:shd w:fill="D9EAF7"/>
          </w:tcPr>
          <w:p>
            <w:pPr>
              <w:jc w:val="center"/>
            </w:pPr>
            <w:r/>
            <w:r>
              <w:rPr>
                <w:b/>
                <w:color w:val="000000"/>
                <w:sz w:val="16"/>
              </w:rPr>
              <w:t>Crossover</w:t>
            </w:r>
          </w:p>
        </w:tc>
        <w:tc>
          <w:tcPr>
            <w:tcW w:type="dxa" w:w="2649"/>
            <w:shd w:fill="D9EAF7"/>
          </w:tcPr>
          <w:p>
            <w:pPr>
              <w:jc w:val="center"/>
            </w:pPr>
            <w:r/>
            <w:r>
              <w:rPr>
                <w:b/>
                <w:color w:val="000000"/>
                <w:sz w:val="16"/>
              </w:rPr>
              <w:t>Pc</w:t>
            </w:r>
          </w:p>
        </w:tc>
        <w:tc>
          <w:tcPr>
            <w:tcW w:type="dxa" w:w="2649"/>
            <w:shd w:fill="D9EAF7"/>
          </w:tcPr>
          <w:p>
            <w:pPr>
              <w:jc w:val="center"/>
            </w:pPr>
            <w:r/>
            <w:r>
              <w:rPr>
                <w:b/>
                <w:color w:val="000000"/>
                <w:sz w:val="16"/>
              </w:rPr>
              <w:t>Distancia promedio</w:t>
            </w:r>
          </w:p>
        </w:tc>
        <w:tc>
          <w:tcPr>
            <w:tcW w:type="dxa" w:w="2649"/>
            <w:shd w:fill="D9EAF7"/>
          </w:tcPr>
          <w:p>
            <w:pPr>
              <w:jc w:val="center"/>
            </w:pPr>
            <w:r/>
            <w:r>
              <w:rPr>
                <w:b/>
                <w:color w:val="000000"/>
                <w:sz w:val="16"/>
              </w:rPr>
              <w:t>Únicos prom. (%)</w:t>
            </w:r>
          </w:p>
        </w:tc>
      </w:tr>
      <w:tr>
        <w:tc>
          <w:tcPr>
            <w:tcW w:type="dxa" w:w="2649"/>
            <w:vAlign w:val="center"/>
          </w:tcPr>
          <w:p>
            <w:pPr>
              <w:jc w:val="center"/>
            </w:pPr>
            <w:r/>
            <w:r>
              <w:rPr>
                <w:b w:val="0"/>
                <w:sz w:val="16"/>
              </w:rPr>
              <w:t>OX</w:t>
            </w:r>
          </w:p>
        </w:tc>
        <w:tc>
          <w:tcPr>
            <w:tcW w:type="dxa" w:w="2649"/>
            <w:vAlign w:val="center"/>
          </w:tcPr>
          <w:p>
            <w:pPr>
              <w:jc w:val="center"/>
            </w:pPr>
            <w:r/>
            <w:r>
              <w:rPr>
                <w:b w:val="0"/>
                <w:sz w:val="16"/>
              </w:rPr>
              <w:t>0.80</w:t>
            </w:r>
          </w:p>
        </w:tc>
        <w:tc>
          <w:tcPr>
            <w:tcW w:type="dxa" w:w="2649"/>
            <w:vAlign w:val="center"/>
          </w:tcPr>
          <w:p>
            <w:pPr>
              <w:jc w:val="center"/>
            </w:pPr>
            <w:r/>
            <w:r>
              <w:rPr>
                <w:b w:val="0"/>
                <w:sz w:val="16"/>
              </w:rPr>
              <w:t>1,473.38</w:t>
            </w:r>
          </w:p>
        </w:tc>
        <w:tc>
          <w:tcPr>
            <w:tcW w:type="dxa" w:w="2649"/>
            <w:vAlign w:val="center"/>
          </w:tcPr>
          <w:p>
            <w:pPr>
              <w:jc w:val="center"/>
            </w:pPr>
            <w:r/>
            <w:r>
              <w:rPr>
                <w:b w:val="0"/>
                <w:sz w:val="16"/>
              </w:rPr>
              <w:t>17.0</w:t>
            </w:r>
          </w:p>
        </w:tc>
      </w:tr>
      <w:tr>
        <w:tc>
          <w:tcPr>
            <w:tcW w:type="dxa" w:w="2649"/>
            <w:vAlign w:val="center"/>
          </w:tcPr>
          <w:p>
            <w:pPr>
              <w:jc w:val="center"/>
            </w:pPr>
            <w:r/>
            <w:r>
              <w:rPr>
                <w:b w:val="0"/>
                <w:sz w:val="16"/>
              </w:rPr>
              <w:t>OX</w:t>
            </w:r>
          </w:p>
        </w:tc>
        <w:tc>
          <w:tcPr>
            <w:tcW w:type="dxa" w:w="2649"/>
            <w:vAlign w:val="center"/>
          </w:tcPr>
          <w:p>
            <w:pPr>
              <w:jc w:val="center"/>
            </w:pPr>
            <w:r/>
            <w:r>
              <w:rPr>
                <w:b w:val="0"/>
                <w:sz w:val="16"/>
              </w:rPr>
              <w:t>0.90</w:t>
            </w:r>
          </w:p>
        </w:tc>
        <w:tc>
          <w:tcPr>
            <w:tcW w:type="dxa" w:w="2649"/>
            <w:vAlign w:val="center"/>
          </w:tcPr>
          <w:p>
            <w:pPr>
              <w:jc w:val="center"/>
            </w:pPr>
            <w:r/>
            <w:r>
              <w:rPr>
                <w:b w:val="0"/>
                <w:sz w:val="16"/>
              </w:rPr>
              <w:t>1,467.41</w:t>
            </w:r>
          </w:p>
        </w:tc>
        <w:tc>
          <w:tcPr>
            <w:tcW w:type="dxa" w:w="2649"/>
            <w:vAlign w:val="center"/>
          </w:tcPr>
          <w:p>
            <w:pPr>
              <w:jc w:val="center"/>
            </w:pPr>
            <w:r/>
            <w:r>
              <w:rPr>
                <w:b w:val="0"/>
                <w:sz w:val="16"/>
              </w:rPr>
              <w:t>15.6</w:t>
            </w:r>
          </w:p>
        </w:tc>
      </w:tr>
      <w:tr>
        <w:tc>
          <w:tcPr>
            <w:tcW w:type="dxa" w:w="2649"/>
            <w:vAlign w:val="center"/>
          </w:tcPr>
          <w:p>
            <w:pPr>
              <w:jc w:val="center"/>
            </w:pPr>
            <w:r/>
            <w:r>
              <w:rPr>
                <w:b w:val="0"/>
                <w:sz w:val="16"/>
              </w:rPr>
              <w:t>PMX</w:t>
            </w:r>
          </w:p>
        </w:tc>
        <w:tc>
          <w:tcPr>
            <w:tcW w:type="dxa" w:w="2649"/>
            <w:vAlign w:val="center"/>
          </w:tcPr>
          <w:p>
            <w:pPr>
              <w:jc w:val="center"/>
            </w:pPr>
            <w:r/>
            <w:r>
              <w:rPr>
                <w:b w:val="0"/>
                <w:sz w:val="16"/>
              </w:rPr>
              <w:t>0.80</w:t>
            </w:r>
          </w:p>
        </w:tc>
        <w:tc>
          <w:tcPr>
            <w:tcW w:type="dxa" w:w="2649"/>
            <w:vAlign w:val="center"/>
          </w:tcPr>
          <w:p>
            <w:pPr>
              <w:jc w:val="center"/>
            </w:pPr>
            <w:r/>
            <w:r>
              <w:rPr>
                <w:b w:val="0"/>
                <w:sz w:val="16"/>
              </w:rPr>
              <w:t>1,475.60</w:t>
            </w:r>
          </w:p>
        </w:tc>
        <w:tc>
          <w:tcPr>
            <w:tcW w:type="dxa" w:w="2649"/>
            <w:vAlign w:val="center"/>
          </w:tcPr>
          <w:p>
            <w:pPr>
              <w:jc w:val="center"/>
            </w:pPr>
            <w:r/>
            <w:r>
              <w:rPr>
                <w:b w:val="0"/>
                <w:sz w:val="16"/>
              </w:rPr>
              <w:t>16.6</w:t>
            </w:r>
          </w:p>
        </w:tc>
      </w:tr>
      <w:tr>
        <w:tc>
          <w:tcPr>
            <w:tcW w:type="dxa" w:w="2649"/>
            <w:vAlign w:val="center"/>
          </w:tcPr>
          <w:p>
            <w:pPr>
              <w:jc w:val="center"/>
            </w:pPr>
            <w:r/>
            <w:r>
              <w:rPr>
                <w:b w:val="0"/>
                <w:sz w:val="16"/>
              </w:rPr>
              <w:t>PMX</w:t>
            </w:r>
          </w:p>
        </w:tc>
        <w:tc>
          <w:tcPr>
            <w:tcW w:type="dxa" w:w="2649"/>
            <w:vAlign w:val="center"/>
          </w:tcPr>
          <w:p>
            <w:pPr>
              <w:jc w:val="center"/>
            </w:pPr>
            <w:r/>
            <w:r>
              <w:rPr>
                <w:b w:val="0"/>
                <w:sz w:val="16"/>
              </w:rPr>
              <w:t>0.90</w:t>
            </w:r>
          </w:p>
        </w:tc>
        <w:tc>
          <w:tcPr>
            <w:tcW w:type="dxa" w:w="2649"/>
            <w:vAlign w:val="center"/>
          </w:tcPr>
          <w:p>
            <w:pPr>
              <w:jc w:val="center"/>
            </w:pPr>
            <w:r/>
            <w:r>
              <w:rPr>
                <w:b w:val="0"/>
                <w:sz w:val="16"/>
              </w:rPr>
              <w:t>1,473.31</w:t>
            </w:r>
          </w:p>
        </w:tc>
        <w:tc>
          <w:tcPr>
            <w:tcW w:type="dxa" w:w="2649"/>
            <w:vAlign w:val="center"/>
          </w:tcPr>
          <w:p>
            <w:pPr>
              <w:jc w:val="center"/>
            </w:pPr>
            <w:r/>
            <w:r>
              <w:rPr>
                <w:b w:val="0"/>
                <w:sz w:val="16"/>
              </w:rPr>
              <w:t>14.5</w:t>
            </w:r>
          </w:p>
        </w:tc>
      </w:tr>
    </w:tbl>
    <w:p/>
    <w:p>
      <w:pPr>
        <w:spacing w:after="120"/>
      </w:pPr>
      <w:r>
        <w:rPr>
          <w:b/>
        </w:rPr>
        <w:t>Análisis del tamaño de población:</w:t>
      </w:r>
      <w:r/>
    </w:p>
    <w:p>
      <w:pPr>
        <w:spacing w:after="120"/>
      </w:pPr>
      <w:r>
        <w:t>Una población mayor tiende a incrementar la exploración porque mantiene más rutas candidatas por generación. Sin embargo, también aumenta el costo computacional. En el experimento, el tamaño poblacional no se interpreta de forma aislada, sino junto con mutación y crossover. Esto es importante para la defensa: una población de 140 puede explorar más, pero si la mutación es baja o el crossover no introduce suficiente variación, la mejora no será necesariamente proporcional.</w:t>
      </w:r>
    </w:p>
    <w:p>
      <w:pPr>
        <w:spacing w:after="120"/>
      </w:pPr>
      <w:r>
        <w:rPr>
          <w:b/>
        </w:rPr>
        <w:t>Análisis del crossover:</w:t>
      </w:r>
      <w:r/>
    </w:p>
    <w:p>
      <w:pPr>
        <w:spacing w:after="120"/>
      </w:pPr>
      <w:r>
        <w:t>OX y PMX son operadores válidos para permutaciones. OX fue elegido en la ejecución principal porque conserva el orden relativo de visita, que es una característica central en el TSP. El experimento incluyó PMX para demostrar que existen alternativas válidas y para comparar su efecto bajo el mismo presupuesto de generaciones. La probabilidad de crossover alta favorece la recombinación de rutas, pero si se usa sin mutación suficiente puede acelerar la homogeneización de la población.</w:t>
      </w:r>
    </w:p>
    <w:p>
      <w:pPr>
        <w:spacing w:after="120"/>
      </w:pPr>
      <w:r>
        <w:rPr>
          <w:b/>
        </w:rPr>
        <w:t>Análisis de la mutación:</w:t>
      </w:r>
      <w:r/>
    </w:p>
    <w:p>
      <w:pPr>
        <w:spacing w:after="120"/>
      </w:pPr>
      <w:r>
        <w:t>La mutación por inversión introduce exploración sin romper la validez de la ruta. Una probabilidad demasiado baja puede causar convergencia prematura porque la población deja de explorar. Una probabilidad demasiado alta puede dificultar la explotación de buenas rutas. En este experimento, 0.20 mostró configuraciones competitivas porque permitió recuperar diversidad en un problema donde el orden de visita es muy sensible.</w:t>
      </w:r>
    </w:p>
    <w:p>
      <w:pPr>
        <w:spacing w:after="120"/>
      </w:pPr>
      <w:r>
        <w:t>Sustentación del literal f): el análisis no se limitó a mencionar parámetros; se probaron configuraciones, se reportaron tablas y se graficó el efecto de población, crossover y mutación. Esto permite defender por qué la configuración base es razonable y cómo podrían ajustarse los parámetros si se detecta estancamiento.</w:t>
      </w:r>
    </w:p>
    <w:p>
      <w:pPr>
        <w:pStyle w:val="Heading1"/>
      </w:pPr>
      <w:r>
        <w:t>Conclusiones técnicas</w:t>
      </w:r>
    </w:p>
    <w:p>
      <w:pPr>
        <w:pStyle w:val="ListNumber"/>
        <w:spacing w:after="40"/>
      </w:pPr>
      <w:r>
        <w:t>La representación por permutación es la más adecuada para el TSP porque cada ruta debe contener todas las ciudades exactamente una vez. Esta representación evita modelar el problema como una cadena binaria, que sería menos natural para rutas ordenadas.</w:t>
      </w:r>
    </w:p>
    <w:p>
      <w:pPr>
        <w:pStyle w:val="ListNumber"/>
        <w:spacing w:after="40"/>
      </w:pPr>
      <w:r>
        <w:t>La validez de las rutas se garantizó en todas las etapas: inicialización mediante permutaciones, crossover OX mediante preservación y completado sin duplicados, y mutación por inversión mediante reordenamiento sin pérdida de genes.</w:t>
      </w:r>
    </w:p>
    <w:p>
      <w:pPr>
        <w:pStyle w:val="ListNumber"/>
        <w:spacing w:after="40"/>
      </w:pPr>
      <w:r>
        <w:t>El AG elitista fue una elección pertinente porque protege las mejores soluciones encontradas. Esto es especialmente útil en el TSP, donde una buena ruta puede perderse por operaciones aleatorias si no existe elitismo.</w:t>
      </w:r>
    </w:p>
    <w:p>
      <w:pPr>
        <w:pStyle w:val="ListNumber"/>
        <w:spacing w:after="40"/>
      </w:pPr>
      <w:r>
        <w:t>OX no compite con el AG elitista; OX es el operador de cruce dentro del AG. La estructura principal es el AG generacional elitista, mientras que OX permite recombinar rutas sin violar la restricción de permutación.</w:t>
      </w:r>
    </w:p>
    <w:p>
      <w:pPr>
        <w:pStyle w:val="ListNumber"/>
        <w:spacing w:after="40"/>
      </w:pPr>
      <w:r>
        <w:t>El fitness definido como inverso de la distancia permitió transformar un problema de minimización en una medición de maximización, lo que facilita la interpretación evolutiva del algoritmo.</w:t>
      </w:r>
    </w:p>
    <w:p>
      <w:pPr>
        <w:pStyle w:val="ListNumber"/>
        <w:spacing w:after="40"/>
      </w:pPr>
      <w:r>
        <w:t>Las gráficas de fitness y distancia evidencian mejora inicial rápida seguida de estabilización, comportamiento típico de algoritmos genéticos en problemas combinatorios.</w:t>
      </w:r>
    </w:p>
    <w:p>
      <w:pPr>
        <w:pStyle w:val="ListNumber"/>
        <w:spacing w:after="40"/>
      </w:pPr>
      <w:r>
        <w:t>La diversidad poblacional disminuyó conforme la población convergió hacia mejores rutas. Esta reducción es normal, pero debe vigilarse porque puede producir convergencia prematura en algunos datasets.</w:t>
      </w:r>
    </w:p>
    <w:p>
      <w:pPr>
        <w:pStyle w:val="ListNumber"/>
        <w:spacing w:after="40"/>
      </w:pPr>
      <w:r>
        <w:t>La comparación contra Nearest Neighbor demuestra que el AG elitista + 2-opt obtuvo mejores distancias en todos los datasets respecto a la heurística simple.</w:t>
      </w:r>
    </w:p>
    <w:p>
      <w:pPr>
        <w:pStyle w:val="ListNumber"/>
        <w:spacing w:after="40"/>
      </w:pPr>
      <w:r>
        <w:t>El uso de 2-opt como refinamiento final fortaleció la calidad de las rutas al corregir segmentos locales ineficientes; por ello, el enfoque puede describirse como AG elitista con mejora local final.</w:t>
      </w:r>
    </w:p>
    <w:p>
      <w:pPr>
        <w:pStyle w:val="ListNumber"/>
        <w:spacing w:after="40"/>
      </w:pPr>
      <w:r>
        <w:t>El análisis de parámetros mostró que la calidad final depende del equilibrio entre exploración y explotación. Población, crossover y mutación deben seleccionarse conjuntamente, no de forma aislada.</w:t>
      </w:r>
    </w:p>
    <w:p>
      <w:pPr>
        <w:pStyle w:val="ListNumber"/>
        <w:spacing w:after="40"/>
      </w:pPr>
      <w:r>
        <w:t>El proyecto cumple los literales a) a f) porque incluye representación válida, operadores justificados, gráficas de fitness, métricas de diversidad, comparación con heurística y experimentación de parámetros con tablas y gráficas.</w:t>
      </w:r>
    </w:p>
    <w:p>
      <w:pPr>
        <w:pStyle w:val="ListNumber"/>
        <w:spacing w:after="40"/>
      </w:pPr>
      <w:r>
        <w:t>Una posible mejora futura sería ejecutar múltiples semillas por configuración para estimar variabilidad estadística, así como comparar con otras heurísticas como inserción más cercana, simulated annealing o colonia de hormigas.</w:t>
      </w:r>
    </w:p>
    <w:p>
      <w:pPr>
        <w:pStyle w:val="Heading1"/>
      </w:pPr>
      <w:r>
        <w:t>Resumen de participación del Grupo 5</w:t>
      </w:r>
    </w:p>
    <w:p>
      <w:pPr>
        <w:spacing w:before="80" w:after="40"/>
      </w:pPr>
      <w:r>
        <w:rPr>
          <w:b/>
          <w:color w:val="1F4E79"/>
        </w:rPr>
        <w:t>Tabla 14. Participación equilibrada de los integrantes del Grupo 5.</w:t>
      </w:r>
    </w:p>
    <w:tbl>
      <w:tblPr>
        <w:tblStyle w:val="TableGrid"/>
        <w:tblW w:type="auto" w:w="0"/>
        <w:jc w:val="center"/>
        <w:tblLook w:firstColumn="1" w:firstRow="1" w:lastColumn="0" w:lastRow="0" w:noHBand="0" w:noVBand="1" w:val="04A0"/>
      </w:tblPr>
      <w:tblGrid>
        <w:gridCol w:w="3532"/>
        <w:gridCol w:w="3532"/>
        <w:gridCol w:w="3532"/>
      </w:tblGrid>
      <w:tr>
        <w:tc>
          <w:tcPr>
            <w:tcW w:type="dxa" w:w="3532"/>
            <w:shd w:fill="D9EAF7"/>
          </w:tcPr>
          <w:p>
            <w:pPr>
              <w:jc w:val="center"/>
            </w:pPr>
            <w:r/>
            <w:r>
              <w:rPr>
                <w:b/>
                <w:color w:val="000000"/>
                <w:sz w:val="15"/>
              </w:rPr>
              <w:t>Integrante</w:t>
            </w:r>
          </w:p>
        </w:tc>
        <w:tc>
          <w:tcPr>
            <w:tcW w:type="dxa" w:w="3532"/>
            <w:shd w:fill="D9EAF7"/>
          </w:tcPr>
          <w:p>
            <w:pPr>
              <w:jc w:val="center"/>
            </w:pPr>
            <w:r/>
            <w:r>
              <w:rPr>
                <w:b/>
                <w:color w:val="000000"/>
                <w:sz w:val="15"/>
              </w:rPr>
              <w:t>Responsabilidad asignada</w:t>
            </w:r>
          </w:p>
        </w:tc>
        <w:tc>
          <w:tcPr>
            <w:tcW w:type="dxa" w:w="3532"/>
            <w:shd w:fill="D9EAF7"/>
          </w:tcPr>
          <w:p>
            <w:pPr>
              <w:jc w:val="center"/>
            </w:pPr>
            <w:r/>
            <w:r>
              <w:rPr>
                <w:b/>
                <w:color w:val="000000"/>
                <w:sz w:val="15"/>
              </w:rPr>
              <w:t>Actividades realizadas</w:t>
            </w:r>
          </w:p>
        </w:tc>
      </w:tr>
      <w:tr>
        <w:tc>
          <w:tcPr>
            <w:tcW w:type="dxa" w:w="3532"/>
            <w:vAlign w:val="center"/>
          </w:tcPr>
          <w:p>
            <w:pPr>
              <w:jc w:val="center"/>
            </w:pPr>
            <w:r/>
            <w:r>
              <w:rPr>
                <w:b w:val="0"/>
                <w:sz w:val="15"/>
              </w:rPr>
              <w:t>Nancy Altamirano</w:t>
            </w:r>
          </w:p>
        </w:tc>
        <w:tc>
          <w:tcPr>
            <w:tcW w:type="dxa" w:w="3532"/>
            <w:vAlign w:val="center"/>
          </w:tcPr>
          <w:p>
            <w:pPr>
              <w:jc w:val="center"/>
            </w:pPr>
            <w:r/>
            <w:r>
              <w:rPr>
                <w:b w:val="0"/>
                <w:sz w:val="15"/>
              </w:rPr>
              <w:t>Preparación de datos, representación y validación</w:t>
            </w:r>
          </w:p>
        </w:tc>
        <w:tc>
          <w:tcPr>
            <w:tcW w:type="dxa" w:w="3532"/>
            <w:vAlign w:val="center"/>
          </w:tcPr>
          <w:p>
            <w:pPr>
              <w:jc w:val="center"/>
            </w:pPr>
            <w:r/>
            <w:r>
              <w:rPr>
                <w:b w:val="0"/>
                <w:sz w:val="15"/>
              </w:rPr>
              <w:t>Organizó los CSV, verificó columnas city, x, y, controló cantidad de ciudades por dataset, apoyó el literal a), validó rutas sin ciudades repetidas ni faltantes y revisó la consistencia de las tablas de validación.</w:t>
            </w:r>
          </w:p>
        </w:tc>
      </w:tr>
      <w:tr>
        <w:tc>
          <w:tcPr>
            <w:tcW w:type="dxa" w:w="3532"/>
            <w:vAlign w:val="center"/>
          </w:tcPr>
          <w:p>
            <w:pPr>
              <w:jc w:val="center"/>
            </w:pPr>
            <w:r/>
            <w:r>
              <w:rPr>
                <w:b w:val="0"/>
                <w:sz w:val="15"/>
              </w:rPr>
              <w:t>Gustavo Berru</w:t>
            </w:r>
          </w:p>
        </w:tc>
        <w:tc>
          <w:tcPr>
            <w:tcW w:type="dxa" w:w="3532"/>
            <w:vAlign w:val="center"/>
          </w:tcPr>
          <w:p>
            <w:pPr>
              <w:jc w:val="center"/>
            </w:pPr>
            <w:r/>
            <w:r>
              <w:rPr>
                <w:b w:val="0"/>
                <w:sz w:val="15"/>
              </w:rPr>
              <w:t>Diseño e implementación del algoritmo genético</w:t>
            </w:r>
          </w:p>
        </w:tc>
        <w:tc>
          <w:tcPr>
            <w:tcW w:type="dxa" w:w="3532"/>
            <w:vAlign w:val="center"/>
          </w:tcPr>
          <w:p>
            <w:pPr>
              <w:jc w:val="center"/>
            </w:pPr>
            <w:r/>
            <w:r>
              <w:rPr>
                <w:b w:val="0"/>
                <w:sz w:val="15"/>
              </w:rPr>
              <w:t>Implementó la estructura del AG generacional elitista, selección por torneo, elitismo, crossover OX, mutación por inversión, validaciones de permutación, registro de histórico por generación y exportación de rutas finales.</w:t>
            </w:r>
          </w:p>
        </w:tc>
      </w:tr>
      <w:tr>
        <w:tc>
          <w:tcPr>
            <w:tcW w:type="dxa" w:w="3532"/>
            <w:vAlign w:val="center"/>
          </w:tcPr>
          <w:p>
            <w:pPr>
              <w:jc w:val="center"/>
            </w:pPr>
            <w:r/>
            <w:r>
              <w:rPr>
                <w:b w:val="0"/>
                <w:sz w:val="15"/>
              </w:rPr>
              <w:t>Raquel Pacheco</w:t>
            </w:r>
          </w:p>
        </w:tc>
        <w:tc>
          <w:tcPr>
            <w:tcW w:type="dxa" w:w="3532"/>
            <w:vAlign w:val="center"/>
          </w:tcPr>
          <w:p>
            <w:pPr>
              <w:jc w:val="center"/>
            </w:pPr>
            <w:r/>
            <w:r>
              <w:rPr>
                <w:b w:val="0"/>
                <w:sz w:val="15"/>
              </w:rPr>
              <w:t>Evaluación de calidad y análisis experimental</w:t>
            </w:r>
          </w:p>
        </w:tc>
        <w:tc>
          <w:tcPr>
            <w:tcW w:type="dxa" w:w="3532"/>
            <w:vAlign w:val="center"/>
          </w:tcPr>
          <w:p>
            <w:pPr>
              <w:jc w:val="center"/>
            </w:pPr>
            <w:r/>
            <w:r>
              <w:rPr>
                <w:b w:val="0"/>
                <w:sz w:val="15"/>
              </w:rPr>
              <w:t>Implementó y revisó la comparación contra Nearest Neighbor, cálculo de fitness final, error relativo, análisis del dataset más grande, experimentos de población, crossover y mutación, y consolidación de resultados cuantitativos.</w:t>
            </w:r>
          </w:p>
        </w:tc>
      </w:tr>
      <w:tr>
        <w:tc>
          <w:tcPr>
            <w:tcW w:type="dxa" w:w="3532"/>
            <w:vAlign w:val="center"/>
          </w:tcPr>
          <w:p>
            <w:pPr>
              <w:jc w:val="center"/>
            </w:pPr>
            <w:r/>
            <w:r>
              <w:rPr>
                <w:b w:val="0"/>
                <w:sz w:val="15"/>
              </w:rPr>
              <w:t>Kevin Viteri</w:t>
            </w:r>
          </w:p>
        </w:tc>
        <w:tc>
          <w:tcPr>
            <w:tcW w:type="dxa" w:w="3532"/>
            <w:vAlign w:val="center"/>
          </w:tcPr>
          <w:p>
            <w:pPr>
              <w:jc w:val="center"/>
            </w:pPr>
            <w:r/>
            <w:r>
              <w:rPr>
                <w:b w:val="0"/>
                <w:sz w:val="15"/>
              </w:rPr>
              <w:t>Análisis gráfico, diversidad y documentación final</w:t>
            </w:r>
          </w:p>
        </w:tc>
        <w:tc>
          <w:tcPr>
            <w:tcW w:type="dxa" w:w="3532"/>
            <w:vAlign w:val="center"/>
          </w:tcPr>
          <w:p>
            <w:pPr>
              <w:jc w:val="center"/>
            </w:pPr>
            <w:r/>
            <w:r>
              <w:rPr>
                <w:b w:val="0"/>
                <w:sz w:val="15"/>
              </w:rPr>
              <w:t>Generó las gráficas de fitness, convergencia, diversidad, comparación y parámetros; analizó estancamiento y convergencia prematura; integró la documentación profesional y revisó ortografía, estructura y sustentación para exposición.</w:t>
            </w:r>
          </w:p>
        </w:tc>
      </w:tr>
    </w:tbl>
    <w:p/>
    <w:p>
      <w:pPr>
        <w:spacing w:after="120"/>
      </w:pPr>
      <w:r>
        <w:t>La distribución se planteó de manera balanceada para que cada integrante participe en una parte técnica del proyecto: datos y representación, algoritmo, evaluación experimental, y análisis/documentación. Esto permite defender el trabajo como un desarrollo grupal integral y no como una división basada en tareas menores.</w:t>
      </w:r>
    </w:p>
    <w:p>
      <w:pPr>
        <w:pStyle w:val="Heading1"/>
      </w:pPr>
      <w:r>
        <w:t>Referencias de apoyo</w:t>
      </w:r>
    </w:p>
    <w:p>
      <w:pPr>
        <w:spacing w:after="60"/>
        <w:ind w:left="283" w:hanging="283"/>
      </w:pPr>
      <w:r>
        <w:t>Croes, G. A. (1958). A method for solving traveling-salesman problems. Operations Research, 6(6), 791-812.</w:t>
      </w:r>
    </w:p>
    <w:p>
      <w:pPr>
        <w:spacing w:after="60"/>
        <w:ind w:left="283" w:hanging="283"/>
      </w:pPr>
      <w:r>
        <w:t>Goldberg, D. E. (1989). Genetic algorithms in search, optimization, and machine learning. Addison-Wesley.</w:t>
      </w:r>
    </w:p>
    <w:p>
      <w:pPr>
        <w:spacing w:after="60"/>
        <w:ind w:left="283" w:hanging="283"/>
      </w:pPr>
      <w:r>
        <w:t>Holland, J. H. (1975). Adaptation in natural and artificial systems. University of Michigan Press.</w:t>
      </w:r>
    </w:p>
    <w:p>
      <w:pPr>
        <w:spacing w:after="60"/>
        <w:ind w:left="283" w:hanging="283"/>
      </w:pPr>
      <w:r>
        <w:t>Reinelt, G. (1994). The traveling salesman: Computational solutions for TSP applications. Springer.</w:t>
      </w:r>
    </w:p>
    <w:p>
      <w:pPr>
        <w:spacing w:after="60"/>
        <w:ind w:left="283" w:hanging="283"/>
      </w:pPr>
      <w:r>
        <w:t>Whitley, D. (1994). A genetic algorithm tutorial. Statistics and Computing, 4, 65-85.</w:t>
      </w:r>
    </w:p>
    <w:sectPr w:rsidR="00FC693F" w:rsidRPr="0006063C" w:rsidSect="00034616">
      <w:footerReference w:type="default" r:id="rId9"/>
      <w:pgSz w:w="12240" w:h="15840"/>
      <w:pgMar w:top="822" w:right="822" w:bottom="822"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Grupo 5 - Resolución del TSP mediante Algoritmos Genéticos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