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color w:val="595959"/>
          <w:sz w:val="24"/>
        </w:rPr>
        <w:t>Full Proposal</w:t>
      </w:r>
    </w:p>
    <w:p>
      <w:pPr>
        <w:pStyle w:val="Title"/>
        <w:spacing w:before="0" w:after="200" w:line="252" w:lineRule="auto"/>
        <w:jc w:val="center"/>
      </w:pPr>
      <w:r>
        <w:t>Moralizing Machines Online:</w:t>
        <w:br/>
        <w:t>Anthropomorphic Framing and Moral Evaluation of AI in Social Media Discourse</w:t>
      </w:r>
    </w:p>
    <w:p>
      <w:pPr>
        <w:pStyle w:val="Subtitle"/>
        <w:spacing w:before="0" w:after="360" w:line="276" w:lineRule="auto"/>
        <w:jc w:val="center"/>
      </w:pPr>
      <w:r>
        <w:t>A theory-driven computational social science proposal integrating anthropomorphism, mind perception, uncanny valley, multi-dimensional trust, and human-AI fairness research</w:t>
      </w:r>
    </w:p>
    <w:tbl>
      <w:tblPr>
        <w:tblW w:type="auto" w:w="0"/>
        <w:jc w:val="center"/>
        <w:tblLayout w:type="fixed"/>
        <w:tblLook w:firstColumn="1" w:firstRow="1" w:lastColumn="0" w:lastRow="0" w:noHBand="0" w:noVBand="1" w:val="04A0"/>
      </w:tblPr>
      <w:tblGrid>
        <w:gridCol w:w="4824"/>
        <w:gridCol w:w="4824"/>
      </w:tblGrid>
      <w:tr>
        <w:tc>
          <w:tcPr>
            <w:tcW w:type="dxa" w:w="2448"/>
            <w:tcMar>
              <w:top w:w="120" w:type="dxa"/>
              <w:start w:w="120" w:type="dxa"/>
              <w:bottom w:w="120" w:type="dxa"/>
              <w:end w:w="120" w:type="dxa"/>
            </w:tcMar>
            <w:vAlign w:val="center"/>
            <w:shd w:fill="EAF1FB"/>
          </w:tcPr>
          <w:p>
            <w:pPr>
              <w:spacing w:before="0" w:after="0" w:line="264" w:lineRule="auto"/>
            </w:pPr>
            <w:r>
              <w:rPr>
                <w:b/>
                <w:color w:val="1F4E79"/>
              </w:rPr>
              <w:t>Prepared for</w:t>
            </w:r>
          </w:p>
        </w:tc>
        <w:tc>
          <w:tcPr>
            <w:tcW w:type="dxa" w:w="6912"/>
            <w:tcMar>
              <w:top w:w="120" w:type="dxa"/>
              <w:start w:w="120" w:type="dxa"/>
              <w:bottom w:w="120" w:type="dxa"/>
              <w:end w:w="120" w:type="dxa"/>
            </w:tcMar>
            <w:vAlign w:val="center"/>
            <w:shd w:fill="F9FBFD"/>
          </w:tcPr>
          <w:p>
            <w:pPr>
              <w:spacing w:before="0" w:after="0" w:line="264" w:lineRule="auto"/>
            </w:pPr>
            <w:r>
              <w:t>Debanjan Borthakur</w:t>
            </w:r>
          </w:p>
        </w:tc>
      </w:tr>
      <w:tr>
        <w:tc>
          <w:tcPr>
            <w:tcW w:type="dxa" w:w="2448"/>
            <w:tcMar>
              <w:top w:w="120" w:type="dxa"/>
              <w:start w:w="120" w:type="dxa"/>
              <w:bottom w:w="120" w:type="dxa"/>
              <w:end w:w="120" w:type="dxa"/>
            </w:tcMar>
            <w:vAlign w:val="center"/>
            <w:shd w:fill="EAF1FB"/>
          </w:tcPr>
          <w:p>
            <w:pPr>
              <w:spacing w:before="0" w:after="0" w:line="264" w:lineRule="auto"/>
            </w:pPr>
            <w:r>
              <w:rPr>
                <w:b/>
                <w:color w:val="1F4E79"/>
              </w:rPr>
              <w:t>Primary focus</w:t>
            </w:r>
          </w:p>
        </w:tc>
        <w:tc>
          <w:tcPr>
            <w:tcW w:type="dxa" w:w="6912"/>
            <w:tcMar>
              <w:top w:w="120" w:type="dxa"/>
              <w:start w:w="120" w:type="dxa"/>
              <w:bottom w:w="120" w:type="dxa"/>
              <w:end w:w="120" w:type="dxa"/>
            </w:tcMar>
            <w:vAlign w:val="center"/>
            <w:shd w:fill="F9FBFD"/>
          </w:tcPr>
          <w:p>
            <w:pPr>
              <w:spacing w:before="0" w:after="0" w:line="264" w:lineRule="auto"/>
            </w:pPr>
            <w:r>
              <w:t>Public social-media discourse about AI, chatbots, companions, and algorithmic agents</w:t>
            </w:r>
          </w:p>
        </w:tc>
      </w:tr>
      <w:tr>
        <w:tc>
          <w:tcPr>
            <w:tcW w:type="dxa" w:w="2448"/>
            <w:tcMar>
              <w:top w:w="120" w:type="dxa"/>
              <w:start w:w="120" w:type="dxa"/>
              <w:bottom w:w="120" w:type="dxa"/>
              <w:end w:w="120" w:type="dxa"/>
            </w:tcMar>
            <w:vAlign w:val="center"/>
            <w:shd w:fill="EAF1FB"/>
          </w:tcPr>
          <w:p>
            <w:pPr>
              <w:spacing w:before="0" w:after="0" w:line="264" w:lineRule="auto"/>
            </w:pPr>
            <w:r>
              <w:rPr>
                <w:b/>
                <w:color w:val="1F4E79"/>
              </w:rPr>
              <w:t>Format</w:t>
            </w:r>
          </w:p>
        </w:tc>
        <w:tc>
          <w:tcPr>
            <w:tcW w:type="dxa" w:w="6912"/>
            <w:tcMar>
              <w:top w:w="120" w:type="dxa"/>
              <w:start w:w="120" w:type="dxa"/>
              <w:bottom w:w="120" w:type="dxa"/>
              <w:end w:w="120" w:type="dxa"/>
            </w:tcMar>
            <w:vAlign w:val="center"/>
            <w:shd w:fill="F9FBFD"/>
          </w:tcPr>
          <w:p>
            <w:pPr>
              <w:spacing w:before="0" w:after="0" w:line="264" w:lineRule="auto"/>
            </w:pPr>
            <w:r>
              <w:t>Journal-style proposal using public text data rather than original participant data</w:t>
            </w:r>
          </w:p>
        </w:tc>
      </w:tr>
    </w:tbl>
    <w:p/>
    <w:p>
      <w:pPr>
        <w:spacing w:before="0" w:after="80" w:line="276" w:lineRule="auto"/>
        <w:jc w:val="center"/>
      </w:pPr>
      <w:r>
        <w:rPr>
          <w:b/>
          <w:color w:val="1F4E79"/>
          <w:sz w:val="22"/>
        </w:rPr>
        <w:t>Core pitch</w:t>
      </w:r>
    </w:p>
    <w:p>
      <w:pPr>
        <w:spacing w:before="0" w:after="160" w:line="288" w:lineRule="auto"/>
        <w:jc w:val="center"/>
      </w:pPr>
      <w:r>
        <w:rPr>
          <w:i/>
        </w:rPr>
        <w:t>This project asks how ordinary people talk about AI as if it has a mind, a moral character, or a social self - and whether those forms of anthropomorphism predict praise, blame, disgust, trust, or unease in public discourse.</w:t>
      </w:r>
    </w:p>
    <w:p>
      <w:r>
        <w:br w:type="page"/>
      </w:r>
    </w:p>
    <w:p>
      <w:pPr>
        <w:pStyle w:val="Heading1"/>
      </w:pPr>
      <w:r>
        <w:t>1. Project Overview</w:t>
      </w:r>
    </w:p>
    <w:p>
      <w:pPr>
        <w:spacing w:before="0" w:after="120" w:line="276" w:lineRule="auto"/>
      </w:pPr>
      <w:r>
        <w:t>The proposed paper will examine how social-media users morally evaluate AI and how often they describe AI in anthropomorphic terms such as understanding, caring, wanting, lying, manipulating, helping, or deserving. Instead of treating social-media discourse as only a sentiment problem, the project reframes online text as a psychologically rich record of mind attribution, moral judgment, and social expectation toward artificial agents.</w:t>
      </w:r>
    </w:p>
    <w:p>
      <w:pPr>
        <w:spacing w:before="0" w:after="120" w:line="276" w:lineRule="auto"/>
      </w:pPr>
      <w:r>
        <w:t>The study is designed as a computational social science paper using publicly available social-media text, most plausibly from Reddit as the primary source and optionally YouTube as a secondary validation source. The proposal does not require original participant data. Its contribution comes from a theoretically grounded annotation scheme, scalable text analysis, and a tight bridge between social psychology and machine learning.</w:t>
      </w:r>
    </w:p>
    <w:p>
      <w:pPr>
        <w:spacing w:before="0" w:after="120" w:line="276" w:lineRule="auto"/>
      </w:pPr>
      <w:r>
        <w:t>The central claim is that people do not merely evaluate AI as a tool. They often evaluate it as a quasi-social actor. When they do so, moral language should become more intense, more human-like, and more patterned by concerns about mind, agency, experience, responsibility, warmth, threat, and unease.</w:t>
      </w:r>
    </w:p>
    <w:p>
      <w:pPr>
        <w:pStyle w:val="Heading1"/>
      </w:pPr>
      <w:r>
        <w:t>2. Why this project is worth doing</w:t>
      </w:r>
    </w:p>
    <w:p>
      <w:pPr>
        <w:spacing w:before="0" w:after="120" w:line="276" w:lineRule="auto"/>
      </w:pPr>
      <w:r>
        <w:t>There is now abundant public discourse about ChatGPT, AI companions, recommendation systems, autonomous agents, and algorithmic decision-makers. Yet much of the existing computational work on social-media text remains limited to generic sentiment, toxicity, or topic analysis. That misses the deeper question: when do people treat AI as a mind-bearing entity, and what kinds of moral reactions follow from that move?</w:t>
      </w:r>
    </w:p>
    <w:p>
      <w:pPr>
        <w:spacing w:before="0" w:after="120" w:line="276" w:lineRule="auto"/>
      </w:pPr>
      <w:r>
        <w:t>This proposal is well suited to your research profile because it naturally connects anthropomorphism, trust, fairness, moral evaluation, and human-AI interaction. It also extends your existing work from controlled experimental contexts into naturally occurring public discourse. Rather than abandoning your theoretical strengths, it gives them a new data source.</w:t>
      </w:r>
    </w:p>
    <w:p>
      <w:pPr>
        <w:spacing w:before="0" w:after="120" w:line="276" w:lineRule="auto"/>
      </w:pPr>
      <w:r>
        <w:t>The paper can also speak to design and governance. If anthropomorphic framing systematically predicts moral outrage, trust, blame, or discomfort, then public reactions to AI are not driven only by what systems do. They are also driven by how people construe those systems as social beings.</w:t>
      </w:r>
    </w:p>
    <w:p>
      <w:pPr>
        <w:pStyle w:val="Heading1"/>
      </w:pPr>
      <w:r>
        <w:t>3. Theoretical backbone</w:t>
      </w:r>
    </w:p>
    <w:p>
      <w:pPr>
        <w:spacing w:before="0" w:after="120" w:line="276" w:lineRule="auto"/>
      </w:pPr>
      <w:r>
        <w:t>This proposal should be framed as a theory-rich paper rather than a generic NLP exercise. The literature below gives the project conceptual depth and helps justify both the coding scheme and the hypotheses.</w:t>
      </w:r>
    </w:p>
    <w:p>
      <w:pPr>
        <w:pStyle w:val="Heading2"/>
      </w:pPr>
      <w:r>
        <w:t>3.1 Anthropomorphism</w:t>
      </w:r>
    </w:p>
    <w:p>
      <w:pPr>
        <w:spacing w:before="0" w:after="120" w:line="276" w:lineRule="auto"/>
      </w:pPr>
      <w:r>
        <w:t>Epley, Waytz, and Cacioppo's three-factor theory treats anthropomorphism as the attribution of human-like characteristics to nonhuman agents, shaped by accessible anthropocentric knowledge, effectance motivation, and sociality motivation. In AI contexts, this framework helps explain why people talk about systems as though they know, care, intend, deceive, or relate. Waytz, Cacioppo, and Epley further showed that stable individual differences in anthropomorphism predict moral concern, trust, and responsibility attributed to nonhuman agents.</w:t>
      </w:r>
    </w:p>
    <w:p>
      <w:pPr>
        <w:pStyle w:val="Heading2"/>
      </w:pPr>
      <w:r>
        <w:t>3.2 Mind perception</w:t>
      </w:r>
    </w:p>
    <w:p>
      <w:pPr>
        <w:spacing w:before="0" w:after="120" w:line="276" w:lineRule="auto"/>
      </w:pPr>
      <w:r>
        <w:t>Gray, Gray, and Wegner's mind perception framework is especially important here. Their account distinguishes agency, which concerns planning, intention, self-control, and action, from experience, which concerns feeling, suffering, pleasure, fear, and subjective life. This distinction maps cleanly onto AI discourse. Some posts present AI as agentic but not experiential; others attribute both agency and experience, as when users say an AI is lonely, caring, manipulative, hurt, or conscious. The same framework also helps explain why some texts cast AI as a moral agent to be blamed, whereas others frame AI as a moral patient deserving rights or protection.</w:t>
      </w:r>
    </w:p>
    <w:p>
      <w:pPr>
        <w:pStyle w:val="Heading2"/>
      </w:pPr>
      <w:r>
        <w:t>3.3 Uncanny valley and the moral uncanny valley</w:t>
      </w:r>
    </w:p>
    <w:p>
      <w:pPr>
        <w:spacing w:before="0" w:after="120" w:line="276" w:lineRule="auto"/>
      </w:pPr>
      <w:r>
        <w:t>The classical uncanny valley idea predicts that highly human-like agents can evoke discomfort when they are near-human but not fully human. Recent work has extended this logic into moral judgment. Laakasuo and colleagues showed that robot appearance can shape how its moral decisions are judged, and more recent work has argued for a broader moral uncanny valley in which near-human but imperfectly human-like moral behavior triggers unease. This project can test whether something analogous appears in discourse: does stronger anthropomorphism sometimes increase praise and trust, but sometimes increase creepiness, suspicion, disgust, or moral condemnation?</w:t>
      </w:r>
    </w:p>
    <w:p>
      <w:pPr>
        <w:pStyle w:val="Heading2"/>
      </w:pPr>
      <w:r>
        <w:t>3.4 Multi-Dimensional Trust in human-AI evaluation</w:t>
      </w:r>
    </w:p>
    <w:p>
      <w:pPr>
        <w:spacing w:before="0" w:after="120" w:line="276" w:lineRule="auto"/>
      </w:pPr>
      <w:r>
        <w:t>Trust should be treated as a central interpretive outcome in this project rather than merely a secondary sentiment variable. The Multi-Dimensional Measure of Trust (MDMT) conceptualizes trust along four dimensions: Reliable, Capable, Ethical, and Sincere, which in turn form two broader domains: Capacity Trust (Reliable, Capable) and Moral Trust (Ethical, Sincere). This framework is especially well suited to AI discourse because public reactions to artificial agents often separate questions of performance from questions of character. People may describe an AI as intelligent, accurate, and useful while still doubting whether it is honest, principled, or socially trustworthy. Using MDMT as a theoretical lens also helps explain why anthropomorphism does not always increase favorable reactions. Human-like framing may strengthen perceived sincerity, warmth, or ethical concern in some contexts, but in other contexts it may heighten suspicion, perceived manipulation, or accusations of moral inauthenticity. In this sense, anthropomorphic discourse may shift not only how much people trust AI, but what kind of trust is at stake.</w:t>
      </w:r>
    </w:p>
    <w:p>
      <w:pPr>
        <w:pStyle w:val="Heading2"/>
      </w:pPr>
      <w:r>
        <w:t>3.5 Aversion to machine moral decision-making</w:t>
      </w:r>
    </w:p>
    <w:p>
      <w:pPr>
        <w:spacing w:before="0" w:after="120" w:line="276" w:lineRule="auto"/>
      </w:pPr>
      <w:r>
        <w:t>Bigman and Gray showed that people are averse to machines making moral decisions, in part because machines are perceived as lacking a complete mind. That insight sits at the heart of the proposed study. Social-media debates about AI frequently revolve around whether AI should decide, advise, care, punish, diagnose, govern, moderate, or replace human judgment. This proposal can examine how mind attribution and anthropomorphic framing intensify or dampen that aversion in real public discourse.</w:t>
      </w:r>
    </w:p>
    <w:p>
      <w:pPr>
        <w:pStyle w:val="Heading2"/>
      </w:pPr>
      <w:r>
        <w:t>3.6 Human-AI moral asymmetry and moral evaluation</w:t>
      </w:r>
    </w:p>
    <w:p>
      <w:pPr>
        <w:spacing w:before="0" w:after="120" w:line="276" w:lineRule="auto"/>
      </w:pPr>
      <w:r>
        <w:t>Recent work on moral judgment asymmetries between human and AI agents shows that people often evaluate AI decisions differently even when outcomes are matched. Some of this asymmetry appears in trolley-like dilemmas and in morally weighty domains such as euthanasia or responsibility for harmful outcomes. This literature can support the argument that moral evaluation of AI is not reducible to outcome-based reasoning; it is filtered through expectations about agency, experience, humanness, and legitimacy.</w:t>
      </w:r>
    </w:p>
    <w:p>
      <w:pPr>
        <w:pStyle w:val="Heading2"/>
      </w:pPr>
      <w:r>
        <w:t>3.7 Your own work as a bridge</w:t>
      </w:r>
    </w:p>
    <w:p>
      <w:pPr>
        <w:spacing w:before="0" w:after="120" w:line="276" w:lineRule="auto"/>
      </w:pPr>
      <w:r>
        <w:t>Your own human-AI ultimatum game and fairness work provides an unusually strong bridge into this project. In your research, people do not respond to AI only as cold utility maximizers. Social connection, affect, trust, and fairness norms matter, and behavioral strategies differ across human-human versus human-AI contexts. Your Scientific Reports work on inequity aversion toward AI counterparts and your ML-based study of proposer strategies can be used to motivate a central extension: online discourse may reveal the same underlying psychological tensions that controlled experiments reveal in economic games, namely whether AI is construed as a socially embedded partner, a morally limited tool, or an unsettling intermediate case.</w:t>
      </w:r>
    </w:p>
    <w:p>
      <w:pPr>
        <w:pStyle w:val="Heading1"/>
      </w:pPr>
      <w:r>
        <w:t>4. Additional theories worth adding</w:t>
      </w:r>
    </w:p>
    <w:p>
      <w:pPr>
        <w:spacing w:before="0" w:after="120" w:line="276" w:lineRule="auto"/>
      </w:pPr>
      <w:r>
        <w:t>This section is best handled as a light extension rather than the main spine of the paper.</w:t>
      </w:r>
    </w:p>
    <w:p>
      <w:pPr>
        <w:spacing w:before="0" w:after="120" w:line="276" w:lineRule="auto"/>
      </w:pPr>
      <w:r>
        <w:rPr>
          <w:b/>
          <w:color w:val="1F4E79"/>
        </w:rPr>
        <w:t xml:space="preserve">Computers as Social Actors / the media equation. </w:t>
      </w:r>
      <w:r>
        <w:t>This line of work helps justify why people apply social heuristics to artificial systems even when they know those systems are not human.</w:t>
      </w:r>
    </w:p>
    <w:p>
      <w:pPr>
        <w:spacing w:before="0" w:after="120" w:line="276" w:lineRule="auto"/>
      </w:pPr>
      <w:r>
        <w:rPr>
          <w:b/>
          <w:color w:val="1F4E79"/>
        </w:rPr>
        <w:t xml:space="preserve">Algorithm aversion and algorithm appreciation. </w:t>
      </w:r>
      <w:r>
        <w:t>These traditions can help interpret when moral judgment takes the form of distrust, rejection, or deference toward AI advice and decision-making.</w:t>
      </w:r>
    </w:p>
    <w:p>
      <w:pPr>
        <w:spacing w:before="0" w:after="120" w:line="276" w:lineRule="auto"/>
      </w:pPr>
      <w:r>
        <w:rPr>
          <w:b/>
          <w:color w:val="1F4E79"/>
        </w:rPr>
        <w:t xml:space="preserve">Responsibility and blame attribution. </w:t>
      </w:r>
      <w:r>
        <w:t>This literature helps explain who or what gets blamed when AI produces harm and can be tied directly to agency language in online text.</w:t>
      </w:r>
    </w:p>
    <w:p>
      <w:pPr>
        <w:spacing w:before="0" w:after="120" w:line="276" w:lineRule="auto"/>
      </w:pPr>
      <w:r>
        <w:rPr>
          <w:b/>
          <w:color w:val="1F4E79"/>
        </w:rPr>
        <w:t xml:space="preserve">Social presence and parasociality. </w:t>
      </w:r>
      <w:r>
        <w:t>These ideas are particularly useful if you include companion-AI communities such as Replika or CharacterAI, where users often treat systems as relational partners.</w:t>
      </w:r>
    </w:p>
    <w:p>
      <w:pPr>
        <w:spacing w:before="0" w:after="120" w:line="276" w:lineRule="auto"/>
      </w:pPr>
      <w:r>
        <w:rPr>
          <w:b/>
          <w:color w:val="1F4E79"/>
        </w:rPr>
        <w:t xml:space="preserve">Moral typecasting or moral patiency/agency distinctions. </w:t>
      </w:r>
      <w:r>
        <w:t>This can sharpen the difference between texts that treat AI as responsible for wrongdoing and texts that treat AI as something that can be harmed, exploited, or deserving of rights.</w:t>
      </w:r>
    </w:p>
    <w:p>
      <w:pPr>
        <w:pStyle w:val="Heading1"/>
      </w:pPr>
      <w:r>
        <w:t>5. Proposed research questions</w:t>
      </w:r>
    </w:p>
    <w:p>
      <w:pPr>
        <w:spacing w:before="0" w:after="80" w:line="276" w:lineRule="auto"/>
        <w:ind w:left="360" w:hanging="259"/>
      </w:pPr>
      <w:r>
        <w:t>RQ1. How frequently do social-media users anthropomorphize AI, and what forms does that anthropomorphism take?</w:t>
      </w:r>
    </w:p>
    <w:p>
      <w:pPr>
        <w:spacing w:before="0" w:after="80" w:line="276" w:lineRule="auto"/>
        <w:ind w:left="360" w:hanging="259"/>
      </w:pPr>
      <w:r>
        <w:t>RQ2. What kinds of moral evaluation dominate AI discourse online: praise, blame, distrust, disgust, concern, ambivalence, or moral protection?</w:t>
      </w:r>
    </w:p>
    <w:p>
      <w:pPr>
        <w:spacing w:before="0" w:after="80" w:line="276" w:lineRule="auto"/>
        <w:ind w:left="360" w:hanging="259"/>
      </w:pPr>
      <w:r>
        <w:t>RQ3. Are stronger anthropomorphic framings associated with stronger moral evaluation?</w:t>
      </w:r>
    </w:p>
    <w:p>
      <w:pPr>
        <w:spacing w:before="0" w:after="80" w:line="276" w:lineRule="auto"/>
        <w:ind w:left="360" w:hanging="259"/>
      </w:pPr>
      <w:r>
        <w:t>RQ4. Do different discourse environments - for example general AI forums versus companion-AI communities - differ in the degree and kind of anthropomorphism they express?</w:t>
      </w:r>
    </w:p>
    <w:p>
      <w:pPr>
        <w:spacing w:before="0" w:after="80" w:line="276" w:lineRule="auto"/>
        <w:ind w:left="360" w:hanging="259"/>
      </w:pPr>
      <w:r>
        <w:t>RQ5. Can psychologically meaningful categories such as agency, experience, MDMT-relevant trust cues, and uncanny-valley markers be detected reliably with computational methods?</w:t>
      </w:r>
    </w:p>
    <w:p>
      <w:pPr>
        <w:pStyle w:val="Heading1"/>
      </w:pPr>
      <w:r>
        <w:t>6. Hypotheses</w:t>
      </w:r>
    </w:p>
    <w:p>
      <w:pPr>
        <w:spacing w:before="0" w:after="80" w:line="276" w:lineRule="auto"/>
        <w:ind w:left="360" w:hanging="259"/>
      </w:pPr>
      <w:r>
        <w:rPr>
          <w:b/>
          <w:color w:val="1F4E79"/>
        </w:rPr>
        <w:t xml:space="preserve">H1. </w:t>
      </w:r>
      <w:r>
        <w:t>Texts that contain stronger anthropomorphic framing will show stronger moral evaluation than texts that describe AI in purely instrumental terms.</w:t>
      </w:r>
    </w:p>
    <w:p>
      <w:pPr>
        <w:spacing w:before="0" w:after="80" w:line="276" w:lineRule="auto"/>
        <w:ind w:left="360" w:hanging="259"/>
      </w:pPr>
      <w:r>
        <w:rPr>
          <w:b/>
          <w:color w:val="1F4E79"/>
        </w:rPr>
        <w:t xml:space="preserve">H2. </w:t>
      </w:r>
      <w:r>
        <w:t>Agency-based anthropomorphism, such as wanting, choosing, lying, manipulating, or deciding, will be especially associated with blame, responsibility, and distrust.</w:t>
      </w:r>
    </w:p>
    <w:p>
      <w:pPr>
        <w:spacing w:before="0" w:after="80" w:line="276" w:lineRule="auto"/>
        <w:ind w:left="360" w:hanging="259"/>
      </w:pPr>
      <w:r>
        <w:rPr>
          <w:b/>
          <w:color w:val="1F4E79"/>
        </w:rPr>
        <w:t xml:space="preserve">H3. </w:t>
      </w:r>
      <w:r>
        <w:t>Experience-based anthropomorphism, such as feeling, caring, suffering, being lonely, or being hurt, will be especially associated with sympathy, protectiveness, or relational attachment.</w:t>
      </w:r>
    </w:p>
    <w:p>
      <w:pPr>
        <w:spacing w:before="0" w:after="80" w:line="276" w:lineRule="auto"/>
        <w:ind w:left="360" w:hanging="259"/>
      </w:pPr>
      <w:r>
        <w:rPr>
          <w:b/>
          <w:color w:val="1F4E79"/>
        </w:rPr>
        <w:t xml:space="preserve">H4. </w:t>
      </w:r>
      <w:r>
        <w:t>Companion-AI and relationship-oriented communities will display more experience language, social connection cues, and moral-patient framing than general AI discussion communities.</w:t>
      </w:r>
    </w:p>
    <w:p>
      <w:pPr>
        <w:spacing w:before="0" w:after="80" w:line="276" w:lineRule="auto"/>
        <w:ind w:left="360" w:hanging="259"/>
      </w:pPr>
      <w:r>
        <w:rPr>
          <w:b/>
          <w:color w:val="1F4E79"/>
        </w:rPr>
        <w:t xml:space="preserve">H5. </w:t>
      </w:r>
      <w:r>
        <w:t>Strong but unstable anthropomorphism - especially language that treats AI as almost human yet eerie, deceptive, fake-human, or unsettling - will co-occur with uncanny-valley-like responses such as creepiness, aversion, or moral alarm.</w:t>
      </w:r>
    </w:p>
    <w:p>
      <w:pPr>
        <w:spacing w:before="0" w:after="80" w:line="276" w:lineRule="auto"/>
        <w:ind w:left="360" w:hanging="259"/>
      </w:pPr>
      <w:r>
        <w:t>H6. MDMT-relevant trust cues will explain meaningful variance in moral evaluation beyond generic positive or negative sentiment, with capacity trust cues aligning more with usefulness and competence judgments and moral trust cues aligning more with praise, blame, concern, and condemnation.</w:t>
      </w:r>
    </w:p>
    <w:p>
      <w:pPr>
        <w:pStyle w:val="Heading1"/>
      </w:pPr>
      <w:r>
        <w:t>7. Data plan</w:t>
      </w:r>
    </w:p>
    <w:p>
      <w:pPr>
        <w:spacing w:before="0" w:after="120" w:line="276" w:lineRule="auto"/>
      </w:pPr>
      <w:r>
        <w:rPr>
          <w:b/>
          <w:color w:val="1F4E79"/>
        </w:rPr>
        <w:t xml:space="preserve">Primary source. </w:t>
      </w:r>
      <w:r>
        <w:t>Reddit should be the main corpus because it offers discussion-rich, publicly accessible text and distinct communities where AI is discussed as a tool, partner, threat, adviser, or companion.</w:t>
      </w:r>
    </w:p>
    <w:p>
      <w:pPr>
        <w:spacing w:before="0" w:after="120" w:line="276" w:lineRule="auto"/>
      </w:pPr>
      <w:r>
        <w:rPr>
          <w:b/>
          <w:color w:val="1F4E79"/>
        </w:rPr>
        <w:t xml:space="preserve">Suggested communities. </w:t>
      </w:r>
      <w:r>
        <w:t>A balanced sample could include r/ChatGPT, r/OpenAI, r/ArtificialInteligence, r/singularity, r/Replika, r/CharacterAI, r/LocalLLaMA, and one broader forum such as r/technology.</w:t>
      </w:r>
    </w:p>
    <w:p>
      <w:pPr>
        <w:spacing w:before="0" w:after="120" w:line="276" w:lineRule="auto"/>
      </w:pPr>
      <w:r>
        <w:rPr>
          <w:b/>
          <w:color w:val="1F4E79"/>
        </w:rPr>
        <w:t xml:space="preserve">Optional validation source. </w:t>
      </w:r>
      <w:r>
        <w:t>YouTube comments can be used as an external validation corpus drawn from videos about AI companions, AI regulation, AI consciousness, or major model launches.</w:t>
      </w:r>
    </w:p>
    <w:p>
      <w:pPr>
        <w:spacing w:before="0" w:after="120" w:line="276" w:lineRule="auto"/>
      </w:pPr>
      <w:r>
        <w:rPr>
          <w:b/>
          <w:color w:val="1F4E79"/>
        </w:rPr>
        <w:t xml:space="preserve">Sampling strategy. </w:t>
      </w:r>
      <w:r>
        <w:t>Collect posts and comments that mention terms such as AI, chatbot, ChatGPT, Claude, Gemini, AI companion, AI friend, conscious AI, AI rights, manipulative AI, caring AI, deceptive AI, AI therapist, and related phrases. A one-year or two-year window is sufficient for a first paper.</w:t>
      </w:r>
    </w:p>
    <w:p>
      <w:pPr>
        <w:spacing w:before="0" w:after="120" w:line="276" w:lineRule="auto"/>
      </w:pPr>
      <w:r>
        <w:rPr>
          <w:b/>
          <w:color w:val="1F4E79"/>
        </w:rPr>
        <w:t xml:space="preserve">Target size. </w:t>
      </w:r>
      <w:r>
        <w:t>A realistic corpus would contain 20,000 to 100,000 comments or posts, with a manually annotated subset of roughly 2,000 to 3,000 items.</w:t>
      </w:r>
    </w:p>
    <w:p>
      <w:pPr>
        <w:pStyle w:val="Heading1"/>
      </w:pPr>
      <w:r>
        <w:t>8. Annotation framework</w:t>
      </w:r>
    </w:p>
    <w:p>
      <w:pPr>
        <w:spacing w:before="0" w:after="120" w:line="276" w:lineRule="auto"/>
      </w:pPr>
      <w:r>
        <w:t>The paper should stand out by introducing a psychologically informed coding scheme rather than relying only on off-the-shelf sentiment labels.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944"/>
            <w:shd w:fill="D9EAF7"/>
            <w:tcMar>
              <w:top w:w="120" w:type="dxa"/>
              <w:start w:w="100" w:type="dxa"/>
              <w:bottom w:w="120" w:type="dxa"/>
              <w:end w:w="100" w:type="dxa"/>
            </w:tcMar>
            <w:vAlign w:val="center"/>
          </w:tcPr>
          <w:p>
            <w:pPr>
              <w:spacing w:before="0" w:after="0" w:line="252" w:lineRule="auto"/>
              <w:jc w:val="center"/>
            </w:pPr>
            <w:r>
              <w:rPr>
                <w:b/>
              </w:rPr>
              <w:t>Dimension</w:t>
            </w:r>
          </w:p>
        </w:tc>
        <w:tc>
          <w:tcPr>
            <w:tcW w:type="dxa" w:w="2808"/>
            <w:shd w:fill="D9EAF7"/>
            <w:tcMar>
              <w:top w:w="120" w:type="dxa"/>
              <w:start w:w="100" w:type="dxa"/>
              <w:bottom w:w="120" w:type="dxa"/>
              <w:end w:w="100" w:type="dxa"/>
            </w:tcMar>
            <w:vAlign w:val="center"/>
          </w:tcPr>
          <w:p>
            <w:pPr>
              <w:spacing w:before="0" w:after="0" w:line="252" w:lineRule="auto"/>
              <w:jc w:val="center"/>
            </w:pPr>
            <w:r>
              <w:rPr>
                <w:b/>
              </w:rPr>
              <w:t>Coding levels</w:t>
            </w:r>
          </w:p>
        </w:tc>
        <w:tc>
          <w:tcPr>
            <w:tcW w:type="dxa" w:w="2664"/>
            <w:shd w:fill="D9EAF7"/>
            <w:tcMar>
              <w:top w:w="120" w:type="dxa"/>
              <w:start w:w="100" w:type="dxa"/>
              <w:bottom w:w="120" w:type="dxa"/>
              <w:end w:w="100" w:type="dxa"/>
            </w:tcMar>
            <w:vAlign w:val="center"/>
          </w:tcPr>
          <w:p>
            <w:pPr>
              <w:spacing w:before="0" w:after="0" w:line="252" w:lineRule="auto"/>
              <w:jc w:val="center"/>
            </w:pPr>
            <w:r>
              <w:rPr>
                <w:b/>
              </w:rPr>
              <w:t>Examples</w:t>
            </w:r>
          </w:p>
        </w:tc>
        <w:tc>
          <w:tcPr>
            <w:tcW w:type="dxa" w:w="2808"/>
            <w:shd w:fill="D9EAF7"/>
            <w:tcMar>
              <w:top w:w="120" w:type="dxa"/>
              <w:start w:w="100" w:type="dxa"/>
              <w:bottom w:w="120" w:type="dxa"/>
              <w:end w:w="100" w:type="dxa"/>
            </w:tcMar>
            <w:vAlign w:val="center"/>
          </w:tcPr>
          <w:p>
            <w:pPr>
              <w:spacing w:before="0" w:after="0" w:line="252" w:lineRule="auto"/>
              <w:jc w:val="center"/>
            </w:pPr>
            <w:r>
              <w:rPr>
                <w:b/>
              </w:rPr>
              <w:t>Why it matters</w:t>
            </w:r>
          </w:p>
        </w:tc>
      </w:tr>
      <w:tr>
        <w:tc>
          <w:tcPr>
            <w:tcW w:type="dxa" w:w="1944"/>
            <w:tcMar>
              <w:top w:w="120" w:type="dxa"/>
              <w:start w:w="100" w:type="dxa"/>
              <w:bottom w:w="120" w:type="dxa"/>
              <w:end w:w="100" w:type="dxa"/>
            </w:tcMar>
            <w:vAlign w:val="center"/>
            <w:shd w:fill="F4F8FC"/>
          </w:tcPr>
          <w:p>
            <w:pPr>
              <w:spacing w:before="0" w:after="0" w:line="259" w:lineRule="auto"/>
            </w:pPr>
            <w:r>
              <w:t>Anthropomorphism level</w:t>
            </w:r>
          </w:p>
        </w:tc>
        <w:tc>
          <w:tcPr>
            <w:tcW w:type="dxa" w:w="2808"/>
            <w:tcMar>
              <w:top w:w="120" w:type="dxa"/>
              <w:start w:w="100" w:type="dxa"/>
              <w:bottom w:w="120" w:type="dxa"/>
              <w:end w:w="100" w:type="dxa"/>
            </w:tcMar>
            <w:vAlign w:val="center"/>
          </w:tcPr>
          <w:p>
            <w:pPr>
              <w:spacing w:before="0" w:after="0" w:line="259" w:lineRule="auto"/>
            </w:pPr>
            <w:r>
              <w:t>None / mild / strong</w:t>
            </w:r>
          </w:p>
        </w:tc>
        <w:tc>
          <w:tcPr>
            <w:tcW w:type="dxa" w:w="2664"/>
            <w:tcMar>
              <w:top w:w="120" w:type="dxa"/>
              <w:start w:w="100" w:type="dxa"/>
              <w:bottom w:w="120" w:type="dxa"/>
              <w:end w:w="100" w:type="dxa"/>
            </w:tcMar>
            <w:vAlign w:val="center"/>
          </w:tcPr>
          <w:p>
            <w:pPr>
              <w:spacing w:before="0" w:after="0" w:line="259" w:lineRule="auto"/>
            </w:pPr>
            <w:r>
              <w:t>tool vs understands vs cares or lies</w:t>
            </w:r>
          </w:p>
        </w:tc>
        <w:tc>
          <w:tcPr>
            <w:tcW w:type="dxa" w:w="2808"/>
            <w:tcMar>
              <w:top w:w="120" w:type="dxa"/>
              <w:start w:w="100" w:type="dxa"/>
              <w:bottom w:w="120" w:type="dxa"/>
              <w:end w:w="100" w:type="dxa"/>
            </w:tcMar>
            <w:vAlign w:val="center"/>
          </w:tcPr>
          <w:p>
            <w:pPr>
              <w:spacing w:before="0" w:after="0" w:line="259" w:lineRule="auto"/>
            </w:pPr>
            <w:r>
              <w:t>Core predictor</w:t>
            </w:r>
          </w:p>
        </w:tc>
      </w:tr>
      <w:tr>
        <w:tc>
          <w:tcPr>
            <w:tcW w:type="dxa" w:w="1944"/>
            <w:tcMar>
              <w:top w:w="120" w:type="dxa"/>
              <w:start w:w="100" w:type="dxa"/>
              <w:bottom w:w="120" w:type="dxa"/>
              <w:end w:w="100" w:type="dxa"/>
            </w:tcMar>
            <w:vAlign w:val="center"/>
            <w:shd w:fill="F4F8FC"/>
          </w:tcPr>
          <w:p>
            <w:pPr>
              <w:spacing w:before="0" w:after="0" w:line="259" w:lineRule="auto"/>
            </w:pPr>
            <w:r>
              <w:t>Mind perception</w:t>
            </w:r>
          </w:p>
        </w:tc>
        <w:tc>
          <w:tcPr>
            <w:tcW w:type="dxa" w:w="2808"/>
            <w:tcMar>
              <w:top w:w="120" w:type="dxa"/>
              <w:start w:w="100" w:type="dxa"/>
              <w:bottom w:w="120" w:type="dxa"/>
              <w:end w:w="100" w:type="dxa"/>
            </w:tcMar>
            <w:vAlign w:val="center"/>
          </w:tcPr>
          <w:p>
            <w:pPr>
              <w:spacing w:before="0" w:after="0" w:line="259" w:lineRule="auto"/>
            </w:pPr>
            <w:r>
              <w:t>Agency / experience / both / neither</w:t>
            </w:r>
          </w:p>
        </w:tc>
        <w:tc>
          <w:tcPr>
            <w:tcW w:type="dxa" w:w="2664"/>
            <w:tcMar>
              <w:top w:w="120" w:type="dxa"/>
              <w:start w:w="100" w:type="dxa"/>
              <w:bottom w:w="120" w:type="dxa"/>
              <w:end w:w="100" w:type="dxa"/>
            </w:tcMar>
            <w:vAlign w:val="center"/>
          </w:tcPr>
          <w:p>
            <w:pPr>
              <w:spacing w:before="0" w:after="0" w:line="259" w:lineRule="auto"/>
            </w:pPr>
            <w:r>
              <w:t>decides vs feels vs both</w:t>
            </w:r>
          </w:p>
        </w:tc>
        <w:tc>
          <w:tcPr>
            <w:tcW w:type="dxa" w:w="2808"/>
            <w:tcMar>
              <w:top w:w="120" w:type="dxa"/>
              <w:start w:w="100" w:type="dxa"/>
              <w:bottom w:w="120" w:type="dxa"/>
              <w:end w:w="100" w:type="dxa"/>
            </w:tcMar>
            <w:vAlign w:val="center"/>
          </w:tcPr>
          <w:p>
            <w:pPr>
              <w:spacing w:before="0" w:after="0" w:line="259" w:lineRule="auto"/>
            </w:pPr>
            <w:r>
              <w:t>Links text to Gray et al.</w:t>
            </w:r>
          </w:p>
        </w:tc>
      </w:tr>
      <w:tr>
        <w:tc>
          <w:tcPr>
            <w:tcW w:type="dxa" w:w="1944"/>
            <w:tcMar>
              <w:top w:w="120" w:type="dxa"/>
              <w:start w:w="100" w:type="dxa"/>
              <w:bottom w:w="120" w:type="dxa"/>
              <w:end w:w="100" w:type="dxa"/>
            </w:tcMar>
            <w:vAlign w:val="center"/>
            <w:shd w:fill="F4F8FC"/>
          </w:tcPr>
          <w:p>
            <w:pPr>
              <w:spacing w:before="0" w:after="0" w:line="259" w:lineRule="auto"/>
            </w:pPr>
            <w:r>
              <w:t>Moral evaluation</w:t>
            </w:r>
          </w:p>
        </w:tc>
        <w:tc>
          <w:tcPr>
            <w:tcW w:type="dxa" w:w="2808"/>
            <w:tcMar>
              <w:top w:w="120" w:type="dxa"/>
              <w:start w:w="100" w:type="dxa"/>
              <w:bottom w:w="120" w:type="dxa"/>
              <w:end w:w="100" w:type="dxa"/>
            </w:tcMar>
            <w:vAlign w:val="center"/>
          </w:tcPr>
          <w:p>
            <w:pPr>
              <w:spacing w:before="0" w:after="0" w:line="259" w:lineRule="auto"/>
            </w:pPr>
            <w:r>
              <w:t>Praise / blame / concern / ambivalent / none</w:t>
            </w:r>
          </w:p>
        </w:tc>
        <w:tc>
          <w:tcPr>
            <w:tcW w:type="dxa" w:w="2664"/>
            <w:tcMar>
              <w:top w:w="120" w:type="dxa"/>
              <w:start w:w="100" w:type="dxa"/>
              <w:bottom w:w="120" w:type="dxa"/>
              <w:end w:w="100" w:type="dxa"/>
            </w:tcMar>
            <w:vAlign w:val="center"/>
          </w:tcPr>
          <w:p>
            <w:pPr>
              <w:spacing w:before="0" w:after="0" w:line="259" w:lineRule="auto"/>
            </w:pPr>
            <w:r>
              <w:t>helpful, dangerous, wrong, admirable</w:t>
            </w:r>
          </w:p>
        </w:tc>
        <w:tc>
          <w:tcPr>
            <w:tcW w:type="dxa" w:w="2808"/>
            <w:tcMar>
              <w:top w:w="120" w:type="dxa"/>
              <w:start w:w="100" w:type="dxa"/>
              <w:bottom w:w="120" w:type="dxa"/>
              <w:end w:w="100" w:type="dxa"/>
            </w:tcMar>
            <w:vAlign w:val="center"/>
          </w:tcPr>
          <w:p>
            <w:pPr>
              <w:spacing w:before="0" w:after="0" w:line="259" w:lineRule="auto"/>
            </w:pPr>
            <w:r>
              <w:t>Main outcome</w:t>
            </w:r>
          </w:p>
        </w:tc>
      </w:tr>
      <w:tr>
        <w:tc>
          <w:tcPr>
            <w:tcW w:type="dxa" w:w="1944"/>
            <w:tcMar>
              <w:top w:w="120" w:type="dxa"/>
              <w:start w:w="100" w:type="dxa"/>
              <w:bottom w:w="120" w:type="dxa"/>
              <w:end w:w="100" w:type="dxa"/>
            </w:tcMar>
            <w:vAlign w:val="center"/>
            <w:shd w:fill="F4F8FC"/>
          </w:tcPr>
          <w:p>
            <w:r>
              <w:t>MDMT trust cues</w:t>
            </w:r>
          </w:p>
        </w:tc>
        <w:tc>
          <w:tcPr>
            <w:tcW w:type="dxa" w:w="2808"/>
            <w:tcMar>
              <w:top w:w="120" w:type="dxa"/>
              <w:start w:w="100" w:type="dxa"/>
              <w:bottom w:w="120" w:type="dxa"/>
              <w:end w:w="100" w:type="dxa"/>
            </w:tcMar>
            <w:vAlign w:val="center"/>
          </w:tcPr>
          <w:p>
            <w:r>
              <w:t>Reliable / Capable / Ethical / Sincere</w:t>
            </w:r>
          </w:p>
        </w:tc>
        <w:tc>
          <w:tcPr>
            <w:tcW w:type="dxa" w:w="2664"/>
            <w:tcMar>
              <w:top w:w="120" w:type="dxa"/>
              <w:start w:w="100" w:type="dxa"/>
              <w:bottom w:w="120" w:type="dxa"/>
              <w:end w:w="100" w:type="dxa"/>
            </w:tcMar>
            <w:vAlign w:val="center"/>
          </w:tcPr>
          <w:p>
            <w:r>
              <w:t>dependable, competent, principled, genuine</w:t>
            </w:r>
          </w:p>
        </w:tc>
        <w:tc>
          <w:tcPr>
            <w:tcW w:type="dxa" w:w="2808"/>
            <w:tcMar>
              <w:top w:w="120" w:type="dxa"/>
              <w:start w:w="100" w:type="dxa"/>
              <w:bottom w:w="120" w:type="dxa"/>
              <w:end w:w="100" w:type="dxa"/>
            </w:tcMar>
            <w:vAlign w:val="center"/>
          </w:tcPr>
          <w:p>
            <w:r>
              <w:t>Separates capacity trust from moral trust</w:t>
            </w:r>
          </w:p>
        </w:tc>
      </w:tr>
      <w:tr>
        <w:tc>
          <w:tcPr>
            <w:tcW w:type="dxa" w:w="1944"/>
            <w:tcMar>
              <w:top w:w="120" w:type="dxa"/>
              <w:start w:w="100" w:type="dxa"/>
              <w:bottom w:w="120" w:type="dxa"/>
              <w:end w:w="100" w:type="dxa"/>
            </w:tcMar>
            <w:vAlign w:val="center"/>
            <w:shd w:fill="F4F8FC"/>
          </w:tcPr>
          <w:p>
            <w:pPr>
              <w:spacing w:before="0" w:after="0" w:line="259" w:lineRule="auto"/>
            </w:pPr>
            <w:r>
              <w:t>Uncanny markers</w:t>
            </w:r>
          </w:p>
        </w:tc>
        <w:tc>
          <w:tcPr>
            <w:tcW w:type="dxa" w:w="2808"/>
            <w:tcMar>
              <w:top w:w="120" w:type="dxa"/>
              <w:start w:w="100" w:type="dxa"/>
              <w:bottom w:w="120" w:type="dxa"/>
              <w:end w:w="100" w:type="dxa"/>
            </w:tcMar>
            <w:vAlign w:val="center"/>
          </w:tcPr>
          <w:p>
            <w:pPr>
              <w:spacing w:before="0" w:after="0" w:line="259" w:lineRule="auto"/>
            </w:pPr>
            <w:r>
              <w:t>Eerie / creepy / fake-human / unsettling / none</w:t>
            </w:r>
          </w:p>
        </w:tc>
        <w:tc>
          <w:tcPr>
            <w:tcW w:type="dxa" w:w="2664"/>
            <w:tcMar>
              <w:top w:w="120" w:type="dxa"/>
              <w:start w:w="100" w:type="dxa"/>
              <w:bottom w:w="120" w:type="dxa"/>
              <w:end w:w="100" w:type="dxa"/>
            </w:tcMar>
            <w:vAlign w:val="center"/>
          </w:tcPr>
          <w:p>
            <w:pPr>
              <w:spacing w:before="0" w:after="0" w:line="259" w:lineRule="auto"/>
            </w:pPr>
            <w:r>
              <w:t>uncanny, weirdly human, off-putting</w:t>
            </w:r>
          </w:p>
        </w:tc>
        <w:tc>
          <w:tcPr>
            <w:tcW w:type="dxa" w:w="2808"/>
            <w:tcMar>
              <w:top w:w="120" w:type="dxa"/>
              <w:start w:w="100" w:type="dxa"/>
              <w:bottom w:w="120" w:type="dxa"/>
              <w:end w:w="100" w:type="dxa"/>
            </w:tcMar>
            <w:vAlign w:val="center"/>
          </w:tcPr>
          <w:p>
            <w:pPr>
              <w:spacing w:before="0" w:after="0" w:line="259" w:lineRule="auto"/>
            </w:pPr>
            <w:r>
              <w:t>Tests moral uncanny valley</w:t>
            </w:r>
          </w:p>
        </w:tc>
      </w:tr>
    </w:tbl>
    <w:p>
      <w:pPr>
        <w:spacing w:before="0" w:after="120" w:line="276" w:lineRule="auto"/>
      </w:pPr>
      <w:r>
        <w:t>At least two coders should annotate the gold-standard subset. Inter-rater reliability can be reported with Cohen's kappa or Krippendorff's alpha depending on the final coding structure.</w:t>
      </w:r>
    </w:p>
    <w:p>
      <w:pPr>
        <w:pStyle w:val="Heading1"/>
      </w:pPr>
      <w:r>
        <w:t>9. Computational pipeline</w:t>
      </w:r>
    </w:p>
    <w:p>
      <w:pPr>
        <w:spacing w:before="0" w:after="120" w:line="276" w:lineRule="auto"/>
      </w:pPr>
      <w:r>
        <w:rPr>
          <w:b/>
          <w:color w:val="1F4E79"/>
        </w:rPr>
        <w:t xml:space="preserve">Step 1. Data collection and cleaning. </w:t>
      </w:r>
      <w:r>
        <w:t>Use official APIs or compliant public-data workflows; remove deleted content, obvious spam, duplicates, and non-English material in the first pass.</w:t>
      </w:r>
    </w:p>
    <w:p>
      <w:pPr>
        <w:spacing w:before="0" w:after="120" w:line="276" w:lineRule="auto"/>
      </w:pPr>
      <w:r>
        <w:t>Step 2. Manual annotation. Create a codebook and annotate the gold-standard subset for anthropomorphism, mind perception, moral evaluation, MDMT-relevant trust cues, and uncanny markers.</w:t>
      </w:r>
    </w:p>
    <w:p>
      <w:pPr>
        <w:spacing w:before="0" w:after="120" w:line="276" w:lineRule="auto"/>
      </w:pPr>
      <w:r>
        <w:rPr>
          <w:b/>
          <w:color w:val="1F4E79"/>
        </w:rPr>
        <w:t xml:space="preserve">Step 3. Baseline text analytics. </w:t>
      </w:r>
      <w:r>
        <w:t>Compute descriptive statistics, keyword patterns, sentiment, lexical indicators of mind attribution, and subreddit-level distributions.</w:t>
      </w:r>
    </w:p>
    <w:p>
      <w:pPr>
        <w:spacing w:before="0" w:after="120" w:line="276" w:lineRule="auto"/>
      </w:pPr>
      <w:r>
        <w:rPr>
          <w:b/>
          <w:color w:val="1F4E79"/>
        </w:rPr>
        <w:t xml:space="preserve">Step 4. Supervised classification. </w:t>
      </w:r>
      <w:r>
        <w:t>Train baseline models such as logistic regression or SVM and compare them against transformer-based models for predicting anthropomorphism and moral-evaluation labels.</w:t>
      </w:r>
    </w:p>
    <w:p>
      <w:pPr>
        <w:spacing w:before="0" w:after="120" w:line="276" w:lineRule="auto"/>
      </w:pPr>
      <w:r>
        <w:rPr>
          <w:b/>
          <w:color w:val="1F4E79"/>
        </w:rPr>
        <w:t xml:space="preserve">Step 5. Topic discovery. </w:t>
      </w:r>
      <w:r>
        <w:t>Use topic modeling or embedding-based clustering to identify discourse environments such as AI as helper, AI as manipulator, AI as companion, AI as threat, and AI as rights-bearing entity.</w:t>
      </w:r>
    </w:p>
    <w:p>
      <w:pPr>
        <w:spacing w:before="0" w:after="120" w:line="276" w:lineRule="auto"/>
      </w:pPr>
      <w:r>
        <w:t>Step 6. Inferential testing. Examine whether anthropomorphism, agency, experience, MDMT-relevant trust cues, and uncanny markers predict praise, blame, distrust, disgust, or protective language.</w:t>
      </w:r>
    </w:p>
    <w:p>
      <w:pPr>
        <w:spacing w:before="0" w:after="120" w:line="276" w:lineRule="auto"/>
      </w:pPr>
      <w:r>
        <w:rPr>
          <w:b/>
          <w:color w:val="1F4E79"/>
        </w:rPr>
        <w:t xml:space="preserve">Step 7. Robustness and validation. </w:t>
      </w:r>
      <w:r>
        <w:t>Validate the pattern across communities and, if feasible, across a second platform such as YouTube.</w:t>
      </w:r>
    </w:p>
    <w:p>
      <w:pPr>
        <w:pStyle w:val="Heading1"/>
      </w:pPr>
      <w:r>
        <w:t>10. Statistical and analytic plan</w:t>
      </w:r>
    </w:p>
    <w:p>
      <w:pPr>
        <w:spacing w:before="0" w:after="120" w:line="276" w:lineRule="auto"/>
      </w:pPr>
      <w:r>
        <w:t>Descriptive layer. Report prevalence of anthropomorphic language, mind-perception categories, MDMT-relevant trust cues, uncanny markers, and moral-evaluation labels across communities.</w:t>
      </w:r>
    </w:p>
    <w:p>
      <w:pPr>
        <w:spacing w:before="0" w:after="120" w:line="276" w:lineRule="auto"/>
      </w:pPr>
      <w:r>
        <w:rPr>
          <w:b/>
          <w:color w:val="1F4E79"/>
        </w:rPr>
        <w:t xml:space="preserve">Comparative layer. </w:t>
      </w:r>
      <w:r>
        <w:t>Compare subreddits or topic clusters using chi-square tests, multinomial models, or mixed-effects models where appropriate.</w:t>
      </w:r>
    </w:p>
    <w:p>
      <w:pPr>
        <w:spacing w:before="0" w:after="120" w:line="276" w:lineRule="auto"/>
      </w:pPr>
      <w:r>
        <w:t>Predictive layer. Estimate whether anthropomorphism level, agency, experience, MDMT-relevant trust cues, and uncanny markers predict moral praise, moral blame, concern, disgust, or ambivalence over and above generic sentiment and text length.</w:t>
      </w:r>
    </w:p>
    <w:p>
      <w:pPr>
        <w:spacing w:before="0" w:after="120" w:line="276" w:lineRule="auto"/>
      </w:pPr>
      <w:r>
        <w:rPr>
          <w:b/>
          <w:color w:val="1F4E79"/>
        </w:rPr>
        <w:t xml:space="preserve">Model evaluation. </w:t>
      </w:r>
      <w:r>
        <w:t>Use train/validation/test splits and report macro F1, precision, recall, and confusion matrices. If class imbalance is severe, use weighted metrics and clearly document the imbalance.</w:t>
      </w:r>
    </w:p>
    <w:p>
      <w:pPr>
        <w:spacing w:before="0" w:after="120" w:line="276" w:lineRule="auto"/>
      </w:pPr>
      <w:r>
        <w:rPr>
          <w:b/>
          <w:color w:val="1F4E79"/>
        </w:rPr>
        <w:t xml:space="preserve">Interpretation layer. </w:t>
      </w:r>
      <w:r>
        <w:t>Use topic interpretation and selected exemplar posts to show how computational categories map onto theory rather than leaving the findings at the level of abstract scores.</w:t>
      </w:r>
    </w:p>
    <w:p>
      <w:pPr>
        <w:pStyle w:val="Heading1"/>
      </w:pPr>
      <w:r>
        <w:t>11. Paper structure</w:t>
      </w:r>
    </w:p>
    <w:tbl>
      <w:tblPr>
        <w:tblW w:type="auto" w:w="0"/>
        <w:jc w:val="center"/>
        <w:tblLayout w:type="fixed"/>
        <w:tblLook w:firstColumn="1" w:firstRow="1" w:lastColumn="0" w:lastRow="0" w:noHBand="0" w:noVBand="1" w:val="04A0"/>
      </w:tblPr>
      <w:tblGrid>
        <w:gridCol w:w="3216"/>
        <w:gridCol w:w="3216"/>
        <w:gridCol w:w="3216"/>
      </w:tblGrid>
      <w:tr>
        <w:tc>
          <w:tcPr>
            <w:tcW w:type="dxa" w:w="1152"/>
            <w:shd w:fill="D9EAF7"/>
            <w:tcMar>
              <w:top w:w="120" w:type="dxa"/>
              <w:start w:w="100" w:type="dxa"/>
              <w:bottom w:w="120" w:type="dxa"/>
              <w:end w:w="100" w:type="dxa"/>
            </w:tcMar>
            <w:vAlign w:val="center"/>
          </w:tcPr>
          <w:p>
            <w:pPr>
              <w:spacing w:before="0" w:after="0" w:line="276" w:lineRule="auto"/>
              <w:jc w:val="center"/>
            </w:pPr>
            <w:r>
              <w:rPr>
                <w:b/>
              </w:rPr>
              <w:t>Section</w:t>
            </w:r>
          </w:p>
        </w:tc>
        <w:tc>
          <w:tcPr>
            <w:tcW w:type="dxa" w:w="2520"/>
            <w:shd w:fill="D9EAF7"/>
            <w:tcMar>
              <w:top w:w="120" w:type="dxa"/>
              <w:start w:w="100" w:type="dxa"/>
              <w:bottom w:w="120" w:type="dxa"/>
              <w:end w:w="100" w:type="dxa"/>
            </w:tcMar>
            <w:vAlign w:val="center"/>
          </w:tcPr>
          <w:p>
            <w:pPr>
              <w:spacing w:before="0" w:after="0" w:line="276" w:lineRule="auto"/>
              <w:jc w:val="center"/>
            </w:pPr>
            <w:r>
              <w:rPr>
                <w:b/>
              </w:rPr>
              <w:t>Focus</w:t>
            </w:r>
          </w:p>
        </w:tc>
        <w:tc>
          <w:tcPr>
            <w:tcW w:type="dxa" w:w="6624"/>
            <w:shd w:fill="D9EAF7"/>
            <w:tcMar>
              <w:top w:w="120" w:type="dxa"/>
              <w:start w:w="100" w:type="dxa"/>
              <w:bottom w:w="120" w:type="dxa"/>
              <w:end w:w="100" w:type="dxa"/>
            </w:tcMar>
            <w:vAlign w:val="center"/>
          </w:tcPr>
          <w:p>
            <w:pPr>
              <w:spacing w:before="0" w:after="0" w:line="276" w:lineRule="auto"/>
              <w:jc w:val="center"/>
            </w:pPr>
            <w:r>
              <w:rPr>
                <w:b/>
              </w:rPr>
              <w:t>What it should accomplish</w:t>
            </w:r>
          </w:p>
        </w:tc>
      </w:tr>
      <w:tr>
        <w:tc>
          <w:tcPr>
            <w:tcW w:type="dxa" w:w="1152"/>
            <w:tcMar>
              <w:top w:w="120" w:type="dxa"/>
              <w:start w:w="100" w:type="dxa"/>
              <w:bottom w:w="120" w:type="dxa"/>
              <w:end w:w="100" w:type="dxa"/>
            </w:tcMar>
            <w:vAlign w:val="center"/>
            <w:shd w:fill="F4F8FC"/>
          </w:tcPr>
          <w:p>
            <w:pPr>
              <w:spacing w:before="0" w:after="0" w:line="259" w:lineRule="auto"/>
              <w:jc w:val="center"/>
            </w:pPr>
            <w:r>
              <w:t>1</w:t>
            </w:r>
          </w:p>
        </w:tc>
        <w:tc>
          <w:tcPr>
            <w:tcW w:type="dxa" w:w="2520"/>
            <w:tcMar>
              <w:top w:w="120" w:type="dxa"/>
              <w:start w:w="100" w:type="dxa"/>
              <w:bottom w:w="120" w:type="dxa"/>
              <w:end w:w="100" w:type="dxa"/>
            </w:tcMar>
            <w:vAlign w:val="center"/>
          </w:tcPr>
          <w:p>
            <w:pPr>
              <w:spacing w:before="0" w:after="0" w:line="259" w:lineRule="auto"/>
            </w:pPr>
            <w:r>
              <w:t>Introduction</w:t>
            </w:r>
          </w:p>
        </w:tc>
        <w:tc>
          <w:tcPr>
            <w:tcW w:type="dxa" w:w="6624"/>
            <w:tcMar>
              <w:top w:w="120" w:type="dxa"/>
              <w:start w:w="100" w:type="dxa"/>
              <w:bottom w:w="120" w:type="dxa"/>
              <w:end w:w="100" w:type="dxa"/>
            </w:tcMar>
            <w:vAlign w:val="center"/>
          </w:tcPr>
          <w:p>
            <w:pPr>
              <w:spacing w:before="0" w:after="0" w:line="259" w:lineRule="auto"/>
            </w:pPr>
            <w:r>
              <w:t>Position AI discourse as a site of mind attribution and moral judgment rather than simple sentiment.</w:t>
            </w:r>
          </w:p>
        </w:tc>
      </w:tr>
      <w:tr>
        <w:tc>
          <w:tcPr>
            <w:tcW w:type="dxa" w:w="1152"/>
            <w:tcMar>
              <w:top w:w="120" w:type="dxa"/>
              <w:start w:w="100" w:type="dxa"/>
              <w:bottom w:w="120" w:type="dxa"/>
              <w:end w:w="100" w:type="dxa"/>
            </w:tcMar>
            <w:vAlign w:val="center"/>
            <w:shd w:fill="F4F8FC"/>
          </w:tcPr>
          <w:p>
            <w:pPr>
              <w:spacing w:before="0" w:after="0" w:line="259" w:lineRule="auto"/>
              <w:jc w:val="center"/>
            </w:pPr>
            <w:r>
              <w:t>2</w:t>
            </w:r>
          </w:p>
        </w:tc>
        <w:tc>
          <w:tcPr>
            <w:tcW w:type="dxa" w:w="2520"/>
            <w:tcMar>
              <w:top w:w="120" w:type="dxa"/>
              <w:start w:w="100" w:type="dxa"/>
              <w:bottom w:w="120" w:type="dxa"/>
              <w:end w:w="100" w:type="dxa"/>
            </w:tcMar>
            <w:vAlign w:val="center"/>
          </w:tcPr>
          <w:p>
            <w:pPr>
              <w:spacing w:before="0" w:after="0" w:line="259" w:lineRule="auto"/>
            </w:pPr>
            <w:r>
              <w:t>Theory</w:t>
            </w:r>
          </w:p>
        </w:tc>
        <w:tc>
          <w:tcPr>
            <w:tcW w:type="dxa" w:w="6624"/>
            <w:tcMar>
              <w:top w:w="120" w:type="dxa"/>
              <w:start w:w="100" w:type="dxa"/>
              <w:bottom w:w="120" w:type="dxa"/>
              <w:end w:w="100" w:type="dxa"/>
            </w:tcMar>
            <w:vAlign w:val="center"/>
          </w:tcPr>
          <w:p>
            <w:r>
              <w:t>Integrate anthropomorphism, mind perception, uncanny valley, multi-dimensional trust, and machine moral-decision aversion.</w:t>
            </w:r>
          </w:p>
        </w:tc>
      </w:tr>
      <w:tr>
        <w:tc>
          <w:tcPr>
            <w:tcW w:type="dxa" w:w="1152"/>
            <w:tcMar>
              <w:top w:w="120" w:type="dxa"/>
              <w:start w:w="100" w:type="dxa"/>
              <w:bottom w:w="120" w:type="dxa"/>
              <w:end w:w="100" w:type="dxa"/>
            </w:tcMar>
            <w:vAlign w:val="center"/>
            <w:shd w:fill="F4F8FC"/>
          </w:tcPr>
          <w:p>
            <w:pPr>
              <w:spacing w:before="0" w:after="0" w:line="259" w:lineRule="auto"/>
              <w:jc w:val="center"/>
            </w:pPr>
            <w:r>
              <w:t>3</w:t>
            </w:r>
          </w:p>
        </w:tc>
        <w:tc>
          <w:tcPr>
            <w:tcW w:type="dxa" w:w="2520"/>
            <w:tcMar>
              <w:top w:w="120" w:type="dxa"/>
              <w:start w:w="100" w:type="dxa"/>
              <w:bottom w:w="120" w:type="dxa"/>
              <w:end w:w="100" w:type="dxa"/>
            </w:tcMar>
            <w:vAlign w:val="center"/>
          </w:tcPr>
          <w:p>
            <w:pPr>
              <w:spacing w:before="0" w:after="0" w:line="259" w:lineRule="auto"/>
            </w:pPr>
            <w:r>
              <w:t>Methods</w:t>
            </w:r>
          </w:p>
        </w:tc>
        <w:tc>
          <w:tcPr>
            <w:tcW w:type="dxa" w:w="6624"/>
            <w:tcMar>
              <w:top w:w="120" w:type="dxa"/>
              <w:start w:w="100" w:type="dxa"/>
              <w:bottom w:w="120" w:type="dxa"/>
              <w:end w:w="100" w:type="dxa"/>
            </w:tcMar>
            <w:vAlign w:val="center"/>
          </w:tcPr>
          <w:p>
            <w:pPr>
              <w:spacing w:before="0" w:after="0" w:line="259" w:lineRule="auto"/>
            </w:pPr>
            <w:r>
              <w:t>Describe corpus construction, annotation, models, and inferential tests.</w:t>
            </w:r>
          </w:p>
        </w:tc>
      </w:tr>
      <w:tr>
        <w:tc>
          <w:tcPr>
            <w:tcW w:type="dxa" w:w="1152"/>
            <w:tcMar>
              <w:top w:w="120" w:type="dxa"/>
              <w:start w:w="100" w:type="dxa"/>
              <w:bottom w:w="120" w:type="dxa"/>
              <w:end w:w="100" w:type="dxa"/>
            </w:tcMar>
            <w:vAlign w:val="center"/>
            <w:shd w:fill="F4F8FC"/>
          </w:tcPr>
          <w:p>
            <w:pPr>
              <w:spacing w:before="0" w:after="0" w:line="259" w:lineRule="auto"/>
              <w:jc w:val="center"/>
            </w:pPr>
            <w:r>
              <w:t>4</w:t>
            </w:r>
          </w:p>
        </w:tc>
        <w:tc>
          <w:tcPr>
            <w:tcW w:type="dxa" w:w="2520"/>
            <w:tcMar>
              <w:top w:w="120" w:type="dxa"/>
              <w:start w:w="100" w:type="dxa"/>
              <w:bottom w:w="120" w:type="dxa"/>
              <w:end w:w="100" w:type="dxa"/>
            </w:tcMar>
            <w:vAlign w:val="center"/>
          </w:tcPr>
          <w:p>
            <w:pPr>
              <w:spacing w:before="0" w:after="0" w:line="259" w:lineRule="auto"/>
            </w:pPr>
            <w:r>
              <w:t>Results</w:t>
            </w:r>
          </w:p>
        </w:tc>
        <w:tc>
          <w:tcPr>
            <w:tcW w:type="dxa" w:w="6624"/>
            <w:tcMar>
              <w:top w:w="120" w:type="dxa"/>
              <w:start w:w="100" w:type="dxa"/>
              <w:bottom w:w="120" w:type="dxa"/>
              <w:end w:w="100" w:type="dxa"/>
            </w:tcMar>
            <w:vAlign w:val="center"/>
          </w:tcPr>
          <w:p>
            <w:pPr>
              <w:spacing w:before="0" w:after="0" w:line="259" w:lineRule="auto"/>
            </w:pPr>
            <w:r>
              <w:t>Show prevalence, community differences, model performance, and theory-linked patterns.</w:t>
            </w:r>
          </w:p>
        </w:tc>
      </w:tr>
      <w:tr>
        <w:tc>
          <w:tcPr>
            <w:tcW w:type="dxa" w:w="1152"/>
            <w:tcMar>
              <w:top w:w="120" w:type="dxa"/>
              <w:start w:w="100" w:type="dxa"/>
              <w:bottom w:w="120" w:type="dxa"/>
              <w:end w:w="100" w:type="dxa"/>
            </w:tcMar>
            <w:vAlign w:val="center"/>
            <w:shd w:fill="F4F8FC"/>
          </w:tcPr>
          <w:p>
            <w:pPr>
              <w:spacing w:before="0" w:after="0" w:line="259" w:lineRule="auto"/>
              <w:jc w:val="center"/>
            </w:pPr>
            <w:r>
              <w:t>5</w:t>
            </w:r>
          </w:p>
        </w:tc>
        <w:tc>
          <w:tcPr>
            <w:tcW w:type="dxa" w:w="2520"/>
            <w:tcMar>
              <w:top w:w="120" w:type="dxa"/>
              <w:start w:w="100" w:type="dxa"/>
              <w:bottom w:w="120" w:type="dxa"/>
              <w:end w:w="100" w:type="dxa"/>
            </w:tcMar>
            <w:vAlign w:val="center"/>
          </w:tcPr>
          <w:p>
            <w:pPr>
              <w:spacing w:before="0" w:after="0" w:line="259" w:lineRule="auto"/>
            </w:pPr>
            <w:r>
              <w:t>Discussion</w:t>
            </w:r>
          </w:p>
        </w:tc>
        <w:tc>
          <w:tcPr>
            <w:tcW w:type="dxa" w:w="6624"/>
            <w:tcMar>
              <w:top w:w="120" w:type="dxa"/>
              <w:start w:w="100" w:type="dxa"/>
              <w:bottom w:w="120" w:type="dxa"/>
              <w:end w:w="100" w:type="dxa"/>
            </w:tcMar>
            <w:vAlign w:val="center"/>
          </w:tcPr>
          <w:p>
            <w:pPr>
              <w:spacing w:before="0" w:after="0" w:line="259" w:lineRule="auto"/>
            </w:pPr>
            <w:r>
              <w:t>Explain what public discourse reveals about the social construction of AI minds and AI morality.</w:t>
            </w:r>
          </w:p>
        </w:tc>
      </w:tr>
      <w:tr>
        <w:tc>
          <w:tcPr>
            <w:tcW w:type="dxa" w:w="1152"/>
            <w:tcMar>
              <w:top w:w="120" w:type="dxa"/>
              <w:start w:w="100" w:type="dxa"/>
              <w:bottom w:w="120" w:type="dxa"/>
              <w:end w:w="100" w:type="dxa"/>
            </w:tcMar>
            <w:vAlign w:val="center"/>
            <w:shd w:fill="F4F8FC"/>
          </w:tcPr>
          <w:p>
            <w:pPr>
              <w:spacing w:before="0" w:after="0" w:line="259" w:lineRule="auto"/>
              <w:jc w:val="center"/>
            </w:pPr>
            <w:r>
              <w:t>6</w:t>
            </w:r>
          </w:p>
        </w:tc>
        <w:tc>
          <w:tcPr>
            <w:tcW w:type="dxa" w:w="2520"/>
            <w:tcMar>
              <w:top w:w="120" w:type="dxa"/>
              <w:start w:w="100" w:type="dxa"/>
              <w:bottom w:w="120" w:type="dxa"/>
              <w:end w:w="100" w:type="dxa"/>
            </w:tcMar>
            <w:vAlign w:val="center"/>
          </w:tcPr>
          <w:p>
            <w:pPr>
              <w:spacing w:before="0" w:after="0" w:line="259" w:lineRule="auto"/>
            </w:pPr>
            <w:r>
              <w:t>Implications</w:t>
            </w:r>
          </w:p>
        </w:tc>
        <w:tc>
          <w:tcPr>
            <w:tcW w:type="dxa" w:w="6624"/>
            <w:tcMar>
              <w:top w:w="120" w:type="dxa"/>
              <w:start w:w="100" w:type="dxa"/>
              <w:bottom w:w="120" w:type="dxa"/>
              <w:end w:w="100" w:type="dxa"/>
            </w:tcMar>
            <w:vAlign w:val="center"/>
          </w:tcPr>
          <w:p>
            <w:pPr>
              <w:spacing w:before="0" w:after="0" w:line="259" w:lineRule="auto"/>
            </w:pPr>
            <w:r>
              <w:t>Draw implications for AI design, governance, communication, and trust calibration.</w:t>
            </w:r>
          </w:p>
        </w:tc>
      </w:tr>
    </w:tbl>
    <w:p>
      <w:pPr>
        <w:pStyle w:val="Heading1"/>
      </w:pPr>
      <w:r>
        <w:t>12. Expected contributions</w:t>
      </w:r>
    </w:p>
    <w:p>
      <w:pPr>
        <w:spacing w:before="0" w:after="60" w:line="276" w:lineRule="auto"/>
        <w:ind w:left="360" w:hanging="259"/>
      </w:pPr>
      <w:r>
        <w:t xml:space="preserve">• </w:t>
      </w:r>
      <w:r>
        <w:t>A publishable bridge between social psychology and computational social-media analysis.</w:t>
      </w:r>
    </w:p>
    <w:p>
      <w:pPr>
        <w:spacing w:before="0" w:after="60" w:line="276" w:lineRule="auto"/>
        <w:ind w:left="360" w:hanging="259"/>
      </w:pPr>
      <w:r>
        <w:t xml:space="preserve">• </w:t>
      </w:r>
      <w:r>
        <w:t>A psychologically grounded annotation scheme for anthropomorphic framing of AI.</w:t>
      </w:r>
    </w:p>
    <w:p>
      <w:pPr>
        <w:spacing w:before="0" w:after="60" w:line="276" w:lineRule="auto"/>
        <w:ind w:left="360" w:hanging="259"/>
      </w:pPr>
      <w:r>
        <w:t>• A tractable way to operationalize agency, experience, trust dimensions, and uncanny markers in natural text.</w:t>
      </w:r>
    </w:p>
    <w:p>
      <w:pPr>
        <w:spacing w:before="0" w:after="60" w:line="276" w:lineRule="auto"/>
        <w:ind w:left="360" w:hanging="259"/>
      </w:pPr>
      <w:r>
        <w:t xml:space="preserve">• </w:t>
      </w:r>
      <w:r>
        <w:t>New evidence about when public discourse treats AI as tool, partner, threat, or moral quasi-person.</w:t>
      </w:r>
    </w:p>
    <w:p>
      <w:pPr>
        <w:spacing w:before="0" w:after="60" w:line="276" w:lineRule="auto"/>
        <w:ind w:left="360" w:hanging="259"/>
      </w:pPr>
      <w:r>
        <w:t xml:space="preserve">• </w:t>
      </w:r>
      <w:r>
        <w:t>A theory-driven extension of your own human-AI fairness and trust work into naturally occurring online discourse.</w:t>
      </w:r>
    </w:p>
    <w:p>
      <w:pPr>
        <w:pStyle w:val="Heading1"/>
      </w:pPr>
      <w:r>
        <w:t>13. Practical scope</w:t>
      </w:r>
    </w:p>
    <w:p>
      <w:pPr>
        <w:spacing w:before="0" w:after="120" w:line="276" w:lineRule="auto"/>
      </w:pPr>
      <w:r>
        <w:t>This can be executed as a manageable first paper. A lean version would use Reddit only, a one-year sample, an annotated subset of about 2,000 items, one strong baseline model, one transformer model, and one topic-modeling component. That is enough for a credible theory-driven computational paper without making the project unmanageably large.</w:t>
      </w:r>
    </w:p>
    <w:p>
      <w:pPr>
        <w:spacing w:before="0" w:after="120" w:line="276" w:lineRule="auto"/>
      </w:pPr>
      <w:r>
        <w:t>A natural next step after publication would be to link the discourse patterns back to controlled experiments. For example, the most common anthropomorphic and moral framings observed online could later be turned into experimental manipulations in ultimatum-game or trust-game studies.</w:t>
      </w:r>
    </w:p>
    <w:p>
      <w:pPr>
        <w:pStyle w:val="Heading1"/>
      </w:pPr>
      <w:r>
        <w:t>14. Risks and how to handle them</w:t>
      </w:r>
    </w:p>
    <w:p>
      <w:pPr>
        <w:spacing w:before="0" w:after="120" w:line="276" w:lineRule="auto"/>
      </w:pPr>
      <w:r>
        <w:rPr>
          <w:b/>
          <w:color w:val="1F4E79"/>
        </w:rPr>
        <w:t xml:space="preserve">No self-report Big Five data. </w:t>
      </w:r>
      <w:r>
        <w:t>Do not force Big Five into this paper unless you later add a separate personality-inference component. For the present proposal, anthropomorphism and moral evaluation are the right center.</w:t>
      </w:r>
    </w:p>
    <w:p>
      <w:pPr>
        <w:spacing w:before="0" w:after="120" w:line="276" w:lineRule="auto"/>
      </w:pPr>
      <w:r>
        <w:rPr>
          <w:b/>
          <w:color w:val="1F4E79"/>
        </w:rPr>
        <w:t xml:space="preserve">Messy platform language. </w:t>
      </w:r>
      <w:r>
        <w:t>Use a manual gold-standard subset and do not overclaim perfect construct validity.</w:t>
      </w:r>
    </w:p>
    <w:p>
      <w:pPr>
        <w:spacing w:before="0" w:after="120" w:line="276" w:lineRule="auto"/>
      </w:pPr>
      <w:r>
        <w:t>Theory overload. Keep the main spine to five anchors: anthropomorphism, mind perception, uncanny valley, multi-dimensional trust, and machine moral-decision aversion. Treat the rest as extensions.</w:t>
      </w:r>
    </w:p>
    <w:p>
      <w:pPr>
        <w:spacing w:before="0" w:after="120" w:line="276" w:lineRule="auto"/>
      </w:pPr>
      <w:r>
        <w:rPr>
          <w:b/>
          <w:color w:val="1F4E79"/>
        </w:rPr>
        <w:t xml:space="preserve">Ethical and platform constraints. </w:t>
      </w:r>
      <w:r>
        <w:t>Use publicly available content, comply with platform policies, de-identify examples, and avoid reproducing sensitive text unnecessarily.</w:t>
      </w:r>
    </w:p>
    <w:p>
      <w:pPr>
        <w:pStyle w:val="Heading1"/>
      </w:pPr>
      <w:r>
        <w:t>15. Provisional abstract</w:t>
      </w:r>
    </w:p>
    <w:p>
      <w:pPr>
        <w:spacing w:before="0" w:after="120" w:line="276" w:lineRule="auto"/>
      </w:pPr>
      <w:r>
        <w:t>Public discourse about artificial intelligence increasingly treats AI systems not merely as tools but as entities that understand, intend, care, deceive, help, threaten, or even deserve moral consideration. The proposed study investigates how social-media users anthropomorphize AI and how such framing shapes moral and trust-related evaluation of artificial agents. Using a corpus of publicly available social-media text, primarily from Reddit and optionally validated on YouTube comments, the project will combine manual annotation and computational text analysis to identify patterns of anthropomorphism, mind perception, moral judgment, MDMT-relevant trust cues, and uncanny-valley-like responses. Theoretically, the study integrates Epley, Waytz, and Cacioppo's account of anthropomorphism, Gray, Gray, and Wegner's mind perception framework, work on the uncanny and moral uncanny valley, the Multi-Dimensional Measure of Trust, and research showing that people are often averse to machines making moral decisions. The project also extends prior human-AI fairness research by examining whether similar tensions emerge in naturally occurring discourse outside the laboratory. We expect stronger anthropomorphic framing to predict stronger moral and trust-related evaluation, with agency-related language linked to blame and reduced moral trust, experience-related language linked to sympathy or relational attachment, and uncanny markers linked to discomfort, suspicion, and moral alarm. The paper will contribute a theory-driven annotation framework, comparative model evaluation, and new evidence on how people publicly construct the moral status of AI.</w:t>
      </w:r>
    </w:p>
    <w:p>
      <w:pPr>
        <w:pStyle w:val="Heading1"/>
      </w:pPr>
      <w:r>
        <w:t>16. Core references to anchor the paper</w:t>
      </w:r>
    </w:p>
    <w:p>
      <w:pPr>
        <w:spacing w:before="0" w:after="40" w:line="259" w:lineRule="auto"/>
        <w:ind w:left="317"/>
      </w:pPr>
      <w:r>
        <w:t>Ayad, R., et al. (2025). Attributions of intent and moral responsibility to AI agents.</w:t>
      </w:r>
    </w:p>
    <w:p>
      <w:pPr>
        <w:spacing w:before="0" w:after="40" w:line="259" w:lineRule="auto"/>
        <w:ind w:left="317"/>
      </w:pPr>
      <w:r>
        <w:t>Bigman, Y. E., &amp; Gray, K. (2018). People are averse to machines making moral decisions. Cognition, 181, 21-34.</w:t>
      </w:r>
    </w:p>
    <w:p>
      <w:pPr>
        <w:spacing w:before="0" w:after="40" w:line="259" w:lineRule="auto"/>
        <w:ind w:left="317"/>
      </w:pPr>
      <w:r>
        <w:t>Borthakur, D., Ahmad, H., &amp; Plaks, J. E. (2025). Identifying proposers' behavioral patterns in human-AI economic interactions. 2025 IEEE International Conference on Future Machine Learning and Data Science, 403-409.</w:t>
      </w:r>
    </w:p>
    <w:p>
      <w:pPr>
        <w:spacing w:before="0" w:after="40" w:line="259" w:lineRule="auto"/>
        <w:ind w:left="317"/>
      </w:pPr>
      <w:r>
        <w:t>Borthakur, D., et al. (2025). Inequity aversion toward AI counterparts. Scientific Reports.</w:t>
      </w:r>
    </w:p>
    <w:p>
      <w:pPr>
        <w:spacing w:before="0" w:after="40" w:line="259" w:lineRule="auto"/>
        <w:ind w:left="317"/>
      </w:pPr>
      <w:r>
        <w:t>Epley, N., Waytz, A., &amp; Cacioppo, J. T. (2007). On seeing human: A three-factor theory of anthropomorphism. Psychological Review, 114, 864-886.</w:t>
      </w:r>
    </w:p>
    <w:p>
      <w:pPr>
        <w:spacing w:before="0" w:after="40" w:line="259" w:lineRule="auto"/>
        <w:ind w:left="317"/>
      </w:pPr>
      <w:r>
        <w:t>Gray, H. M., Gray, K., &amp; Wegner, D. M. (2007). Dimensions of mind perception. Science, 315, 619.</w:t>
      </w:r>
    </w:p>
    <w:p>
      <w:pPr>
        <w:spacing w:before="0" w:after="40" w:line="259" w:lineRule="auto"/>
        <w:ind w:left="317"/>
      </w:pPr>
      <w:r>
        <w:t>Laakasuo, M., et al. (2021). A robot's appearance moderates how its decisions are judged.</w:t>
      </w:r>
    </w:p>
    <w:p>
      <w:pPr>
        <w:spacing w:before="0" w:after="40" w:line="259" w:lineRule="auto"/>
        <w:ind w:left="317"/>
      </w:pPr>
      <w:r>
        <w:t>Laakasuo, M., et al. (2025). Moral psychological exploration of the asymmetry effect in AI-assisted euthanasia.</w:t>
      </w:r>
    </w:p>
    <w:p>
      <w:pPr>
        <w:spacing w:before="0" w:after="40" w:line="259" w:lineRule="auto"/>
        <w:ind w:left="317"/>
      </w:pPr>
      <w:r>
        <w:t>Ullman, D., &amp; Malle, B. F. (2019). Measuring gains and losses in human-robot trust: Evidence for differentiable components of trust. In Proceedings of the 14th ACM/IEEE International Conference on Human-Robot Interaction, 618-619.</w:t>
      </w:r>
    </w:p>
    <w:p>
      <w:pPr>
        <w:spacing w:before="0" w:after="40" w:line="259" w:lineRule="auto"/>
        <w:ind w:left="317"/>
      </w:pPr>
      <w:r>
        <w:t>Waytz, A., Cacioppo, J. T., &amp; Epley, N. (2010). Who sees human? The stability and importance of individual differences in anthropomorphism.</w:t>
      </w:r>
    </w:p>
    <w:sectPr w:rsidR="00FC693F" w:rsidRPr="0006063C" w:rsidSect="00034616">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