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1" w:type="dxa"/>
        <w:tblCellSpacing w:w="15" w:type="dxa"/>
        <w:shd w:val="clear" w:color="auto" w:fill="E7EA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2190"/>
      </w:tblGrid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ru-RU"/>
              </w:rPr>
              <w:t>AdxTimeFrame1</w:t>
            </w: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 = PERIOD_M5</w:t>
            </w: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Тайм-фрейм для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рассчета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 индикатора ADX 1-го колена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432694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ru-RU"/>
              </w:rPr>
              <w:t>AdxPeriod1</w:t>
            </w:r>
            <w:r w:rsidRPr="0043269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  = 56</w:t>
            </w: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Период индикатора 1-го колена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ru-RU"/>
              </w:rPr>
              <w:t>AdxLevel1</w:t>
            </w: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   = 1</w:t>
            </w:r>
            <w:r w:rsidR="006B7DF1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,0</w:t>
            </w: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Разница между показаниями +DI и -DI для покупок, и -DI +DI для продаж, при отрицательном значении действует как разрешение "торговли внутри канала"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ru-RU"/>
              </w:rPr>
              <w:t>use_ADX_ds1</w:t>
            </w: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 = 0.0</w:t>
            </w: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Использовать или нет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Direction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System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. Если значение = 0.0 - не использовать, любое отличное от нуля значение сравнивается с наклоном Главной линии ADX. Отрицательные значения означают, что можно открывать ордера при отрицательном наклоне Главной лини!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b/>
                <w:bCs/>
                <w:color w:val="444444"/>
                <w:sz w:val="19"/>
                <w:szCs w:val="19"/>
                <w:lang w:eastAsia="ru-RU"/>
              </w:rPr>
              <w:t>use_ADX_p3_1 </w:t>
            </w: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=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false</w:t>
            </w:r>
            <w:proofErr w:type="spellEnd"/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Использовать или нет "третий паттерн". Что означает - если обе лини +DI -DI находятся выше или ниже Главной линии - разрешены операции в обе стороны независимо от взаимного расположения линий +DI -DI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eastAsia="ru-RU"/>
              </w:rPr>
              <w:t>use_ADX_for1Order</w:t>
            </w: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 = NO</w:t>
            </w: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Использовать ли ADX для первых ордеров. NO- не использовать, YES - использовать, REVERS - логика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Buy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 и </w:t>
            </w:r>
            <w:proofErr w:type="spellStart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Sell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 xml:space="preserve"> "переворачивается".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45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</w:pPr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eastAsia="ru-RU"/>
              </w:rPr>
              <w:t>Для 2+ колен параметры точно такие же кроме следующего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n-US" w:eastAsia="ru-RU"/>
              </w:rPr>
            </w:pPr>
            <w:proofErr w:type="spellStart"/>
            <w:r w:rsidRPr="0043269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lang w:val="en-US" w:eastAsia="ru-RU"/>
              </w:rPr>
              <w:t>use_ADX_for_next_Order</w:t>
            </w:r>
            <w:proofErr w:type="spellEnd"/>
            <w:r w:rsidRPr="00BA633B">
              <w:rPr>
                <w:rFonts w:ascii="inherit" w:eastAsia="Times New Roman" w:hAnsi="inherit" w:cs="Times New Roman"/>
                <w:color w:val="444444"/>
                <w:sz w:val="19"/>
                <w:szCs w:val="19"/>
                <w:lang w:val="en-US" w:eastAsia="ru-RU"/>
              </w:rPr>
              <w:t>= 0</w:t>
            </w:r>
          </w:p>
        </w:tc>
        <w:tc>
          <w:tcPr>
            <w:tcW w:w="12145" w:type="dxa"/>
            <w:shd w:val="clear" w:color="auto" w:fill="E7EAEF"/>
            <w:vAlign w:val="center"/>
            <w:hideMark/>
          </w:tcPr>
          <w:p w:rsidR="00DB01C7" w:rsidRPr="00BA633B" w:rsidRDefault="00DB01C7" w:rsidP="00BA633B">
            <w:pPr>
              <w:spacing w:after="0" w:line="26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Использовать ли ADX для следующих, начиная с указанного. 0- не использовать, Х - использовать, -Х - логика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Buy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и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Sell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"переворачивается".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rFonts w:ascii="inherit" w:eastAsia="Times New Roman" w:hAnsi="inherit" w:cs="Times New Roman"/>
                <w:b/>
                <w:bCs/>
                <w:color w:val="444444"/>
                <w:sz w:val="19"/>
                <w:szCs w:val="19"/>
                <w:lang w:val="en-US" w:eastAsia="ru-RU"/>
              </w:rPr>
            </w:pPr>
            <w:proofErr w:type="spellStart"/>
            <w:r w:rsidRPr="00E20799">
              <w:rPr>
                <w:rFonts w:ascii="inherit" w:hAnsi="inherit"/>
                <w:b/>
                <w:sz w:val="24"/>
                <w:szCs w:val="24"/>
                <w:lang w:val="en-US"/>
              </w:rPr>
              <w:t>use_ADX_ds</w:t>
            </w:r>
            <w:proofErr w:type="spellEnd"/>
            <w:r w:rsidRPr="00BA633B">
              <w:rPr>
                <w:lang w:val="en-US"/>
              </w:rPr>
              <w:t xml:space="preserve"> = 0.0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r w:rsidRPr="00E20799">
              <w:rPr>
                <w:rFonts w:ascii="inherit" w:hAnsi="inherit"/>
                <w:b/>
                <w:lang w:val="en-US"/>
              </w:rPr>
              <w:t>use_ADX_p3</w:t>
            </w:r>
            <w:r w:rsidRPr="00BA633B">
              <w:rPr>
                <w:lang w:val="en-US"/>
              </w:rPr>
              <w:t xml:space="preserve"> = false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6B7DF1" w:rsidRDefault="00DB01C7" w:rsidP="00BA633B">
            <w:pPr>
              <w:spacing w:after="0" w:line="262" w:lineRule="atLeast"/>
              <w:rPr>
                <w:rFonts w:ascii="Verdana" w:hAnsi="Verdana"/>
                <w:b/>
                <w:color w:val="444444"/>
                <w:sz w:val="24"/>
                <w:szCs w:val="24"/>
                <w:shd w:val="clear" w:color="auto" w:fill="E7EAEF"/>
              </w:rPr>
            </w:pPr>
            <w:proofErr w:type="spellStart"/>
            <w:r w:rsidRPr="006B7DF1">
              <w:rPr>
                <w:rFonts w:ascii="Verdana" w:hAnsi="Verdana"/>
                <w:b/>
                <w:color w:val="444444"/>
                <w:sz w:val="24"/>
                <w:szCs w:val="24"/>
                <w:shd w:val="clear" w:color="auto" w:fill="E7EAEF"/>
                <w:lang w:val="en-US"/>
              </w:rPr>
              <w:t>Параметры</w:t>
            </w:r>
            <w:proofErr w:type="spellEnd"/>
            <w:r w:rsidRPr="006B7DF1">
              <w:rPr>
                <w:rFonts w:ascii="Verdana" w:hAnsi="Verdana"/>
                <w:b/>
                <w:color w:val="444444"/>
                <w:sz w:val="24"/>
                <w:szCs w:val="24"/>
                <w:shd w:val="clear" w:color="auto" w:fill="E7EAEF"/>
                <w:lang w:val="en-US"/>
              </w:rPr>
              <w:t xml:space="preserve"> </w:t>
            </w:r>
            <w:proofErr w:type="spellStart"/>
            <w:r w:rsidRPr="006B7DF1">
              <w:rPr>
                <w:rFonts w:ascii="Verdana" w:hAnsi="Verdana"/>
                <w:b/>
                <w:color w:val="444444"/>
                <w:sz w:val="24"/>
                <w:szCs w:val="24"/>
                <w:shd w:val="clear" w:color="auto" w:fill="E7EAEF"/>
                <w:lang w:val="en-US"/>
              </w:rPr>
              <w:t>импульсн</w:t>
            </w:r>
            <w:proofErr w:type="spellEnd"/>
            <w:r w:rsidRPr="006B7DF1">
              <w:rPr>
                <w:rFonts w:ascii="Verdana" w:hAnsi="Verdana"/>
                <w:b/>
                <w:color w:val="444444"/>
                <w:sz w:val="24"/>
                <w:szCs w:val="24"/>
                <w:shd w:val="clear" w:color="auto" w:fill="E7EAEF"/>
              </w:rPr>
              <w:t>ого фильтра</w:t>
            </w:r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r w:rsidRPr="00432694">
              <w:rPr>
                <w:b/>
                <w:sz w:val="24"/>
                <w:szCs w:val="24"/>
                <w:lang w:val="en-US"/>
              </w:rPr>
              <w:t>use_imp_for1Order</w:t>
            </w:r>
            <w:r w:rsidRPr="00BA633B">
              <w:rPr>
                <w:lang w:val="en-US"/>
              </w:rPr>
              <w:t xml:space="preserve"> = NO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BA633B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Использовать ли импульсный индикатор для фильтрации первых ордеров</w:t>
            </w:r>
          </w:p>
        </w:tc>
      </w:tr>
      <w:tr w:rsidR="00DB01C7" w:rsidRPr="00432694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r w:rsidRPr="00432694">
              <w:rPr>
                <w:b/>
                <w:sz w:val="24"/>
                <w:szCs w:val="24"/>
                <w:lang w:val="en-US"/>
              </w:rPr>
              <w:t>imp_indi_1order</w:t>
            </w:r>
            <w:r w:rsidRPr="00BA633B">
              <w:rPr>
                <w:lang w:val="en-US"/>
              </w:rPr>
              <w:t xml:space="preserve"> = IMP_CCI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BA633B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Собственно выбор, какой индикатор использовать. Может иметь 4-ре значения: 1 -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</w:t>
            </w:r>
            <w:r w:rsidRPr="00BA633B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_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CCI</w:t>
            </w:r>
            <w:r w:rsidRPr="00BA633B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,</w:t>
            </w:r>
          </w:p>
          <w:p w:rsidR="00DB01C7" w:rsidRPr="00BA633B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</w:pPr>
            <w:r w:rsidRPr="00BA633B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2 – IMP_RSI,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 xml:space="preserve"> 3 –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IMP_DeMarker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 xml:space="preserve">, 4 –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IMP_LaGuerre</w:t>
            </w:r>
            <w:proofErr w:type="spellEnd"/>
          </w:p>
        </w:tc>
      </w:tr>
      <w:tr w:rsidR="00DB01C7" w:rsidRPr="00BA633B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432694" w:rsidRDefault="00DB01C7" w:rsidP="00BA633B">
            <w:pPr>
              <w:spacing w:after="0" w:line="262" w:lineRule="atLeast"/>
              <w:rPr>
                <w:sz w:val="24"/>
                <w:szCs w:val="24"/>
                <w:lang w:val="en-US"/>
              </w:rPr>
            </w:pPr>
            <w:r w:rsidRPr="00432694">
              <w:rPr>
                <w:b/>
                <w:sz w:val="24"/>
                <w:szCs w:val="24"/>
                <w:lang w:val="en-US"/>
              </w:rPr>
              <w:t>ImpTimeFrame1</w:t>
            </w:r>
            <w:r w:rsidRPr="00432694">
              <w:rPr>
                <w:sz w:val="24"/>
                <w:szCs w:val="24"/>
                <w:lang w:val="en-US"/>
              </w:rPr>
              <w:t xml:space="preserve"> = PERIOD_M1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953113" w:rsidRDefault="00DB01C7" w:rsidP="00BA633B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Таймфрейм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индикатора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первого колена</w:t>
            </w:r>
          </w:p>
        </w:tc>
      </w:tr>
      <w:tr w:rsidR="00DB01C7" w:rsidRPr="0095311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r w:rsidRPr="00432694">
              <w:rPr>
                <w:b/>
                <w:sz w:val="24"/>
                <w:szCs w:val="24"/>
                <w:lang w:val="en-US"/>
              </w:rPr>
              <w:t>ImpPeriod1</w:t>
            </w:r>
            <w:r w:rsidRPr="00BA633B">
              <w:rPr>
                <w:lang w:val="en-US"/>
              </w:rPr>
              <w:t xml:space="preserve">  = 30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953113" w:rsidRDefault="00DB01C7" w:rsidP="00953113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Период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импульсного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индикатора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.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Данный параметр имеет смысл только для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CCI</w:t>
            </w:r>
            <w:r w:rsidRPr="0095311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,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RSI</w:t>
            </w:r>
            <w:r w:rsidRPr="0095311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и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DeMarker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.</w:t>
            </w:r>
          </w:p>
        </w:tc>
      </w:tr>
      <w:tr w:rsidR="00DB01C7" w:rsidRPr="0095311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953113" w:rsidRDefault="00DB01C7" w:rsidP="00BA633B">
            <w:pPr>
              <w:spacing w:after="0" w:line="262" w:lineRule="atLeast"/>
            </w:pPr>
            <w:r w:rsidRPr="00432694">
              <w:rPr>
                <w:b/>
                <w:sz w:val="24"/>
                <w:szCs w:val="24"/>
                <w:lang w:val="en-US"/>
              </w:rPr>
              <w:t>LGCoeff1</w:t>
            </w:r>
            <w:r w:rsidRPr="00BA633B">
              <w:rPr>
                <w:lang w:val="en-US"/>
              </w:rPr>
              <w:t xml:space="preserve">   = 0.75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953113" w:rsidRDefault="00DB01C7" w:rsidP="00953113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Коэффициент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для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индикатора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LaGuerre</w:t>
            </w:r>
            <w:proofErr w:type="spellEnd"/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.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См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.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Примечания!</w:t>
            </w: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953113" w:rsidRDefault="00DB01C7" w:rsidP="00BA633B">
            <w:pPr>
              <w:spacing w:after="0" w:line="262" w:lineRule="atLeast"/>
            </w:pPr>
            <w:r w:rsidRPr="00432694">
              <w:rPr>
                <w:b/>
                <w:sz w:val="24"/>
                <w:szCs w:val="24"/>
                <w:lang w:val="en-US"/>
              </w:rPr>
              <w:t>ImpLevel1</w:t>
            </w:r>
            <w:r w:rsidRPr="00BA633B">
              <w:rPr>
                <w:lang w:val="en-US"/>
              </w:rPr>
              <w:t xml:space="preserve">   = 50</w:t>
            </w:r>
            <w:r>
              <w:t>.1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602703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Уровень значения индикатора ниже которого фильтр дает «добро» на открытие ордера. Для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CCI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любое положительное или отрицательное число. Для</w:t>
            </w:r>
            <w:r w:rsidRPr="0095311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RSI</w:t>
            </w:r>
            <w:r w:rsidRPr="0060270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и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LaGuerre</w:t>
            </w:r>
            <w:proofErr w:type="spellEnd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– число в диапазоне 0 - 50,0. Поскольку индикатор имеет показания в диапазоне 0-100, то для расчета используются значения 50+/-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ImpLevel</w:t>
            </w:r>
            <w:proofErr w:type="spellEnd"/>
            <w:r w:rsidRPr="0095311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1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. Т.е. если Вы задали значение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ImpLevel</w:t>
            </w:r>
            <w:proofErr w:type="spellEnd"/>
            <w:r w:rsidRPr="0095311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=20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, то уровень сигнала зафиксирован на 50-20=30 и 50+20=70 %.</w:t>
            </w:r>
          </w:p>
          <w:p w:rsidR="00DB01C7" w:rsidRPr="00602703" w:rsidRDefault="00DB01C7" w:rsidP="00602703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Для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DeMarker</w:t>
            </w:r>
            <w:proofErr w:type="spellEnd"/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диапазон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значений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0,0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до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1,0.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Уровень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высчитывается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как</w:t>
            </w:r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0,5 +/- </w:t>
            </w:r>
            <w:proofErr w:type="spellStart"/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ImpLevel</w:t>
            </w:r>
            <w:proofErr w:type="spellEnd"/>
            <w:r w:rsidRPr="00432694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1.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Значение должно быть в диапазоне 0,0 – 0,5 (можно ставить и другие, но это не имеет смысла.</w:t>
            </w: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proofErr w:type="spellStart"/>
            <w:r w:rsidRPr="00432694">
              <w:rPr>
                <w:b/>
                <w:sz w:val="24"/>
                <w:szCs w:val="24"/>
                <w:lang w:val="en-US"/>
              </w:rPr>
              <w:t>use_imp_for_next_Order</w:t>
            </w:r>
            <w:proofErr w:type="spellEnd"/>
            <w:r w:rsidRPr="00BA633B">
              <w:rPr>
                <w:lang w:val="en-US"/>
              </w:rPr>
              <w:t xml:space="preserve"> = 0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Pr="008339C8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Выбор использования фильтра 2+ колен. 0 – фильтр отключён, «положительное число» - номер колена начиная с которого фильтр будет применен. «отрицательное число» - номер колена с которого будет применен фильтр, но логика 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BUY</w:t>
            </w:r>
            <w:r w:rsidRPr="00602703"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/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  <w:lang w:val="en-US"/>
              </w:rPr>
              <w:t>SELL</w:t>
            </w: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 xml:space="preserve"> перевернута. Если </w:t>
            </w:r>
            <w:r>
              <w:rPr>
                <w:lang w:val="en-US"/>
              </w:rPr>
              <w:t>use</w:t>
            </w:r>
            <w:r w:rsidRPr="008339C8">
              <w:t>_</w:t>
            </w:r>
            <w:r>
              <w:rPr>
                <w:lang w:val="en-US"/>
              </w:rPr>
              <w:t>imp</w:t>
            </w:r>
            <w:r w:rsidRPr="008339C8">
              <w:t>_</w:t>
            </w:r>
            <w:r>
              <w:rPr>
                <w:lang w:val="en-US"/>
              </w:rPr>
              <w:t>for</w:t>
            </w:r>
            <w:r w:rsidRPr="008339C8">
              <w:t>_</w:t>
            </w:r>
            <w:r>
              <w:rPr>
                <w:lang w:val="en-US"/>
              </w:rPr>
              <w:t>next</w:t>
            </w:r>
            <w:r w:rsidRPr="008339C8">
              <w:t>_</w:t>
            </w:r>
            <w:r>
              <w:rPr>
                <w:lang w:val="en-US"/>
              </w:rPr>
              <w:t>Order</w:t>
            </w:r>
            <w:r w:rsidRPr="008339C8">
              <w:t xml:space="preserve"> = 1, то начиная со второго ордера (первого колена) для </w:t>
            </w:r>
            <w:r>
              <w:rPr>
                <w:lang w:val="en-US"/>
              </w:rPr>
              <w:t>BUY</w:t>
            </w:r>
            <w:r>
              <w:t xml:space="preserve"> нужно чтобы значение индикатора было </w:t>
            </w:r>
            <w:r w:rsidRPr="008339C8">
              <w:rPr>
                <w:u w:val="single"/>
              </w:rPr>
              <w:t>меньше</w:t>
            </w:r>
            <w:r>
              <w:rPr>
                <w:u w:val="single"/>
              </w:rPr>
              <w:t xml:space="preserve"> </w:t>
            </w:r>
            <w:proofErr w:type="spellStart"/>
            <w:r w:rsidRPr="00BA633B">
              <w:rPr>
                <w:lang w:val="en-US"/>
              </w:rPr>
              <w:t>ImpLevel</w:t>
            </w:r>
            <w:proofErr w:type="spellEnd"/>
            <w:r>
              <w:t xml:space="preserve">. Если же </w:t>
            </w:r>
            <w:r>
              <w:rPr>
                <w:lang w:val="en-US"/>
              </w:rPr>
              <w:t>use</w:t>
            </w:r>
            <w:r w:rsidRPr="008339C8">
              <w:t>_</w:t>
            </w:r>
            <w:r>
              <w:rPr>
                <w:lang w:val="en-US"/>
              </w:rPr>
              <w:t>imp</w:t>
            </w:r>
            <w:r w:rsidRPr="008339C8">
              <w:t>_</w:t>
            </w:r>
            <w:r>
              <w:rPr>
                <w:lang w:val="en-US"/>
              </w:rPr>
              <w:t>for</w:t>
            </w:r>
            <w:r w:rsidRPr="008339C8">
              <w:t>_</w:t>
            </w:r>
            <w:r>
              <w:rPr>
                <w:lang w:val="en-US"/>
              </w:rPr>
              <w:t>next</w:t>
            </w:r>
            <w:r w:rsidRPr="008339C8">
              <w:t>_</w:t>
            </w:r>
            <w:r>
              <w:rPr>
                <w:lang w:val="en-US"/>
              </w:rPr>
              <w:t>Order</w:t>
            </w:r>
            <w:r w:rsidRPr="008339C8">
              <w:t xml:space="preserve"> = </w:t>
            </w:r>
            <w:r>
              <w:t>-</w:t>
            </w:r>
            <w:r w:rsidRPr="008339C8">
              <w:t>1</w:t>
            </w:r>
            <w:r>
              <w:t xml:space="preserve"> то </w:t>
            </w:r>
            <w:r w:rsidRPr="008339C8">
              <w:t xml:space="preserve">для </w:t>
            </w:r>
            <w:r>
              <w:rPr>
                <w:lang w:val="en-US"/>
              </w:rPr>
              <w:t>BUY</w:t>
            </w:r>
            <w:r>
              <w:t xml:space="preserve"> нужно чтобы значение индикатора было </w:t>
            </w:r>
            <w:r>
              <w:rPr>
                <w:u w:val="single"/>
              </w:rPr>
              <w:t xml:space="preserve">больше </w:t>
            </w:r>
            <w:proofErr w:type="spellStart"/>
            <w:r w:rsidRPr="00BA633B">
              <w:rPr>
                <w:lang w:val="en-US"/>
              </w:rPr>
              <w:t>ImpLevel</w:t>
            </w:r>
            <w:proofErr w:type="spellEnd"/>
            <w:r>
              <w:t>.</w:t>
            </w: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432694" w:rsidRDefault="00DB01C7" w:rsidP="00BA633B">
            <w:pPr>
              <w:spacing w:after="0" w:line="262" w:lineRule="atLeast"/>
            </w:pP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  <w:t>Для следующих параметров смысл точно такой же как и в случае первого ордера.</w:t>
            </w: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proofErr w:type="spellStart"/>
            <w:r w:rsidRPr="00E20799">
              <w:rPr>
                <w:b/>
                <w:sz w:val="24"/>
                <w:szCs w:val="24"/>
                <w:lang w:val="en-US"/>
              </w:rPr>
              <w:t>ImpTimeFrame</w:t>
            </w:r>
            <w:proofErr w:type="spellEnd"/>
            <w:r w:rsidRPr="00BA633B">
              <w:rPr>
                <w:lang w:val="en-US"/>
              </w:rPr>
              <w:t xml:space="preserve"> = PERIOD_M1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proofErr w:type="spellStart"/>
            <w:r w:rsidRPr="00E20799">
              <w:rPr>
                <w:b/>
                <w:sz w:val="24"/>
                <w:szCs w:val="24"/>
                <w:lang w:val="en-US"/>
              </w:rPr>
              <w:t>ImpPeriod</w:t>
            </w:r>
            <w:proofErr w:type="spellEnd"/>
            <w:r w:rsidRPr="00BA633B">
              <w:rPr>
                <w:lang w:val="en-US"/>
              </w:rPr>
              <w:t xml:space="preserve">  = 30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proofErr w:type="spellStart"/>
            <w:r w:rsidRPr="00E20799">
              <w:rPr>
                <w:b/>
                <w:sz w:val="24"/>
                <w:szCs w:val="24"/>
                <w:lang w:val="en-US"/>
              </w:rPr>
              <w:t>LGCoeff</w:t>
            </w:r>
            <w:proofErr w:type="spellEnd"/>
            <w:r w:rsidRPr="00432694">
              <w:rPr>
                <w:b/>
                <w:lang w:val="en-US"/>
              </w:rPr>
              <w:t xml:space="preserve"> </w:t>
            </w:r>
            <w:r w:rsidRPr="00BA633B">
              <w:rPr>
                <w:lang w:val="en-US"/>
              </w:rPr>
              <w:t xml:space="preserve">  = 0.75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  <w:tr w:rsidR="00DB01C7" w:rsidRPr="00602703" w:rsidTr="00E20799">
        <w:trPr>
          <w:tblCellSpacing w:w="15" w:type="dxa"/>
        </w:trPr>
        <w:tc>
          <w:tcPr>
            <w:tcW w:w="3216" w:type="dxa"/>
            <w:shd w:val="clear" w:color="auto" w:fill="E7EAEF"/>
          </w:tcPr>
          <w:p w:rsidR="00DB01C7" w:rsidRPr="00BA633B" w:rsidRDefault="00DB01C7" w:rsidP="00BA633B">
            <w:pPr>
              <w:spacing w:after="0" w:line="262" w:lineRule="atLeast"/>
              <w:rPr>
                <w:lang w:val="en-US"/>
              </w:rPr>
            </w:pPr>
            <w:proofErr w:type="spellStart"/>
            <w:r w:rsidRPr="00E20799">
              <w:rPr>
                <w:b/>
                <w:sz w:val="24"/>
                <w:szCs w:val="24"/>
              </w:rPr>
              <w:t>ImpLevel</w:t>
            </w:r>
            <w:proofErr w:type="spellEnd"/>
            <w:r>
              <w:t xml:space="preserve">   = 50,0</w:t>
            </w:r>
          </w:p>
        </w:tc>
        <w:tc>
          <w:tcPr>
            <w:tcW w:w="12145" w:type="dxa"/>
            <w:shd w:val="clear" w:color="auto" w:fill="E7EAEF"/>
            <w:vAlign w:val="center"/>
          </w:tcPr>
          <w:p w:rsidR="00DB01C7" w:rsidRDefault="00DB01C7" w:rsidP="008339C8">
            <w:pPr>
              <w:spacing w:after="0" w:line="262" w:lineRule="atLeast"/>
              <w:rPr>
                <w:rFonts w:ascii="Verdana" w:hAnsi="Verdana"/>
                <w:color w:val="444444"/>
                <w:sz w:val="19"/>
                <w:szCs w:val="19"/>
                <w:shd w:val="clear" w:color="auto" w:fill="E7EAEF"/>
              </w:rPr>
            </w:pPr>
          </w:p>
        </w:tc>
      </w:tr>
    </w:tbl>
    <w:p w:rsidR="00432694" w:rsidRDefault="00432694" w:rsidP="008339C8"/>
    <w:p w:rsidR="007943DE" w:rsidRPr="00E20799" w:rsidRDefault="008339C8" w:rsidP="008339C8">
      <w:pPr>
        <w:rPr>
          <w:b/>
          <w:sz w:val="24"/>
          <w:szCs w:val="24"/>
        </w:rPr>
      </w:pPr>
      <w:r w:rsidRPr="00E20799">
        <w:rPr>
          <w:b/>
          <w:sz w:val="24"/>
          <w:szCs w:val="24"/>
        </w:rPr>
        <w:t>Примечания.</w:t>
      </w:r>
    </w:p>
    <w:p w:rsidR="008339C8" w:rsidRDefault="008339C8" w:rsidP="00F41E54">
      <w:pPr>
        <w:pStyle w:val="a4"/>
        <w:numPr>
          <w:ilvl w:val="0"/>
          <w:numId w:val="1"/>
        </w:numPr>
      </w:pPr>
      <w:r>
        <w:t xml:space="preserve">Не все знают, что индикатор известный под названием </w:t>
      </w:r>
      <w:proofErr w:type="spellStart"/>
      <w:r>
        <w:rPr>
          <w:lang w:val="en-US"/>
        </w:rPr>
        <w:t>LaGuerre</w:t>
      </w:r>
      <w:proofErr w:type="spellEnd"/>
      <w:r>
        <w:t xml:space="preserve"> на самом деле просто индикатор </w:t>
      </w:r>
      <w:r>
        <w:rPr>
          <w:lang w:val="en-US"/>
        </w:rPr>
        <w:t>RSI</w:t>
      </w:r>
      <w:r>
        <w:t xml:space="preserve"> подвергнутый преобразованию четырехзвенным алг</w:t>
      </w:r>
      <w:r w:rsidR="00C93203">
        <w:t>ор</w:t>
      </w:r>
      <w:r>
        <w:t xml:space="preserve">итмом </w:t>
      </w:r>
      <w:proofErr w:type="spellStart"/>
      <w:r w:rsidR="006B7DF1">
        <w:rPr>
          <w:lang w:val="en-US"/>
        </w:rPr>
        <w:t>LaGuerre</w:t>
      </w:r>
      <w:proofErr w:type="spellEnd"/>
      <w:r w:rsidR="006B7DF1">
        <w:t xml:space="preserve"> описанным</w:t>
      </w:r>
      <w:r w:rsidR="00C93203">
        <w:t xml:space="preserve"> Джоном </w:t>
      </w:r>
      <w:proofErr w:type="spellStart"/>
      <w:r w:rsidR="00C93203">
        <w:t>Элерсом</w:t>
      </w:r>
      <w:proofErr w:type="spellEnd"/>
      <w:r w:rsidR="00C93203">
        <w:t xml:space="preserve"> в книге «</w:t>
      </w:r>
      <w:proofErr w:type="spellStart"/>
      <w:r w:rsidR="00F41E54" w:rsidRPr="00F41E54">
        <w:t>Cybernetic</w:t>
      </w:r>
      <w:proofErr w:type="spellEnd"/>
      <w:r w:rsidR="00F41E54" w:rsidRPr="00F41E54">
        <w:t xml:space="preserve"> </w:t>
      </w:r>
      <w:proofErr w:type="spellStart"/>
      <w:r w:rsidR="00F41E54" w:rsidRPr="00F41E54">
        <w:t>Analysis</w:t>
      </w:r>
      <w:proofErr w:type="spellEnd"/>
      <w:r w:rsidR="00F41E54" w:rsidRPr="00F41E54">
        <w:t xml:space="preserve"> </w:t>
      </w:r>
      <w:proofErr w:type="spellStart"/>
      <w:r w:rsidR="00F41E54" w:rsidRPr="00F41E54">
        <w:t>for</w:t>
      </w:r>
      <w:proofErr w:type="spellEnd"/>
      <w:r w:rsidR="00F41E54" w:rsidRPr="00F41E54">
        <w:t xml:space="preserve"> </w:t>
      </w:r>
      <w:proofErr w:type="spellStart"/>
      <w:r w:rsidR="00F41E54" w:rsidRPr="00F41E54">
        <w:t>Stocks</w:t>
      </w:r>
      <w:proofErr w:type="spellEnd"/>
      <w:r w:rsidR="00F41E54" w:rsidRPr="00F41E54">
        <w:t xml:space="preserve"> </w:t>
      </w:r>
      <w:proofErr w:type="spellStart"/>
      <w:r w:rsidR="00F41E54" w:rsidRPr="00F41E54">
        <w:t>and</w:t>
      </w:r>
      <w:proofErr w:type="spellEnd"/>
      <w:r w:rsidR="00F41E54" w:rsidRPr="00F41E54">
        <w:t xml:space="preserve"> </w:t>
      </w:r>
      <w:proofErr w:type="spellStart"/>
      <w:r w:rsidR="00F41E54" w:rsidRPr="00F41E54">
        <w:t>Futures</w:t>
      </w:r>
      <w:proofErr w:type="spellEnd"/>
      <w:r w:rsidR="00C93203">
        <w:t>».</w:t>
      </w:r>
      <w:r w:rsidR="006B7DF1" w:rsidRPr="006B7DF1">
        <w:t xml:space="preserve"> </w:t>
      </w:r>
      <w:proofErr w:type="spellStart"/>
      <w:r w:rsidR="006B7DF1">
        <w:rPr>
          <w:lang w:val="en-US"/>
        </w:rPr>
        <w:t>LGCoeff</w:t>
      </w:r>
      <w:proofErr w:type="spellEnd"/>
      <w:r w:rsidR="006B7DF1">
        <w:t xml:space="preserve"> – частотное выражение периода индикатора. Оно связано с периодом простой формулой «Частота = 1 / Период». При значении коэффициента 0 – мы получаем просто </w:t>
      </w:r>
      <w:r w:rsidR="006B7DF1">
        <w:rPr>
          <w:lang w:val="en-US"/>
        </w:rPr>
        <w:t>RSI</w:t>
      </w:r>
      <w:r w:rsidR="006B7DF1">
        <w:t xml:space="preserve"> при значении 1,0 получаем прямую линию. Чем ближе </w:t>
      </w:r>
      <w:proofErr w:type="spellStart"/>
      <w:r w:rsidR="006B7DF1">
        <w:rPr>
          <w:lang w:val="en-US"/>
        </w:rPr>
        <w:t>LGCoeff</w:t>
      </w:r>
      <w:proofErr w:type="spellEnd"/>
      <w:r w:rsidR="006B7DF1">
        <w:t xml:space="preserve"> к единице, тем больший период имеет </w:t>
      </w:r>
      <w:proofErr w:type="spellStart"/>
      <w:r w:rsidR="006B7DF1">
        <w:rPr>
          <w:lang w:val="en-US"/>
        </w:rPr>
        <w:t>LaGuerreRSI</w:t>
      </w:r>
      <w:proofErr w:type="spellEnd"/>
      <w:r w:rsidR="006B7DF1">
        <w:t>.</w:t>
      </w:r>
      <w:r w:rsidR="00C93203">
        <w:t xml:space="preserve"> Есть задумки, пока не реализованные, ввести в дополнение к </w:t>
      </w:r>
      <w:r w:rsidR="00C93203">
        <w:rPr>
          <w:lang w:val="en-US"/>
        </w:rPr>
        <w:t>ADX</w:t>
      </w:r>
      <w:r w:rsidR="00C93203">
        <w:t xml:space="preserve"> индикатор </w:t>
      </w:r>
      <w:proofErr w:type="spellStart"/>
      <w:r w:rsidR="00C93203">
        <w:rPr>
          <w:lang w:val="en-US"/>
        </w:rPr>
        <w:t>LaGuerreFIR</w:t>
      </w:r>
      <w:proofErr w:type="spellEnd"/>
      <w:r w:rsidR="00C93203">
        <w:t xml:space="preserve"> – очень мощный адаптивный индикатор, сочетающий «плавность» «длинной </w:t>
      </w:r>
      <w:proofErr w:type="spellStart"/>
      <w:r w:rsidR="00C93203">
        <w:t>машки</w:t>
      </w:r>
      <w:proofErr w:type="spellEnd"/>
      <w:r w:rsidR="00C93203">
        <w:t>» и высокую чувствительность «короткой», при этом он «не гавкает дважды»!</w:t>
      </w:r>
    </w:p>
    <w:p w:rsidR="00C93203" w:rsidRDefault="00C93203" w:rsidP="00C93203">
      <w:pPr>
        <w:pStyle w:val="a4"/>
        <w:numPr>
          <w:ilvl w:val="0"/>
          <w:numId w:val="1"/>
        </w:numPr>
      </w:pPr>
      <w:r>
        <w:t xml:space="preserve">Для импульсных индикаторов значение </w:t>
      </w:r>
      <w:proofErr w:type="spellStart"/>
      <w:r>
        <w:rPr>
          <w:lang w:val="en-US"/>
        </w:rPr>
        <w:t>ImpLevel</w:t>
      </w:r>
      <w:proofErr w:type="spellEnd"/>
      <w:r>
        <w:t xml:space="preserve"> не единственная учитываемая характеристика сигнала индикатора. Учитывается еще и наклон линии графика индикатора. Т.е. Если мы задали </w:t>
      </w:r>
      <w:proofErr w:type="spellStart"/>
      <w:r>
        <w:rPr>
          <w:lang w:val="en-US"/>
        </w:rPr>
        <w:t>ImpLevel</w:t>
      </w:r>
      <w:proofErr w:type="spellEnd"/>
      <w:r w:rsidRPr="00C93203">
        <w:t xml:space="preserve"> = 125 (</w:t>
      </w:r>
      <w:r>
        <w:t xml:space="preserve">для </w:t>
      </w:r>
      <w:r>
        <w:rPr>
          <w:lang w:val="en-US"/>
        </w:rPr>
        <w:t>CCI</w:t>
      </w:r>
      <w:proofErr w:type="gramStart"/>
      <w:r>
        <w:t>)</w:t>
      </w:r>
      <w:proofErr w:type="gramEnd"/>
      <w:r>
        <w:t xml:space="preserve"> то фильтр «откроется» только тогда когда уровень сигнала будет больше </w:t>
      </w:r>
      <w:proofErr w:type="spellStart"/>
      <w:r>
        <w:rPr>
          <w:lang w:val="en-US"/>
        </w:rPr>
        <w:t>ImpLevel</w:t>
      </w:r>
      <w:proofErr w:type="spellEnd"/>
      <w:r w:rsidRPr="00C93203">
        <w:t xml:space="preserve"> </w:t>
      </w:r>
      <w:r>
        <w:t xml:space="preserve">(для положительного значения) и линия индикатора покажет уменьшение значения. Т.е. </w:t>
      </w:r>
      <w:r w:rsidR="00692B2A">
        <w:t>индикатор «стремится» выйти из экстремума.</w:t>
      </w:r>
    </w:p>
    <w:p w:rsidR="00692B2A" w:rsidRDefault="00692B2A" w:rsidP="00C93203">
      <w:pPr>
        <w:pStyle w:val="a4"/>
        <w:numPr>
          <w:ilvl w:val="0"/>
          <w:numId w:val="1"/>
        </w:numPr>
      </w:pPr>
      <w:r>
        <w:t xml:space="preserve">Значения </w:t>
      </w:r>
      <w:proofErr w:type="spellStart"/>
      <w:r>
        <w:rPr>
          <w:lang w:val="en-US"/>
        </w:rPr>
        <w:t>xxxLevel</w:t>
      </w:r>
      <w:proofErr w:type="spellEnd"/>
      <w:r>
        <w:t xml:space="preserve"> могут иметь не только положительные величины! Если поставить </w:t>
      </w:r>
      <w:proofErr w:type="spellStart"/>
      <w:r>
        <w:rPr>
          <w:lang w:val="en-US"/>
        </w:rPr>
        <w:t>ImpLevel</w:t>
      </w:r>
      <w:proofErr w:type="spellEnd"/>
      <w:r>
        <w:t xml:space="preserve"> = -120, то это будет означать, что фильтр «закрыт» только если значение индикатора ниже -120 для позиции</w:t>
      </w:r>
      <w:r w:rsidRPr="00692B2A">
        <w:t xml:space="preserve"> </w:t>
      </w:r>
      <w:r>
        <w:rPr>
          <w:lang w:val="en-US"/>
        </w:rPr>
        <w:t>SELL</w:t>
      </w:r>
      <w:r>
        <w:t xml:space="preserve">, во всем остальном диапазоне фильтр «открыт». Такая логика позволяет строить подобие канала для разрешенных значений индикаторов. Данное замечание относится не только к импульсным фильтрам, но и к </w:t>
      </w:r>
      <w:r>
        <w:rPr>
          <w:lang w:val="en-US"/>
        </w:rPr>
        <w:t>ADX</w:t>
      </w:r>
      <w:r>
        <w:t>, точно также.</w:t>
      </w:r>
    </w:p>
    <w:p w:rsidR="00692B2A" w:rsidRDefault="00692B2A" w:rsidP="00C93203">
      <w:pPr>
        <w:pStyle w:val="a4"/>
        <w:numPr>
          <w:ilvl w:val="0"/>
          <w:numId w:val="1"/>
        </w:numPr>
      </w:pPr>
      <w:r>
        <w:t xml:space="preserve">Индикатор </w:t>
      </w:r>
      <w:r>
        <w:rPr>
          <w:lang w:val="en-US"/>
        </w:rPr>
        <w:t>ADX</w:t>
      </w:r>
      <w:r>
        <w:t xml:space="preserve">. Почему такой «странный» выбор? Рассматривая графики разных осцилляторов, я пришел к выводу, что все они показывают одно и то же, почти в одно и то же время, отсюда вывод – иметь 2-3-4 импульсных индикатора не имеет особого смысла. А вот для фильтрации колен очень полезно иметь трендовый индикатор. «Машка» - затаскано, </w:t>
      </w:r>
      <w:r w:rsidR="00D320DE">
        <w:t>«г</w:t>
      </w:r>
      <w:r>
        <w:t>авкает дважды»</w:t>
      </w:r>
      <w:r w:rsidR="00D320DE">
        <w:t xml:space="preserve">, очень сильно запаздывает. </w:t>
      </w:r>
      <w:r w:rsidR="00D320DE">
        <w:rPr>
          <w:lang w:val="en-US"/>
        </w:rPr>
        <w:t>ADX</w:t>
      </w:r>
      <w:r w:rsidR="00DB01C7">
        <w:t>,</w:t>
      </w:r>
      <w:r w:rsidR="00D320DE">
        <w:t xml:space="preserve"> в этом плане</w:t>
      </w:r>
      <w:r w:rsidR="00DB01C7">
        <w:t>,</w:t>
      </w:r>
      <w:r w:rsidR="00D320DE">
        <w:t xml:space="preserve"> намного точнее и менее инерционен. Параметр </w:t>
      </w:r>
      <w:r w:rsidR="00D320DE" w:rsidRPr="00BA633B">
        <w:rPr>
          <w:rFonts w:ascii="inherit" w:eastAsia="Times New Roman" w:hAnsi="inherit" w:cs="Times New Roman"/>
          <w:b/>
          <w:bCs/>
          <w:color w:val="444444"/>
          <w:sz w:val="19"/>
          <w:szCs w:val="19"/>
          <w:lang w:eastAsia="ru-RU"/>
        </w:rPr>
        <w:t>use_ADX_ds1</w:t>
      </w:r>
      <w:r w:rsidR="00D320DE" w:rsidRPr="00BA633B">
        <w:rPr>
          <w:rFonts w:ascii="inherit" w:eastAsia="Times New Roman" w:hAnsi="inherit" w:cs="Times New Roman"/>
          <w:color w:val="444444"/>
          <w:sz w:val="19"/>
          <w:szCs w:val="19"/>
          <w:lang w:eastAsia="ru-RU"/>
        </w:rPr>
        <w:t> = 0.0</w:t>
      </w:r>
      <w:r w:rsidR="00D320DE">
        <w:rPr>
          <w:rFonts w:ascii="inherit" w:eastAsia="Times New Roman" w:hAnsi="inherit" w:cs="Times New Roman"/>
          <w:color w:val="444444"/>
          <w:sz w:val="19"/>
          <w:szCs w:val="19"/>
          <w:lang w:eastAsia="ru-RU"/>
        </w:rPr>
        <w:t xml:space="preserve"> – </w:t>
      </w:r>
      <w:r w:rsidR="00D320DE" w:rsidRPr="00D320DE">
        <w:t>использовать надо с осторожностью</w:t>
      </w:r>
      <w:r w:rsidR="00D320DE">
        <w:rPr>
          <w:rFonts w:ascii="inherit" w:eastAsia="Times New Roman" w:hAnsi="inherit" w:cs="Times New Roman"/>
          <w:color w:val="444444"/>
          <w:sz w:val="19"/>
          <w:szCs w:val="19"/>
          <w:lang w:eastAsia="ru-RU"/>
        </w:rPr>
        <w:t xml:space="preserve">. </w:t>
      </w:r>
      <w:r w:rsidR="00D320DE" w:rsidRPr="00D320DE">
        <w:t>Он</w:t>
      </w:r>
      <w:r w:rsidR="00D320DE">
        <w:t xml:space="preserve"> отвечает за учет наклона кривой </w:t>
      </w:r>
      <w:r w:rsidR="00D320DE">
        <w:rPr>
          <w:lang w:val="en-US"/>
        </w:rPr>
        <w:t>ADX</w:t>
      </w:r>
      <w:r w:rsidR="00D320DE">
        <w:t xml:space="preserve">, которая является сглаженной на период </w:t>
      </w:r>
      <w:r w:rsidR="00D320DE">
        <w:rPr>
          <w:lang w:val="en-US"/>
        </w:rPr>
        <w:t>ADX</w:t>
      </w:r>
      <w:r w:rsidR="00D320DE">
        <w:t xml:space="preserve"> разностью </w:t>
      </w:r>
      <w:r w:rsidR="00D320DE">
        <w:rPr>
          <w:lang w:val="en-US"/>
        </w:rPr>
        <w:t>DI</w:t>
      </w:r>
      <w:r w:rsidR="00D320DE" w:rsidRPr="00D320DE">
        <w:t xml:space="preserve">+ </w:t>
      </w:r>
      <w:r w:rsidR="00D320DE">
        <w:rPr>
          <w:lang w:val="en-US"/>
        </w:rPr>
        <w:t>DI</w:t>
      </w:r>
      <w:r w:rsidR="00D320DE" w:rsidRPr="00D320DE">
        <w:t>-</w:t>
      </w:r>
      <w:r w:rsidR="00D320DE">
        <w:t xml:space="preserve">. Очевидно, обладает запаздыванием и другими побочными эффектами. </w:t>
      </w:r>
      <w:r w:rsidR="00D320DE">
        <w:rPr>
          <w:lang w:val="en-US"/>
        </w:rPr>
        <w:t>Use</w:t>
      </w:r>
      <w:r w:rsidR="00D320DE" w:rsidRPr="00D320DE">
        <w:t>_</w:t>
      </w:r>
      <w:r w:rsidR="00D320DE">
        <w:rPr>
          <w:lang w:val="en-US"/>
        </w:rPr>
        <w:t>ADX</w:t>
      </w:r>
      <w:r w:rsidR="00D320DE" w:rsidRPr="00D320DE">
        <w:t>_</w:t>
      </w:r>
      <w:r w:rsidR="00D320DE">
        <w:rPr>
          <w:lang w:val="en-US"/>
        </w:rPr>
        <w:t>p</w:t>
      </w:r>
      <w:r w:rsidR="00D320DE" w:rsidRPr="00D320DE">
        <w:t xml:space="preserve">3 = </w:t>
      </w:r>
      <w:r w:rsidR="00D320DE">
        <w:rPr>
          <w:lang w:val="en-US"/>
        </w:rPr>
        <w:t>false</w:t>
      </w:r>
      <w:r w:rsidR="00D320DE">
        <w:t xml:space="preserve"> – лучше не трогать. Это попытка использовать «третий паттерн» </w:t>
      </w:r>
      <w:r w:rsidR="00D320DE">
        <w:rPr>
          <w:lang w:val="en-US"/>
        </w:rPr>
        <w:t>ADX</w:t>
      </w:r>
      <w:r w:rsidR="00D320DE">
        <w:t xml:space="preserve">, при котором расположение </w:t>
      </w:r>
      <w:r w:rsidR="00D320DE">
        <w:rPr>
          <w:lang w:val="en-US"/>
        </w:rPr>
        <w:t>DI</w:t>
      </w:r>
      <w:r w:rsidR="00D320DE" w:rsidRPr="00D320DE">
        <w:t xml:space="preserve">+ </w:t>
      </w:r>
      <w:r w:rsidR="00D320DE">
        <w:rPr>
          <w:lang w:val="en-US"/>
        </w:rPr>
        <w:t>DI</w:t>
      </w:r>
      <w:r w:rsidR="00D320DE" w:rsidRPr="00D320DE">
        <w:t xml:space="preserve">- </w:t>
      </w:r>
      <w:r w:rsidR="00D320DE">
        <w:t xml:space="preserve">учитывается только если линия </w:t>
      </w:r>
      <w:r w:rsidR="00D320DE">
        <w:rPr>
          <w:lang w:val="en-US"/>
        </w:rPr>
        <w:t>ADX</w:t>
      </w:r>
      <w:r w:rsidR="00D320DE">
        <w:t xml:space="preserve"> находится между ними. По моим наблюдениям такая ситуация имеет место примерно</w:t>
      </w:r>
      <w:bookmarkStart w:id="0" w:name="_GoBack"/>
      <w:bookmarkEnd w:id="0"/>
      <w:r w:rsidR="00D320DE">
        <w:t xml:space="preserve"> 5-% времени. Так что, его использование вносит хаос в работу фильтра.</w:t>
      </w:r>
    </w:p>
    <w:sectPr w:rsidR="00692B2A" w:rsidSect="00E20799">
      <w:pgSz w:w="16838" w:h="11906" w:orient="landscape"/>
      <w:pgMar w:top="1418" w:right="113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2377"/>
    <w:multiLevelType w:val="hybridMultilevel"/>
    <w:tmpl w:val="37D0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3B"/>
    <w:rsid w:val="00432694"/>
    <w:rsid w:val="00602703"/>
    <w:rsid w:val="00692B2A"/>
    <w:rsid w:val="006B7DF1"/>
    <w:rsid w:val="008339C8"/>
    <w:rsid w:val="00953113"/>
    <w:rsid w:val="00BA633B"/>
    <w:rsid w:val="00C93203"/>
    <w:rsid w:val="00D320DE"/>
    <w:rsid w:val="00D83920"/>
    <w:rsid w:val="00DB01C7"/>
    <w:rsid w:val="00DD6414"/>
    <w:rsid w:val="00E010D0"/>
    <w:rsid w:val="00E20799"/>
    <w:rsid w:val="00F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C2D3"/>
  <w15:chartTrackingRefBased/>
  <w15:docId w15:val="{667241CA-7B0F-4288-962C-68AF1EE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633B"/>
    <w:rPr>
      <w:b/>
      <w:bCs/>
    </w:rPr>
  </w:style>
  <w:style w:type="character" w:customStyle="1" w:styleId="apple-converted-space">
    <w:name w:val="apple-converted-space"/>
    <w:basedOn w:val="a0"/>
    <w:rsid w:val="00BA633B"/>
  </w:style>
  <w:style w:type="paragraph" w:styleId="a4">
    <w:name w:val="List Paragraph"/>
    <w:basedOn w:val="a"/>
    <w:uiPriority w:val="34"/>
    <w:qFormat/>
    <w:rsid w:val="0083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Capteen</dc:creator>
  <cp:keywords/>
  <dc:description/>
  <cp:lastModifiedBy>Пользователь Windows</cp:lastModifiedBy>
  <cp:revision>3</cp:revision>
  <dcterms:created xsi:type="dcterms:W3CDTF">2019-01-28T06:19:00Z</dcterms:created>
  <dcterms:modified xsi:type="dcterms:W3CDTF">2019-01-28T11:08:00Z</dcterms:modified>
</cp:coreProperties>
</file>