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rPr>
            </w:pPr>
            <w:r>
              <w:rPr>
                <w:sz w:val="28"/>
                <w:szCs w:val="28"/>
              </w:rPr>
              <w:t xml:space="preserve">«___»______________20</w:t>
            </w:r>
            <w:r>
              <w:rPr>
                <w:sz w:val="28"/>
                <w:szCs w:val="28"/>
                <w:u w:val="single"/>
              </w:rPr>
              <w:t xml:space="preserve">24</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rPr>
            </w:pPr>
            <w:r>
              <w:rPr>
                <w:sz w:val="28"/>
                <w:szCs w:val="28"/>
              </w:rPr>
              <w:t xml:space="preserve">«___»______________20</w:t>
            </w:r>
            <w:r>
              <w:rPr>
                <w:sz w:val="28"/>
                <w:szCs w:val="28"/>
                <w:u w:val="single"/>
              </w:rPr>
              <w:t xml:space="preserve">24</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60"/>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60"/>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60"/>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60"/>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60"/>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60"/>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60"/>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60"/>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Сигнализация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Верификация и тестирование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szCs w:val="28"/>
        </w:rPr>
      </w:pPr>
      <w:r>
        <w:rPr>
          <w:szCs w:val="28"/>
        </w:rPr>
        <w:t xml:space="preserve">АКФ – автокорреляционная функция</w:t>
      </w:r>
      <w:r>
        <w:rPr>
          <w:szCs w:val="28"/>
        </w:rPr>
      </w:r>
      <w:r>
        <w:rPr>
          <w:szCs w:val="28"/>
        </w:rPr>
      </w:r>
    </w:p>
    <w:p>
      <w:pPr>
        <w:pStyle w:val="96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60"/>
        <w:pBdr/>
        <w:spacing w:line="360" w:lineRule="auto"/>
        <w:ind w:firstLine="709"/>
        <w:rPr>
          <w:szCs w:val="28"/>
        </w:rPr>
      </w:pPr>
      <w:r>
        <w:rPr>
          <w:szCs w:val="28"/>
        </w:rPr>
        <w:t xml:space="preserve">АЦП – аналого-цифровой преобразователь</w:t>
      </w:r>
      <w:r>
        <w:rPr>
          <w:szCs w:val="28"/>
        </w:rPr>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ВКР – выпускная квалификационная работа</w:t>
      </w:r>
      <w:r>
        <w:rPr>
          <w:szCs w:val="28"/>
        </w:rPr>
      </w:r>
      <w:r>
        <w:rPr>
          <w:szCs w:val="28"/>
        </w:rPr>
      </w:r>
    </w:p>
    <w:p>
      <w:pPr>
        <w:pStyle w:val="960"/>
        <w:pBdr/>
        <w:spacing w:line="360" w:lineRule="auto"/>
        <w:ind w:firstLine="709"/>
        <w:rPr>
          <w:szCs w:val="28"/>
        </w:rPr>
      </w:pPr>
      <w:r>
        <w:rPr>
          <w:szCs w:val="28"/>
        </w:rPr>
        <w:t xml:space="preserve">ИРИ – источник радиоизлучения</w:t>
      </w:r>
      <w:r>
        <w:rPr>
          <w:szCs w:val="28"/>
        </w:rPr>
      </w:r>
      <w:r>
        <w:rPr>
          <w:szCs w:val="28"/>
        </w:rPr>
      </w:r>
    </w:p>
    <w:p>
      <w:pPr>
        <w:pStyle w:val="960"/>
        <w:pBdr/>
        <w:spacing w:line="360" w:lineRule="auto"/>
        <w:ind w:firstLine="709"/>
        <w:rPr>
          <w:szCs w:val="28"/>
        </w:rPr>
      </w:pPr>
      <w:r>
        <w:rPr>
          <w:szCs w:val="28"/>
        </w:rPr>
        <w:t xml:space="preserve">КФ – корреляционная функция</w:t>
      </w:r>
      <w:r>
        <w:rPr>
          <w:szCs w:val="28"/>
        </w:rPr>
      </w:r>
      <w:r>
        <w:rPr>
          <w:szCs w:val="28"/>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РМ – радиомониторинг </w:t>
      </w:r>
      <w:r>
        <w:rPr>
          <w:szCs w:val="28"/>
        </w:rPr>
      </w:r>
      <w:r>
        <w:rPr>
          <w:szCs w:val="28"/>
        </w:rPr>
      </w:r>
    </w:p>
    <w:p>
      <w:pPr>
        <w:pStyle w:val="960"/>
        <w:pBdr/>
        <w:spacing w:line="360" w:lineRule="auto"/>
        <w:ind w:firstLine="709"/>
        <w:rPr>
          <w:szCs w:val="28"/>
        </w:rPr>
      </w:pPr>
      <w:r>
        <w:rPr>
          <w:szCs w:val="28"/>
        </w:rPr>
        <w:t xml:space="preserve">СПМ – спектральная плотность мощности</w:t>
      </w:r>
      <w:r>
        <w:rPr>
          <w:szCs w:val="28"/>
        </w:rPr>
      </w:r>
      <w:r>
        <w:rPr>
          <w:szCs w:val="28"/>
        </w:rPr>
      </w:r>
    </w:p>
    <w:p>
      <w:pPr>
        <w:pStyle w:val="960"/>
        <w:pBdr/>
        <w:spacing w:line="360" w:lineRule="auto"/>
        <w:ind w:firstLine="709"/>
        <w:rPr>
          <w:szCs w:val="28"/>
        </w:rPr>
      </w:pPr>
      <w:r>
        <w:rPr>
          <w:szCs w:val="28"/>
        </w:rPr>
        <w:t xml:space="preserve">ТТХ – тактико-технические характеристики</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lang w:val="en-US"/>
        </w:rPr>
      </w:pPr>
      <w:r>
        <w:rPr>
          <w:lang w:val="en-US"/>
        </w:rPr>
        <w:t xml:space="preserve">BS </w:t>
      </w:r>
      <w:r>
        <w:rPr>
          <w:szCs w:val="28"/>
          <w:lang w:val="en-US"/>
        </w:rPr>
        <w:t xml:space="preserve">–</w:t>
      </w:r>
      <w:r>
        <w:rPr>
          <w:lang w:val="en-US"/>
        </w:rPr>
        <w:t xml:space="preserve"> Base Station</w:t>
      </w:r>
      <w:r>
        <w:rPr>
          <w:lang w:val="en-US"/>
        </w:rPr>
      </w:r>
      <w:r>
        <w:rPr>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highlight w:val="none"/>
          <w:lang w:val="en-US"/>
        </w:rPr>
        <w:t xml:space="preserve">CC – Colour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6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6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6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обработки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[2]</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ind w:firstLine="0"/>
              <w:jc w:val="center"/>
              <w:rPr/>
            </w:pPr>
            <w:r>
              <w:rPr>
                <w:rStyle w:val="965"/>
              </w:rPr>
              <w:t xml:space="preserve">Выше 10 МГц/с</w:t>
            </w:r>
            <w:r/>
          </w:p>
        </w:tc>
      </w:tr>
    </w:tbl>
    <w:p>
      <w:pPr>
        <w:pStyle w:val="974"/>
        <w:pBdr/>
        <w:spacing/>
        <w:ind w:firstLine="0"/>
        <w:rPr/>
      </w:pPr>
      <w:r/>
      <w:r/>
    </w:p>
    <w:p>
      <w:pPr>
        <w:pStyle w:val="974"/>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ind/>
        <w:rPr/>
      </w:pPr>
      <w:r>
        <w:t xml:space="preserve">Таким образом, все средства радиомониторинга делятся на следующие группы [4, 5]:</w:t>
      </w:r>
      <w:r/>
    </w:p>
    <w:p>
      <w:pPr>
        <w:pStyle w:val="974"/>
        <w:numPr>
          <w:ilvl w:val="0"/>
          <w:numId w:val="14"/>
        </w:numPr>
        <w:pBdr/>
        <w:spacing/>
        <w:ind/>
        <w:rPr/>
      </w:pPr>
      <w:r>
        <w:t xml:space="preserve">Стационарные средства РМ;</w:t>
      </w:r>
      <w:r/>
    </w:p>
    <w:p>
      <w:pPr>
        <w:pStyle w:val="974"/>
        <w:numPr>
          <w:ilvl w:val="0"/>
          <w:numId w:val="14"/>
        </w:numPr>
        <w:pBdr/>
        <w:spacing/>
        <w:ind/>
        <w:rPr/>
      </w:pPr>
      <w:r>
        <w:t xml:space="preserve">Мобильные средства РМ наземного, воздушного и морского исполнения;</w:t>
      </w:r>
      <w:r/>
    </w:p>
    <w:p>
      <w:pPr>
        <w:pStyle w:val="974"/>
        <w:numPr>
          <w:ilvl w:val="0"/>
          <w:numId w:val="14"/>
        </w:numPr>
        <w:pBdr/>
        <w:spacing/>
        <w:ind/>
        <w:rPr/>
      </w:pPr>
      <w:r>
        <w:t xml:space="preserve">Портативные средства РМ;</w:t>
      </w:r>
      <w:r/>
    </w:p>
    <w:p>
      <w:pPr>
        <w:pStyle w:val="974"/>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814"/>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ind w:firstLine="571"/>
        <w:rPr/>
      </w:pPr>
      <w:r>
        <w:t xml:space="preserve">Наиболее важные показатели качества пеленгаторов:</w:t>
      </w:r>
      <w:r/>
    </w:p>
    <w:p>
      <w:pPr>
        <w:pStyle w:val="974"/>
        <w:numPr>
          <w:ilvl w:val="0"/>
          <w:numId w:val="15"/>
        </w:numPr>
        <w:pBdr/>
        <w:spacing/>
        <w:ind/>
        <w:rPr/>
      </w:pPr>
      <w:r>
        <w:t xml:space="preserve">точность пеленгования</w:t>
      </w:r>
      <w:r>
        <w:rPr>
          <w:lang w:val="en-US"/>
        </w:rPr>
        <w:t xml:space="preserve">;</w:t>
      </w:r>
      <w:r/>
    </w:p>
    <w:p>
      <w:pPr>
        <w:pStyle w:val="974"/>
        <w:numPr>
          <w:ilvl w:val="0"/>
          <w:numId w:val="15"/>
        </w:numPr>
        <w:pBdr/>
        <w:spacing/>
        <w:ind/>
        <w:rPr/>
      </w:pPr>
      <w:r>
        <w:t xml:space="preserve">чувствительность;</w:t>
      </w:r>
      <w:r/>
    </w:p>
    <w:p>
      <w:pPr>
        <w:pStyle w:val="974"/>
        <w:numPr>
          <w:ilvl w:val="0"/>
          <w:numId w:val="15"/>
        </w:numPr>
        <w:pBdr/>
        <w:spacing/>
        <w:ind/>
        <w:rPr/>
      </w:pPr>
      <w:r>
        <w:t xml:space="preserve">помехоустойчивость;</w:t>
      </w:r>
      <w:r/>
    </w:p>
    <w:p>
      <w:pPr>
        <w:pStyle w:val="974"/>
        <w:numPr>
          <w:ilvl w:val="0"/>
          <w:numId w:val="15"/>
        </w:numPr>
        <w:pBdr/>
        <w:spacing/>
        <w:ind/>
        <w:rPr/>
      </w:pPr>
      <w:r>
        <w:t xml:space="preserve">быстродействие;</w:t>
      </w:r>
      <w:r/>
    </w:p>
    <w:p>
      <w:pPr>
        <w:pStyle w:val="974"/>
        <w:numPr>
          <w:ilvl w:val="0"/>
          <w:numId w:val="15"/>
        </w:numPr>
        <w:pBdr/>
        <w:spacing/>
        <w:ind/>
        <w:rPr/>
      </w:pPr>
      <w:r>
        <w:t xml:space="preserve">разрешающая способность;</w:t>
      </w:r>
      <w:r/>
    </w:p>
    <w:p>
      <w:pPr>
        <w:pStyle w:val="974"/>
        <w:numPr>
          <w:ilvl w:val="0"/>
          <w:numId w:val="15"/>
        </w:numPr>
        <w:pBdr/>
        <w:spacing/>
        <w:ind/>
        <w:rPr/>
      </w:pPr>
      <w:r>
        <w:t xml:space="preserve">диапазон рабочих частот;</w:t>
      </w:r>
      <w:r/>
    </w:p>
    <w:p>
      <w:pPr>
        <w:pStyle w:val="974"/>
        <w:numPr>
          <w:ilvl w:val="0"/>
          <w:numId w:val="15"/>
        </w:numPr>
        <w:pBdr/>
        <w:spacing/>
        <w:ind/>
        <w:rPr/>
      </w:pPr>
      <w:r>
        <w:t xml:space="preserve">вид пеленгуемого сигнала;</w:t>
      </w:r>
      <w:r/>
    </w:p>
    <w:p>
      <w:pPr>
        <w:pStyle w:val="974"/>
        <w:numPr>
          <w:ilvl w:val="0"/>
          <w:numId w:val="15"/>
        </w:numPr>
        <w:pBdr/>
        <w:spacing/>
        <w:ind/>
        <w:rPr/>
      </w:pPr>
      <w:r>
        <w:t xml:space="preserve">время развёртывания;</w:t>
      </w:r>
      <w:r/>
    </w:p>
    <w:p>
      <w:pPr>
        <w:pStyle w:val="974"/>
        <w:numPr>
          <w:ilvl w:val="0"/>
          <w:numId w:val="15"/>
        </w:numPr>
        <w:pBdr/>
        <w:spacing/>
        <w:ind/>
        <w:rPr/>
      </w:pPr>
      <w:r>
        <w:t xml:space="preserve">масса и габаритные размеры;</w:t>
      </w:r>
      <w:r/>
    </w:p>
    <w:p>
      <w:pPr>
        <w:pStyle w:val="974"/>
        <w:numPr>
          <w:ilvl w:val="0"/>
          <w:numId w:val="15"/>
        </w:numPr>
        <w:pBdr/>
        <w:spacing/>
        <w:ind/>
        <w:rPr/>
      </w:pPr>
      <w:r>
        <w:t xml:space="preserve">сложность в производстве и эксплуатации;</w:t>
      </w:r>
      <w:r/>
    </w:p>
    <w:p>
      <w:pPr>
        <w:pStyle w:val="974"/>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74"/>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74"/>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74"/>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ind/>
        <w:rPr/>
      </w:pPr>
      <w:r>
        <w:t xml:space="preserve">Взаимодействие между описанными блоками осуществляется следующим образом:</w:t>
      </w:r>
      <w:r/>
    </w:p>
    <w:p>
      <w:pPr>
        <w:pStyle w:val="974"/>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74"/>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74"/>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ind/>
        <w:rPr/>
      </w:pPr>
      <w:r/>
      <w:r/>
    </w:p>
    <w:p>
      <w:pPr>
        <w:pStyle w:val="974"/>
        <w:pBdr/>
        <w:spacing/>
        <w:ind/>
        <w:rPr>
          <w:b/>
          <w:bCs/>
        </w:rPr>
      </w:pPr>
      <w:r>
        <w:rPr>
          <w:b/>
          <w:bCs/>
          <w:highlight w:val="none"/>
        </w:rPr>
        <w:t xml:space="preserve">4.2. Основные этапы алгоритма</w:t>
      </w:r>
      <w:r>
        <w:rPr>
          <w:b/>
          <w:bCs/>
        </w:rPr>
      </w:r>
      <w:r>
        <w:rPr>
          <w:b/>
          <w:bCs/>
        </w:rPr>
      </w:r>
    </w:p>
    <w:p>
      <w:pPr>
        <w:pStyle w:val="974"/>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74"/>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74"/>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74"/>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74"/>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74"/>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74"/>
        <w:pBdr/>
        <w:spacing/>
        <w:ind w:firstLine="0" w:left="0"/>
        <w:jc w:val="left"/>
        <w:rPr/>
      </w:pPr>
      <w: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74"/>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74"/>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74"/>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74"/>
        <w:pBdr/>
        <w:spacing/>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64"/>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ind w:firstLine="0" w:left="0"/>
        <w:jc w:val="center"/>
        <w:rPr>
          <w:highlight w:val="none"/>
        </w:rPr>
      </w:pPr>
      <w:r>
        <w:rPr>
          <w:highlight w:val="none"/>
        </w:rPr>
      </w:r>
      <w:r>
        <w:rPr>
          <w:highlight w:val="none"/>
        </w:rPr>
      </w:r>
      <w:r>
        <w:rPr>
          <w:highlight w:val="none"/>
        </w:rPr>
      </w:r>
    </w:p>
    <w:p>
      <w:pPr>
        <w:pStyle w:val="974"/>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ind/>
        <w:rPr/>
      </w:pPr>
      <w:r>
        <w:rPr>
          <w:b/>
        </w:rPr>
        <w:t xml:space="preserve">4.6. Верификация и тестирование алгоритма</w:t>
      </w:r>
      <w:r/>
    </w:p>
    <w:p>
      <w:pPr>
        <w:pStyle w:val="964"/>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ind w:firstLine="0"/>
        <w:rPr/>
      </w:pPr>
      <w:r/>
      <w:r/>
    </w:p>
    <w:p>
      <w:pPr>
        <w:pStyle w:val="964"/>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64"/>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ind w:firstLine="0"/>
              <w:jc w:val="center"/>
              <w:rPr>
                <w:highlight w:val="none"/>
              </w:rPr>
            </w:pPr>
            <w:r>
              <w:rPr>
                <w:highlight w:val="none"/>
              </w:rPr>
              <w:t xml:space="preserve">1725</w:t>
            </w:r>
            <w:r>
              <w:rPr>
                <w:highlight w:val="none"/>
              </w:rPr>
            </w:r>
            <w:r>
              <w:rPr>
                <w:highlight w:val="none"/>
              </w:rPr>
            </w:r>
          </w:p>
        </w:tc>
      </w:tr>
    </w:tbl>
    <w:p>
      <w:pPr>
        <w:pStyle w:val="964"/>
        <w:pBdr/>
        <w:spacing/>
        <w:ind w:firstLine="0"/>
        <w:rPr/>
      </w:pPr>
      <w:r/>
      <w:r/>
    </w:p>
    <w:p>
      <w:pPr>
        <w:pStyle w:val="964"/>
        <w:pBdr/>
        <w:spacing/>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ind/>
        <w:rPr/>
      </w:pPr>
      <w:r/>
      <w:r/>
    </w:p>
    <w:p>
      <w:pPr>
        <w:pStyle w:val="964"/>
        <w:pBdr/>
        <w:spacing/>
        <w:ind/>
        <w:rPr/>
      </w:pPr>
      <w:r>
        <w:rPr>
          <w:highlight w:val="none"/>
        </w:rPr>
      </w:r>
      <w:r>
        <w:rPr>
          <w:highlight w:val="none"/>
        </w:rPr>
      </w:r>
      <w:r/>
    </w:p>
    <w:p>
      <w:pPr>
        <w:pStyle w:val="964"/>
        <w:pBdr/>
        <w:spacing/>
        <w:ind/>
        <w:rPr>
          <w:b/>
        </w:rPr>
      </w:pPr>
      <w:r>
        <w:rPr>
          <w:b/>
        </w:rPr>
        <w:t xml:space="preserve">4.8. Помехоустойчивость алгоритма</w:t>
      </w:r>
      <w:r>
        <w:rPr>
          <w:b/>
        </w:rPr>
      </w:r>
      <w:r>
        <w:rPr>
          <w:b/>
        </w:rPr>
      </w:r>
    </w:p>
    <w:p>
      <w:pPr>
        <w:pStyle w:val="974"/>
        <w:pBdr/>
        <w:spacing/>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p>
    <w:p>
      <w:pPr>
        <w:pStyle w:val="974"/>
        <w:pBdr/>
        <w:spacing/>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5" o:title=""/>
                <o:lock v:ext="edit" rotation="t"/>
              </v:shape>
            </w:pict>
          </mc:Fallback>
        </mc:AlternateContent>
      </w:r>
      <w:r>
        <w:rPr>
          <w:lang w:val="en-US"/>
        </w:rPr>
      </w:r>
      <w:r>
        <w:rPr>
          <w:lang w:val="en-US"/>
        </w:rPr>
      </w:r>
    </w:p>
    <w:p>
      <w:pPr>
        <w:pStyle w:val="974"/>
        <w:pBdr/>
        <w:spacing/>
        <w:ind/>
        <w:jc w:val="center"/>
        <w:rPr/>
      </w:pPr>
      <w:r>
        <w:t xml:space="preserve">Рисунок 4.12 – Зависимость оценочных вероятностей от значения ОСШ </w:t>
      </w:r>
      <w:r/>
    </w:p>
    <w:p>
      <w:pPr>
        <w:pStyle w:val="964"/>
        <w:pBdr/>
        <w:spacing/>
        <w:ind/>
        <w:rPr/>
      </w:pPr>
      <w:r/>
      <w:r/>
    </w:p>
    <w:p>
      <w:pPr>
        <w:pStyle w:val="964"/>
        <w:pBdr/>
        <w:spacing/>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ind/>
        <w:rPr>
          <w:highlight w:val="none"/>
        </w:rPr>
      </w:pPr>
      <w:r>
        <w:t xml:space="preserve">Одной из существенных проблем безопасности в программном обеспечении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ind/>
        <w:rPr/>
      </w:pPr>
      <w:r>
        <w:rPr>
          <w:highlight w:val="none"/>
        </w:rPr>
      </w:r>
      <w:r>
        <w:rPr>
          <w:highlight w:val="none"/>
        </w:rPr>
        <w:t xml:space="preserve">Одним из фундаментальных вопросов безопасности программного обеспечения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программного обеспечения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ind/>
        <w:rPr/>
      </w:pPr>
      <w:r>
        <w:t xml:space="preserve">Программное обеспечение, используемое для разработки, отвечает следующим требованиям</w:t>
      </w:r>
      <w:r>
        <w:t xml:space="preserve">:</w:t>
      </w:r>
      <w:r/>
    </w:p>
    <w:p>
      <w:pPr>
        <w:pStyle w:val="964"/>
        <w:numPr>
          <w:ilvl w:val="0"/>
          <w:numId w:val="34"/>
        </w:numPr>
        <w:pBdr/>
        <w:spacing/>
        <w:ind/>
        <w:rPr/>
      </w:pPr>
      <w:r>
        <w:t xml:space="preserve">пользовательский интерфейс является графическим;</w:t>
      </w:r>
      <w:r/>
    </w:p>
    <w:p>
      <w:pPr>
        <w:pStyle w:val="964"/>
        <w:numPr>
          <w:ilvl w:val="0"/>
          <w:numId w:val="34"/>
        </w:numPr>
        <w:pBdr/>
        <w:spacing/>
        <w:ind/>
        <w:rPr/>
      </w:pPr>
      <w:r>
        <w:t xml:space="preserve">элементы управления визуализированы;</w:t>
      </w:r>
      <w:r/>
    </w:p>
    <w:p>
      <w:pPr>
        <w:pStyle w:val="964"/>
        <w:numPr>
          <w:ilvl w:val="0"/>
          <w:numId w:val="34"/>
        </w:numPr>
        <w:pBdr/>
        <w:spacing/>
        <w:ind/>
        <w:rPr/>
      </w:pPr>
      <w:r>
        <w:t xml:space="preserve">пользователю предоставлена вся необходимая информация для принятия решения;</w:t>
      </w:r>
      <w:r/>
    </w:p>
    <w:p>
      <w:pPr>
        <w:pStyle w:val="964"/>
        <w:numPr>
          <w:ilvl w:val="0"/>
          <w:numId w:val="34"/>
        </w:numPr>
        <w:pBdr/>
        <w:spacing/>
        <w:ind/>
        <w:rPr/>
      </w:pPr>
      <w:r>
        <w:t xml:space="preserve">ненужная для принятия решения информация исключена либо скрыта;</w:t>
      </w:r>
      <w:r/>
    </w:p>
    <w:p>
      <w:pPr>
        <w:pStyle w:val="964"/>
        <w:numPr>
          <w:ilvl w:val="0"/>
          <w:numId w:val="34"/>
        </w:numPr>
        <w:pBdr/>
        <w:spacing/>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ind/>
        <w:rPr/>
      </w:pPr>
      <w:r>
        <w:t xml:space="preserve">настройки программы являются понятными и простыми;</w:t>
      </w:r>
      <w:r/>
    </w:p>
    <w:p>
      <w:pPr>
        <w:pStyle w:val="964"/>
        <w:numPr>
          <w:ilvl w:val="0"/>
          <w:numId w:val="34"/>
        </w:numPr>
        <w:pBdr/>
        <w:spacing/>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ind/>
        <w:rPr/>
      </w:pPr>
      <w:r>
        <w:t xml:space="preserve">пригодность для выполнения задачи;</w:t>
      </w:r>
      <w:r/>
    </w:p>
    <w:p>
      <w:pPr>
        <w:pStyle w:val="964"/>
        <w:numPr>
          <w:ilvl w:val="0"/>
          <w:numId w:val="33"/>
        </w:numPr>
        <w:pBdr/>
        <w:spacing/>
        <w:ind/>
        <w:rPr/>
      </w:pPr>
      <w:r>
        <w:t xml:space="preserve">информативность;</w:t>
      </w:r>
      <w:r/>
    </w:p>
    <w:p>
      <w:pPr>
        <w:pStyle w:val="964"/>
        <w:numPr>
          <w:ilvl w:val="0"/>
          <w:numId w:val="33"/>
        </w:numPr>
        <w:pBdr/>
        <w:spacing/>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ind/>
        <w:rPr>
          <w:bCs/>
          <w:szCs w:val="28"/>
        </w:rPr>
      </w:pPr>
      <w:r>
        <w:t xml:space="preserve">пригодность для обучения;</w:t>
      </w:r>
      <w:r>
        <w:rPr>
          <w:bCs/>
          <w:szCs w:val="28"/>
        </w:rPr>
      </w:r>
      <w:r>
        <w:rPr>
          <w:bCs/>
          <w:szCs w:val="28"/>
        </w:rPr>
      </w:r>
    </w:p>
    <w:p>
      <w:pPr>
        <w:pStyle w:val="964"/>
        <w:numPr>
          <w:ilvl w:val="0"/>
          <w:numId w:val="33"/>
        </w:numPr>
        <w:pBdr/>
        <w:spacing/>
        <w:ind/>
        <w:rPr>
          <w:bCs/>
          <w:szCs w:val="28"/>
        </w:rPr>
      </w:pPr>
      <w:r>
        <w:t xml:space="preserve">управляемость;</w:t>
      </w:r>
      <w:r>
        <w:rPr>
          <w:bCs/>
          <w:szCs w:val="28"/>
        </w:rPr>
      </w:r>
      <w:r>
        <w:rPr>
          <w:bCs/>
          <w:szCs w:val="28"/>
        </w:rPr>
      </w:r>
    </w:p>
    <w:p>
      <w:pPr>
        <w:pStyle w:val="964"/>
        <w:numPr>
          <w:ilvl w:val="0"/>
          <w:numId w:val="33"/>
        </w:numPr>
        <w:pBdr/>
        <w:spacing/>
        <w:ind/>
        <w:rPr>
          <w:bCs/>
          <w:szCs w:val="28"/>
        </w:rPr>
      </w:pPr>
      <w:r>
        <w:t xml:space="preserve">устойчивость к ошибкам;</w:t>
      </w:r>
      <w:r>
        <w:rPr>
          <w:bCs/>
          <w:szCs w:val="28"/>
        </w:rPr>
      </w:r>
      <w:r>
        <w:rPr>
          <w:bCs/>
          <w:szCs w:val="28"/>
        </w:rPr>
      </w:r>
    </w:p>
    <w:p>
      <w:pPr>
        <w:pStyle w:val="964"/>
        <w:numPr>
          <w:ilvl w:val="0"/>
          <w:numId w:val="33"/>
        </w:numPr>
        <w:pBdr/>
        <w:spacing/>
        <w:ind/>
        <w:rPr>
          <w:bCs/>
          <w:szCs w:val="28"/>
        </w:rPr>
      </w:pPr>
      <w:r>
        <w:t xml:space="preserve">пригодность для индивидуализации.</w:t>
      </w:r>
      <w:r>
        <w:rPr>
          <w:bCs/>
          <w:szCs w:val="28"/>
        </w:rPr>
      </w:r>
      <w:r>
        <w:rPr>
          <w:bCs/>
          <w:szCs w:val="28"/>
        </w:rPr>
      </w:r>
    </w:p>
    <w:p>
      <w:pPr>
        <w:pStyle w:val="964"/>
        <w:pBdr/>
        <w:spacing/>
        <w:ind/>
        <w:rPr/>
      </w:pPr>
      <w:r>
        <w:t xml:space="preserve">ПО обеспечивает высокие показатели характеристик предоставление информации:</w:t>
      </w:r>
      <w:r/>
    </w:p>
    <w:p>
      <w:pPr>
        <w:pStyle w:val="964"/>
        <w:numPr>
          <w:ilvl w:val="0"/>
          <w:numId w:val="37"/>
        </w:numPr>
        <w:pBdr/>
        <w:spacing/>
        <w:ind/>
        <w:rPr/>
      </w:pPr>
      <w:r>
        <w:t xml:space="preserve">информационное содержание передается быстро и точно;</w:t>
      </w:r>
      <w:r/>
    </w:p>
    <w:p>
      <w:pPr>
        <w:pStyle w:val="964"/>
        <w:numPr>
          <w:ilvl w:val="0"/>
          <w:numId w:val="37"/>
        </w:numPr>
        <w:pBdr/>
        <w:spacing/>
        <w:ind/>
        <w:rPr/>
      </w:pPr>
      <w:r>
        <w:t xml:space="preserve">отображаемая информация может быть точно распознана;</w:t>
      </w:r>
      <w:r/>
    </w:p>
    <w:p>
      <w:pPr>
        <w:pStyle w:val="964"/>
        <w:numPr>
          <w:ilvl w:val="0"/>
          <w:numId w:val="37"/>
        </w:numPr>
        <w:pBdr/>
        <w:spacing/>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ind/>
        <w:rPr/>
      </w:pPr>
      <w:r>
        <w:t xml:space="preserve">внимание пользователя направлено на требуемую информацию;</w:t>
      </w:r>
      <w:r/>
    </w:p>
    <w:p>
      <w:pPr>
        <w:pStyle w:val="964"/>
        <w:numPr>
          <w:ilvl w:val="0"/>
          <w:numId w:val="37"/>
        </w:numPr>
        <w:pBdr/>
        <w:spacing/>
        <w:ind/>
        <w:rPr/>
      </w:pPr>
      <w:r>
        <w:t xml:space="preserve">информацию легко прочесть;</w:t>
      </w:r>
      <w:r/>
    </w:p>
    <w:p>
      <w:pPr>
        <w:pStyle w:val="964"/>
        <w:numPr>
          <w:ilvl w:val="0"/>
          <w:numId w:val="37"/>
        </w:numPr>
        <w:pBdr/>
        <w:spacing/>
        <w:ind/>
        <w:rPr/>
      </w:pPr>
      <w:r>
        <w:t xml:space="preserve">значение информации понятно, недвусмысленно, интерпретируемо и узнаваемо.</w:t>
      </w:r>
      <w:r/>
    </w:p>
    <w:p>
      <w:pPr>
        <w:pStyle w:val="964"/>
        <w:pBdr/>
        <w:spacing/>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6"/>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6" o:title=""/>
                <o:lock v:ext="edit" rotation="t"/>
              </v:shape>
            </w:pict>
          </mc:Fallback>
        </mc:AlternateContent>
      </w:r>
      <w:r/>
    </w:p>
    <w:p>
      <w:pPr>
        <w:pStyle w:val="964"/>
        <w:pBdr/>
        <w:spacing/>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7"/>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7" o:title=""/>
                <o:lock v:ext="edit" rotation="t"/>
              </v:shape>
            </w:pict>
          </mc:Fallback>
        </mc:AlternateContent>
      </w:r>
      <w:r/>
    </w:p>
    <w:p>
      <w:pPr>
        <w:pStyle w:val="964"/>
        <w:pBdr/>
        <w:spacing/>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ind/>
        <w:rPr/>
      </w:pPr>
      <w:r>
        <w:t xml:space="preserve">Пригодность ПО CLion к разработке программного модуля обеспечивается за счет: </w:t>
      </w:r>
      <w:r/>
    </w:p>
    <w:p>
      <w:pPr>
        <w:pStyle w:val="964"/>
        <w:numPr>
          <w:ilvl w:val="0"/>
          <w:numId w:val="35"/>
        </w:numPr>
        <w:pBdr/>
        <w:spacing/>
        <w:ind/>
        <w:rPr/>
      </w:pPr>
      <w:r>
        <w:t xml:space="preserve">поддержкой различных компиляторов, таких как GCC, Clang, MinGW, MSVC, Linux ICC, GCCE, RVCT, WINSCW;</w:t>
      </w:r>
      <w:r/>
    </w:p>
    <w:p>
      <w:pPr>
        <w:pStyle w:val="964"/>
        <w:numPr>
          <w:ilvl w:val="0"/>
          <w:numId w:val="35"/>
        </w:numPr>
        <w:pBdr/>
        <w:spacing/>
        <w:ind/>
        <w:rPr/>
      </w:pPr>
      <w:r>
        <w:t xml:space="preserve">поддержкой различных систем сборки make, qmake, cmake, autotools;</w:t>
      </w:r>
      <w:r/>
    </w:p>
    <w:p>
      <w:pPr>
        <w:pStyle w:val="964"/>
        <w:numPr>
          <w:ilvl w:val="0"/>
          <w:numId w:val="35"/>
        </w:numPr>
        <w:pBdr/>
        <w:spacing/>
        <w:ind/>
        <w:rPr/>
      </w:pPr>
      <w:r>
        <w:t xml:space="preserve">поддержкой систем контроля версий Subversion, Mercurial, Git, CVS, Bazaar, Perforce;</w:t>
      </w:r>
      <w:r/>
    </w:p>
    <w:p>
      <w:pPr>
        <w:pStyle w:val="964"/>
        <w:numPr>
          <w:ilvl w:val="0"/>
          <w:numId w:val="35"/>
        </w:numPr>
        <w:pBdr/>
        <w:spacing/>
        <w:ind/>
        <w:rPr/>
      </w:pPr>
      <w:r>
        <w:rPr>
          <w:highlight w:val="none"/>
        </w:rPr>
        <w:t xml:space="preserve">помощь при написании кода;</w:t>
      </w:r>
      <w:r>
        <w:rPr>
          <w:highlight w:val="none"/>
        </w:rPr>
      </w:r>
      <w:r/>
    </w:p>
    <w:p>
      <w:pPr>
        <w:pStyle w:val="964"/>
        <w:numPr>
          <w:ilvl w:val="0"/>
          <w:numId w:val="35"/>
        </w:numPr>
        <w:pBdr/>
        <w:spacing/>
        <w:ind/>
        <w:rPr/>
      </w:pPr>
      <w:r>
        <w:t xml:space="preserve">возможностью разработки кроссплатформенных приложений.</w:t>
      </w:r>
      <w:r/>
    </w:p>
    <w:p>
      <w:pPr>
        <w:pStyle w:val="964"/>
        <w:pBdr/>
        <w:spacing/>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ind/>
        <w:rPr/>
      </w:pPr>
      <w:r>
        <w:t xml:space="preserve">Реализован ряд возможностей при работе с сигнатурами методов, а именно:</w:t>
      </w:r>
      <w:r/>
    </w:p>
    <w:p>
      <w:pPr>
        <w:pStyle w:val="964"/>
        <w:numPr>
          <w:ilvl w:val="0"/>
          <w:numId w:val="36"/>
        </w:numPr>
        <w:pBdr/>
        <w:spacing/>
        <w:ind/>
        <w:rPr/>
      </w:pPr>
      <w:r>
        <w:t xml:space="preserve">автогенерация пустого тела метода после его обновления;</w:t>
      </w:r>
      <w:r/>
    </w:p>
    <w:p>
      <w:pPr>
        <w:pStyle w:val="964"/>
        <w:numPr>
          <w:ilvl w:val="0"/>
          <w:numId w:val="36"/>
        </w:numPr>
        <w:pBdr/>
        <w:spacing/>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ind/>
        <w:rPr/>
      </w:pPr>
      <w:r>
        <w:t xml:space="preserve">возможность автоматически поменять порядок следования аргументов.</w:t>
      </w:r>
      <w:r/>
    </w:p>
    <w:p>
      <w:pPr>
        <w:pStyle w:val="964"/>
        <w:pBdr/>
        <w:spacing/>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программное обеспечение,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выпускной квалификационной работы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программное обеспечение, реализующее обнаружение, демодуляцию и декодирование системной информации о базовой станции.</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4"/>
        <w:pBdr/>
        <w:spacing/>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(AI) protocol</w:t>
      </w:r>
      <w:r>
        <w:rPr>
          <w:lang w:val="en-US"/>
        </w:rPr>
        <w:t xml:space="preserve">. ETSI, 2017.</w:t>
      </w:r>
      <w:r>
        <w:rPr>
          <w:lang w:val="en-US"/>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jpg"/><Relationship Id="rId46" Type="http://schemas.openxmlformats.org/officeDocument/2006/relationships/image" Target="media/image35.png"/><Relationship Id="rId47"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21</cp:revision>
  <dcterms:created xsi:type="dcterms:W3CDTF">2024-02-21T11:43:00Z</dcterms:created>
  <dcterms:modified xsi:type="dcterms:W3CDTF">2024-04-19T12:09:30Z</dcterms:modified>
  <cp:version>983040</cp:version>
</cp:coreProperties>
</file>