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Разработка программного сервиса интеграции и гибридного поиска научно-технической документации</w:t>
      </w:r>
    </w:p>
    <w:p>
      <w:r>
        <w:t>Батраков С. А., БЭИ2301. Направление 09.03.03 «Прикладная информатика».</w:t>
      </w:r>
    </w:p>
    <w:p>
      <w:r>
        <w:t>Научный руководитель: Босенко Т. М.</w:t>
      </w:r>
    </w:p>
    <w:p>
      <w:pPr>
        <w:pStyle w:val="Heading1"/>
      </w:pPr>
      <w:r>
        <w:t>1 Актуальность</w:t>
      </w:r>
    </w:p>
    <w:p>
      <w:r>
        <w:t>Научно-техническая документация включает статьи, технические руководства, описания программных средств и другие материалы, используемые в учебной и исследовательской работе. Пользователю необходимо находить сведения по точным терминам и по смыслу, а затем получать полный исходный документ с сохранёнными рисунками, таблицами и оформлением.</w:t>
      </w:r>
    </w:p>
    <w:p>
      <w:r>
        <w:t>В существующем EduRAG Loader предусмотрены прикрепление материалов, извлечение текста, предпросмотр, публикация фрагментов и диагностический поиск hybrid_v1. Развитие сервиса в рамках ВКР связано с управлением оригиналами PDF/DOCX, их версиями и выдачей файлов по результатам гибридного поиска. Текстовые фрагменты и векторы не заменяют исходный файл.</w:t>
      </w:r>
    </w:p>
    <w:p>
      <w:r>
        <w:t>PostgreSQL/pgvector сохраняется. MinIO добавляется как единственное отдельное хранилище оригиналов. MongoDB и GridFS в проект не включаются. Задача интеграции состоит в согласовании каталога, поискового индекса и файлов, а также в связи документа с дисциплиной и занятием.</w:t>
      </w:r>
    </w:p>
    <w:p>
      <w:pPr>
        <w:pStyle w:val="Heading1"/>
      </w:pPr>
      <w:r>
        <w:t>2 Объект исследования</w:t>
      </w:r>
    </w:p>
    <w:p>
      <w:r>
        <w:t>Информационные процессы загрузки, хранения, каталогизации, актуализации и поиска научно-технической документации в информационной системе научно-образовательной организации.</w:t>
      </w:r>
    </w:p>
    <w:p>
      <w:pPr>
        <w:pStyle w:val="Heading1"/>
      </w:pPr>
      <w:r>
        <w:t>3 Предмет исследования</w:t>
      </w:r>
    </w:p>
    <w:p>
      <w:r>
        <w:t>Модели данных и программные средства интеграции объектного хранилища оригиналов с каталогом и поисковой подсистемой PostgreSQL, методы гибридного ранжирования и механизмы связи найденных фрагментов с версиями документов.</w:t>
      </w:r>
    </w:p>
    <w:p>
      <w:pPr>
        <w:pStyle w:val="Heading1"/>
      </w:pPr>
      <w:r>
        <w:t>4 Цель ВКР</w:t>
      </w:r>
    </w:p>
    <w:p>
      <w:r>
        <w:t>Разработка программного сервиса интеграции и гибридного поиска научно-технической документации, обеспечивающего хранение оригиналов PDF/DOCX в MinIO, управление метаданными и версиями в PostgreSQL, поиск по словам и смыслу и скачивание найденных документов с учётом прав доступа.</w:t>
      </w:r>
    </w:p>
    <w:p>
      <w:r>
        <w:t>Преимущество гибридного поиска проверяется экспериментально и не объявляется достигнутым до проведения испытаний. Образовательная система EduTutor выступает площадкой интеграции; утверждённая предметная область научно-технической документации сохраняется.</w:t>
      </w:r>
    </w:p>
    <w:p>
      <w:pPr>
        <w:pStyle w:val="Heading2"/>
      </w:pPr>
      <w:r>
        <w:t>Конференционное исследование как архитектурный этап ВКР</w:t>
      </w:r>
    </w:p>
    <w:p>
      <w:r>
        <w:t xml:space="preserve">В рамках ВКР подготовлен конференционный доклад </w:t>
      </w:r>
      <w:r>
        <w:rPr>
          <w:b/>
        </w:rPr>
        <w:t>«Организация информационного обеспечения RAG-систем»</w:t>
      </w:r>
      <w:r>
        <w:t xml:space="preserve"> (Батраков С. А.; научный руководитель Босенко Т. М.). Его предмет — организация совместной работы с фрагментированной базой знаний и полноценными исходными документами. На примере EduTutor рассмотрена действующая схема подготовки RAG-контекста и предложено расширение жизненного цикла документов: хранение оригиналов PDF/DOCX в объектном хранилище, ведение метаданных и версий в PostgreSQL, связывание поисковых фрагментов с точной версией файла и контролируемое предоставление первоисточника пользователю.</w:t>
      </w:r>
    </w:p>
    <w:p>
      <w:r>
        <w:rPr>
          <w:b/>
        </w:rPr>
        <w:t>Положение в общей работе:</w:t>
      </w:r>
      <w:r>
        <w:t xml:space="preserve"> результаты доклада используются для обоснования архитектуры хранения, модели идентификации версий и требований к выдаче оригиналов. ВКР шире конференционного исследования и включает программную реализацию названных функций, полнотекстовый, векторный и гибридный поиск на уровне документов, интеграционный API, интерфейс, обработку сбоев и экспериментальную оценку. Подготовка доклада не означает, что проектируемый сервис уже реализован или что результаты испытаний получены.</w:t>
      </w:r>
    </w:p>
    <w:p>
      <w:r>
        <w:t>Планируемое включение в пояснительную записку: глава 1 — постановка проблемы и анализ RAG; глава 2 — архитектура информационного обеспечения и модель «фрагмент — версия — оригинал»; глава 3 — программная реализация сервиса и гибридного поиска; глава 4 — экспериментальная проверка целостности, доступности и релевантности. Тема ВКР и набор основных задач остаются прежними.</w:t>
      </w:r>
    </w:p>
    <w:p>
      <w:pPr>
        <w:pStyle w:val="Heading1"/>
      </w:pPr>
      <w:r>
        <w:t>5 Основные задачи</w:t>
      </w:r>
    </w:p>
    <w:p>
      <w:pPr>
        <w:ind w:left="283"/>
      </w:pPr>
      <w:r>
        <w:t>1. Проанализировать архитектуру EduTutor и EduRAG Loader, определить существующие функции и самостоятельный вклад студента.</w:t>
      </w:r>
    </w:p>
    <w:p>
      <w:pPr>
        <w:ind w:left="283"/>
      </w:pPr>
      <w:r>
        <w:t>2. Описать процессы работы методиста и студента, сформировать функциональные требования и критерии приёмки.</w:t>
      </w:r>
    </w:p>
    <w:p>
      <w:pPr>
        <w:ind w:left="283"/>
      </w:pPr>
      <w:r>
        <w:t>3. Спроектировать интеграцию MinIO с существующим PostgreSQL, модель версий и связи с дисциплинами и занятиями.</w:t>
      </w:r>
    </w:p>
    <w:p>
      <w:pPr>
        <w:ind w:left="283"/>
      </w:pPr>
      <w:r>
        <w:t>4. Реализовать загрузку, проверку формата и размера, хранение, публикацию и скачивание оригиналов PDF/DOCX.</w:t>
      </w:r>
    </w:p>
    <w:p>
      <w:pPr>
        <w:ind w:left="283"/>
      </w:pPr>
      <w:r>
        <w:t>5. Расширить обработку материалов связью каждой поисковой записи с конкретной версией оригинала; использовать существующие средства извлечения и векторизации там, где они доступны.</w:t>
      </w:r>
    </w:p>
    <w:p>
      <w:pPr>
        <w:ind w:left="283"/>
      </w:pPr>
      <w:r>
        <w:t>6. Реализовать сравниваемые режимы полнотекстового, векторного и гибридного поиска с едиными правилами фильтрации и доступа.</w:t>
      </w:r>
    </w:p>
    <w:p>
      <w:pPr>
        <w:ind w:left="283"/>
      </w:pPr>
      <w:r>
        <w:t>7. Добавить вкладку «Документы», управление версиями и интеграционный API; обеспечить восстановление после ошибок обработки.</w:t>
      </w:r>
    </w:p>
    <w:p>
      <w:pPr>
        <w:ind w:left="283"/>
      </w:pPr>
      <w:r>
        <w:t>8. Провести функциональные испытания, сравнительные поисковые эксперименты и оценку трудозатрат пользователей.</w:t>
      </w:r>
    </w:p>
    <w:p>
      <w:pPr>
        <w:pStyle w:val="Heading1"/>
      </w:pPr>
      <w:r>
        <w:t>6 Исходные данные</w:t>
      </w:r>
    </w:p>
    <w:p>
      <w:r>
        <w:t>Корпус: 300–500 научно-технических документов из источников, допускающих выбранное использование. Для первоначального функционального стенда достаточно 30–50 документов; итоговый эксперимент проводится на согласованном корпусе. Форматы: PDF с текстовым слоем, DOCX, дополнительные библиографические метаданные JSON. OCR сканов не входит в обязательный объём.</w:t>
      </w:r>
    </w:p>
    <w:p>
      <w:r>
        <w:t>Документы связываются с дисциплинами python_data_analysis и data_collection_analytics либо с согласованной тестовой дисциплиной. Учебный контекст не подменяет содержание корпуса: основу составляют технические руководства, научные статьи и описания технологий.</w:t>
      </w:r>
    </w:p>
    <w:p>
      <w:r>
        <w:t>Метаданные: document_id, title, authors, doc_type, publication_date, classification_codes, abstract, source_url, rag_key и идентификатор активности. Версия содержит version_id, номер, имя файла, MIME-тип, размер, SHA-256, bucket, object_key, автора и время загрузки. Для поискового фрагмента сохраняются version_id и положение в документе.</w:t>
      </w:r>
    </w:p>
    <w:p>
      <w:r>
        <w:t>Для PDF указывается страница, для DOCX — заголовок раздела или номер абзаца. Номера страниц DOCX без фиксированного рендеринга не считаются устойчивыми.</w:t>
      </w:r>
    </w:p>
    <w:p>
      <w:pPr>
        <w:pStyle w:val="Heading1"/>
      </w:pPr>
      <w:r>
        <w:t>7 Технологический стек и распределение данных</w:t>
      </w:r>
    </w:p>
    <w:p>
      <w:r>
        <w:t>Python и FastAPI используются для нового API и интеграционной логики. Версии библиотек фиксируются после проверки совместимости с рабочим окружением. PostgreSQL и pgvector используются из существующей системы; создание независимого дублирующего каталога дисциплин не требуется.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01"/>
        <w:gridCol w:w="4901"/>
      </w:tblGrid>
      <w:tr>
        <w:trPr>
          <w:cantSplit/>
          <w:tblHeader/>
        </w:trPr>
        <w:tc>
          <w:tcPr>
            <w:tcW w:type="dxa" w:w="4901"/>
            <w:vAlign w:val="center"/>
            <w:shd w:fill="E6EAF0"/>
          </w:tcPr>
          <w:p>
            <w:r>
              <w:rPr>
                <w:b/>
              </w:rPr>
            </w:r>
            <w:r>
              <w:rPr>
                <w:b/>
              </w:rPr>
              <w:t>Компонент</w:t>
            </w:r>
          </w:p>
        </w:tc>
        <w:tc>
          <w:tcPr>
            <w:tcW w:type="dxa" w:w="4901"/>
            <w:vAlign w:val="center"/>
            <w:shd w:fill="E6EAF0"/>
          </w:tcPr>
          <w:p>
            <w:r>
              <w:rPr>
                <w:b/>
              </w:rPr>
            </w:r>
            <w:r>
              <w:rPr>
                <w:b/>
              </w:rPr>
              <w:t>Ответственность</w:t>
            </w:r>
          </w:p>
        </w:tc>
      </w:tr>
      <w:tr>
        <w:trPr>
          <w:cantSplit/>
        </w:trPr>
        <w:tc>
          <w:tcPr>
            <w:tcW w:type="dxa" w:w="4901"/>
            <w:vAlign w:val="center"/>
          </w:tcPr>
          <w:p>
            <w:r/>
            <w:r>
              <w:t>PostgreSQL</w:t>
            </w:r>
          </w:p>
        </w:tc>
        <w:tc>
          <w:tcPr>
            <w:tcW w:type="dxa" w:w="4901"/>
            <w:vAlign w:val="center"/>
          </w:tcPr>
          <w:p>
            <w:r/>
            <w:r>
              <w:t>Каталог, метаданные, версии, связи с занятиями, правила видимости, задания обработки и журнал действий</w:t>
            </w:r>
          </w:p>
        </w:tc>
      </w:tr>
      <w:tr>
        <w:trPr>
          <w:cantSplit/>
        </w:trPr>
        <w:tc>
          <w:tcPr>
            <w:tcW w:type="dxa" w:w="4901"/>
            <w:vAlign w:val="center"/>
          </w:tcPr>
          <w:p>
            <w:r/>
            <w:r>
              <w:t>PostgreSQL FTS</w:t>
            </w:r>
          </w:p>
        </w:tc>
        <w:tc>
          <w:tcPr>
            <w:tcW w:type="dxa" w:w="4901"/>
            <w:vAlign w:val="center"/>
          </w:tcPr>
          <w:p>
            <w:r/>
            <w:r>
              <w:t>Лексический поиск по tsvector и ранжирование; точные номера документов проверяются отдельными фильтрами</w:t>
            </w:r>
          </w:p>
        </w:tc>
      </w:tr>
      <w:tr>
        <w:trPr>
          <w:cantSplit/>
        </w:trPr>
        <w:tc>
          <w:tcPr>
            <w:tcW w:type="dxa" w:w="4901"/>
            <w:vAlign w:val="center"/>
          </w:tcPr>
          <w:p>
            <w:r/>
            <w:r>
              <w:t>pgvector</w:t>
            </w:r>
          </w:p>
        </w:tc>
        <w:tc>
          <w:tcPr>
            <w:tcW w:type="dxa" w:w="4901"/>
            <w:vAlign w:val="center"/>
          </w:tcPr>
          <w:p>
            <w:r/>
            <w:r>
              <w:t>Векторы фрагментов и поиск семантических кандидатов</w:t>
            </w:r>
          </w:p>
        </w:tc>
      </w:tr>
      <w:tr>
        <w:trPr>
          <w:cantSplit/>
        </w:trPr>
        <w:tc>
          <w:tcPr>
            <w:tcW w:type="dxa" w:w="4901"/>
            <w:vAlign w:val="center"/>
          </w:tcPr>
          <w:p>
            <w:r/>
            <w:r>
              <w:t>MinIO</w:t>
            </w:r>
          </w:p>
        </w:tc>
        <w:tc>
          <w:tcPr>
            <w:tcW w:type="dxa" w:w="4901"/>
            <w:vAlign w:val="center"/>
          </w:tcPr>
          <w:p>
            <w:r/>
            <w:r>
              <w:t>Закрытое хранилище исходных PDF/DOCX с неизменяемым ключом для каждой версии</w:t>
            </w:r>
          </w:p>
        </w:tc>
      </w:tr>
      <w:tr>
        <w:trPr>
          <w:cantSplit/>
        </w:trPr>
        <w:tc>
          <w:tcPr>
            <w:tcW w:type="dxa" w:w="4901"/>
            <w:vAlign w:val="center"/>
          </w:tcPr>
          <w:p>
            <w:r/>
            <w:r>
              <w:t>Сервис студента</w:t>
            </w:r>
          </w:p>
        </w:tc>
        <w:tc>
          <w:tcPr>
            <w:tcW w:type="dxa" w:w="4901"/>
            <w:vAlign w:val="center"/>
          </w:tcPr>
          <w:p>
            <w:r/>
            <w:r>
              <w:t>Загрузка, публикация, скачивание, согласование хранилищ и гибридная выдача</w:t>
            </w:r>
          </w:p>
        </w:tc>
      </w:tr>
      <w:tr>
        <w:trPr>
          <w:cantSplit/>
        </w:trPr>
        <w:tc>
          <w:tcPr>
            <w:tcW w:type="dxa" w:w="4901"/>
            <w:vAlign w:val="center"/>
          </w:tcPr>
          <w:p>
            <w:r/>
            <w:r>
              <w:t>E5-large</w:t>
            </w:r>
          </w:p>
        </w:tc>
        <w:tc>
          <w:tcPr>
            <w:tcW w:type="dxa" w:w="4901"/>
            <w:vAlign w:val="center"/>
          </w:tcPr>
          <w:p>
            <w:r/>
            <w:r>
              <w:t>Существующая модель эмбеддингов; смена модели не входит в базовое задание</w:t>
            </w:r>
          </w:p>
        </w:tc>
      </w:tr>
    </w:tbl>
    <w:p>
      <w:pPr>
        <w:spacing w:after="20"/>
      </w:pPr>
    </w:p>
    <w:p>
      <w:r>
        <w:t>Модель, размерность и подготовка эмбеддингов должны соответствовать существующему индексу. Смешивание векторов разных моделей в одной поисковой выборке не допускается. Эксперименты с другой моделью выполняются в отдельном индексе.</w:t>
      </w:r>
    </w:p>
    <w:p>
      <w:r>
        <w:t>Сведения о конкретных таблицах и версиях ПО уточняются при подключении к рабочему стенду. Приведённые далее имена сущностей и API являются проектными, а не описанием опубликованного исходного кода.</w:t>
      </w:r>
    </w:p>
    <w:p>
      <w:pPr>
        <w:pStyle w:val="Heading2"/>
      </w:pPr>
      <w:r>
        <w:t>Согласованность PostgreSQL и MinIO</w:t>
      </w:r>
    </w:p>
    <w:p>
      <w:r>
        <w:t>Общая транзакция между PostgreSQL и MinIO не предполагается. Сначала создаётся запись версии со статусом загрузки, затем файл помещается в закрытый bucket. После проверки размера и контрольной суммы версия отмечается как сохранённая. Задание индексирования регистрируется в PostgreSQL и выполняется с повторными попытками.</w:t>
      </w:r>
    </w:p>
    <w:p>
      <w:r>
        <w:t>Публикация оригинала и готовность поискового индекса учитываются отдельно. Ошибка извлечения текста не уничтожает сохранённый файл. Студенческий поиск выбирает только разрешённую опубликованную и проиндексированную версию. Новая версия не заменяет текущую до явной публикации.</w:t>
      </w:r>
    </w:p>
    <w:p>
      <w:r>
        <w:t>Повторная загрузка с тем же ключом идемпотентности не создаёт дубликат версии. Незавершённые загрузки и объекты без действующей записи обнаруживаются проверкой согласованности и обрабатываются по регламенту.</w:t>
      </w:r>
    </w:p>
    <w:p>
      <w:pPr>
        <w:pStyle w:val="Heading1"/>
      </w:pPr>
      <w:r>
        <w:t>8 Функциональные требования</w:t>
      </w:r>
    </w:p>
    <w:p>
      <w:r>
        <w:t>Методист выбирает существующую дисциплину и занятие, открывает вкладку «Документы», задаёт описание и прикрепляет PDF/DOCX. Интерфейс показывает имя файла, размер, версию, видимость, состояние обработки и действия: скачать, загрузить новую версию, опубликовать, снять с публикации.</w:t>
      </w:r>
    </w:p>
    <w:p>
      <w:r>
        <w:t>Студент видит опубликованные доступные документы, ищет по словам и смыслу, применяет фильтры и скачивает оригинал. Закрытые преподавательские решения не попадают в выдачу, сниппеты и контекст LLM. Проверка прав выполняется при поиске и повторно при скачивании.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01"/>
        <w:gridCol w:w="4901"/>
      </w:tblGrid>
      <w:tr>
        <w:trPr>
          <w:cantSplit/>
          <w:tblHeader/>
        </w:trPr>
        <w:tc>
          <w:tcPr>
            <w:tcW w:type="dxa" w:w="4901"/>
            <w:vAlign w:val="center"/>
            <w:shd w:fill="E6EAF0"/>
          </w:tcPr>
          <w:p>
            <w:r>
              <w:rPr>
                <w:b/>
              </w:rPr>
            </w:r>
            <w:r>
              <w:rPr>
                <w:b/>
              </w:rPr>
              <w:t>Проектный метод API</w:t>
            </w:r>
          </w:p>
        </w:tc>
        <w:tc>
          <w:tcPr>
            <w:tcW w:type="dxa" w:w="4901"/>
            <w:vAlign w:val="center"/>
            <w:shd w:fill="E6EAF0"/>
          </w:tcPr>
          <w:p>
            <w:r>
              <w:rPr>
                <w:b/>
              </w:rPr>
            </w:r>
            <w:r>
              <w:rPr>
                <w:b/>
              </w:rPr>
              <w:t>Назначение</w:t>
            </w:r>
          </w:p>
        </w:tc>
      </w:tr>
      <w:tr>
        <w:trPr>
          <w:cantSplit/>
        </w:trPr>
        <w:tc>
          <w:tcPr>
            <w:tcW w:type="dxa" w:w="4901"/>
            <w:vAlign w:val="center"/>
          </w:tcPr>
          <w:p>
            <w:r/>
            <w:r>
              <w:t>POST /api/v1/documents</w:t>
            </w:r>
          </w:p>
        </w:tc>
        <w:tc>
          <w:tcPr>
            <w:tcW w:type="dxa" w:w="4901"/>
            <w:vAlign w:val="center"/>
          </w:tcPr>
          <w:p>
            <w:r/>
            <w:r>
              <w:t>Создать карточку и загрузить первый оригинал</w:t>
            </w:r>
          </w:p>
        </w:tc>
      </w:tr>
      <w:tr>
        <w:trPr>
          <w:cantSplit/>
        </w:trPr>
        <w:tc>
          <w:tcPr>
            <w:tcW w:type="dxa" w:w="4901"/>
            <w:vAlign w:val="center"/>
          </w:tcPr>
          <w:p>
            <w:r/>
            <w:r>
              <w:t>POST /api/v1/documents/{id}/versions</w:t>
            </w:r>
          </w:p>
        </w:tc>
        <w:tc>
          <w:tcPr>
            <w:tcW w:type="dxa" w:w="4901"/>
            <w:vAlign w:val="center"/>
          </w:tcPr>
          <w:p>
            <w:r/>
            <w:r>
              <w:t>Загрузить новую неизменяемую версию</w:t>
            </w:r>
          </w:p>
        </w:tc>
      </w:tr>
      <w:tr>
        <w:trPr>
          <w:cantSplit/>
        </w:trPr>
        <w:tc>
          <w:tcPr>
            <w:tcW w:type="dxa" w:w="4901"/>
            <w:vAlign w:val="center"/>
          </w:tcPr>
          <w:p>
            <w:r/>
            <w:r>
              <w:t>GET /api/v1/documents</w:t>
            </w:r>
          </w:p>
        </w:tc>
        <w:tc>
          <w:tcPr>
            <w:tcW w:type="dxa" w:w="4901"/>
            <w:vAlign w:val="center"/>
          </w:tcPr>
          <w:p>
            <w:r/>
            <w:r>
              <w:t>Получить доступный каталог с фильтрами</w:t>
            </w:r>
          </w:p>
        </w:tc>
      </w:tr>
      <w:tr>
        <w:trPr>
          <w:cantSplit/>
        </w:trPr>
        <w:tc>
          <w:tcPr>
            <w:tcW w:type="dxa" w:w="4901"/>
            <w:vAlign w:val="center"/>
          </w:tcPr>
          <w:p>
            <w:r/>
            <w:r>
              <w:t>GET /api/v1/documents/{id}/versions</w:t>
            </w:r>
          </w:p>
        </w:tc>
        <w:tc>
          <w:tcPr>
            <w:tcW w:type="dxa" w:w="4901"/>
            <w:vAlign w:val="center"/>
          </w:tcPr>
          <w:p>
            <w:r/>
            <w:r>
              <w:t>Получить разрешённые сведения о версиях</w:t>
            </w:r>
          </w:p>
        </w:tc>
      </w:tr>
      <w:tr>
        <w:trPr>
          <w:cantSplit/>
        </w:trPr>
        <w:tc>
          <w:tcPr>
            <w:tcW w:type="dxa" w:w="4901"/>
            <w:vAlign w:val="center"/>
          </w:tcPr>
          <w:p>
            <w:r/>
            <w:r>
              <w:t>POST /api/v1/versions/{id}/publish</w:t>
            </w:r>
          </w:p>
        </w:tc>
        <w:tc>
          <w:tcPr>
            <w:tcW w:type="dxa" w:w="4901"/>
            <w:vAlign w:val="center"/>
          </w:tcPr>
          <w:p>
            <w:r/>
            <w:r>
              <w:t>Опубликовать версию по правилам доступа</w:t>
            </w:r>
          </w:p>
        </w:tc>
      </w:tr>
      <w:tr>
        <w:trPr>
          <w:cantSplit/>
        </w:trPr>
        <w:tc>
          <w:tcPr>
            <w:tcW w:type="dxa" w:w="4901"/>
            <w:vAlign w:val="center"/>
          </w:tcPr>
          <w:p>
            <w:r/>
            <w:r>
              <w:t>POST /api/v1/versions/{id}/unpublish</w:t>
            </w:r>
          </w:p>
        </w:tc>
        <w:tc>
          <w:tcPr>
            <w:tcW w:type="dxa" w:w="4901"/>
            <w:vAlign w:val="center"/>
          </w:tcPr>
          <w:p>
            <w:r/>
            <w:r>
              <w:t>Снять версию с публикации</w:t>
            </w:r>
          </w:p>
        </w:tc>
      </w:tr>
      <w:tr>
        <w:trPr>
          <w:cantSplit/>
        </w:trPr>
        <w:tc>
          <w:tcPr>
            <w:tcW w:type="dxa" w:w="4901"/>
            <w:vAlign w:val="center"/>
          </w:tcPr>
          <w:p>
            <w:r/>
            <w:r>
              <w:t>GET /api/v1/versions/{id}/download</w:t>
            </w:r>
          </w:p>
        </w:tc>
        <w:tc>
          <w:tcPr>
            <w:tcW w:type="dxa" w:w="4901"/>
            <w:vAlign w:val="center"/>
          </w:tcPr>
          <w:p>
            <w:r/>
            <w:r>
              <w:t>Проверить права и выдать файл</w:t>
            </w:r>
          </w:p>
        </w:tc>
      </w:tr>
      <w:tr>
        <w:trPr>
          <w:cantSplit/>
        </w:trPr>
        <w:tc>
          <w:tcPr>
            <w:tcW w:type="dxa" w:w="4901"/>
            <w:vAlign w:val="center"/>
          </w:tcPr>
          <w:p>
            <w:r/>
            <w:r>
              <w:t>POST /api/v1/versions/{id}/reindex</w:t>
            </w:r>
          </w:p>
        </w:tc>
        <w:tc>
          <w:tcPr>
            <w:tcW w:type="dxa" w:w="4901"/>
            <w:vAlign w:val="center"/>
          </w:tcPr>
          <w:p>
            <w:r/>
            <w:r>
              <w:t>Повторить индексирование</w:t>
            </w:r>
          </w:p>
        </w:tc>
      </w:tr>
      <w:tr>
        <w:trPr>
          <w:cantSplit/>
        </w:trPr>
        <w:tc>
          <w:tcPr>
            <w:tcW w:type="dxa" w:w="4901"/>
            <w:vAlign w:val="center"/>
          </w:tcPr>
          <w:p>
            <w:r/>
            <w:r>
              <w:t>POST /api/v1/search</w:t>
            </w:r>
          </w:p>
        </w:tc>
        <w:tc>
          <w:tcPr>
            <w:tcW w:type="dxa" w:w="4901"/>
            <w:vAlign w:val="center"/>
          </w:tcPr>
          <w:p>
            <w:r/>
            <w:r>
              <w:t>Поиск fulltext, vector или hybrid</w:t>
            </w:r>
          </w:p>
        </w:tc>
      </w:tr>
    </w:tbl>
    <w:p>
      <w:pPr>
        <w:spacing w:after="20"/>
      </w:pPr>
    </w:p>
    <w:p>
      <w:r>
        <w:t>API не принимает роль и права доступа из произвольных полей клиента: они определяются по проверенной пользовательской сессии. HMAC запуска Moodle не заменяет авторизацию на документ. Фильтры rag_key и активности проверяются на сервере.</w:t>
      </w:r>
    </w:p>
    <w:p>
      <w:r>
        <w:t>В базовом прототипе скачивание выполняется через сервис, который читает объект из закрытого MinIO и передаёт поток пользователю. Такой вариант позволяет проверять права при каждом запросе. Временные подписанные ссылки — необязательное расширение с явно заданным сроком действия.</w:t>
      </w:r>
    </w:p>
    <w:p>
      <w:r>
        <w:t>Устанавливаются проверяемые ограничения MIME-типа и размера, например 50 МиБ на файл для стенда. В журнал не записываются содержимое документов, секреты или временные ссылки доступа. Архивирование документа сохраняет историю и исключает его из новой поисковой выдачи.</w:t>
      </w:r>
    </w:p>
    <w:p>
      <w:pPr>
        <w:pStyle w:val="Heading1"/>
      </w:pPr>
      <w:r>
        <w:t>9 Экспериментальная проверка</w:t>
      </w:r>
    </w:p>
    <w:p>
      <w:r>
        <w:t>Формируется 40–50 запросов с экспертной оценкой релевантности: точные термины и обозначения; смысловые переформулировки; запросы с фильтрами по дате, типу и дисциплине. Отдельный набор используется для выбора параметров; итоговые результаты рассчитываются на отложенных запросах. Разметка, версия корпуса и конфигурация эксперимента сохраняются.</w:t>
      </w:r>
    </w:p>
    <w:p>
      <w:r>
        <w:t>Сравниваются fulltext, vector и hybrid при одинаковом корпусе, наборе доступных версий, модели эмбеддингов и фильтрах. Измеряются MRR, NDCG@10, Precision@5 и Recall@10; для Recall фиксируется полнота эталонной разметки. Производительность оценивается по медиане и p95 времени ответа при указанной нагрузке и конфигурации оборудования.</w:t>
      </w:r>
    </w:p>
    <w:p>
      <w:pPr>
        <w:pStyle w:val="Heading2"/>
      </w:pPr>
      <w:r>
        <w:t>Гибридное ранжирование</w:t>
      </w:r>
    </w:p>
    <w:p>
      <w:r>
        <w:t>В каждой поисковой ветке сначала ранжируются фрагменты, затем формируется список уникальных версий документов по лучшему фрагменту. После этого списки объединяются методом Reciprocal Rank Fusion. Такой порядок предотвращает повторение одного документа в выдаче из-за большого числа фрагментов.</w:t>
      </w:r>
    </w:p>
    <w:p>
      <w:r>
        <w:t>RRF(d) = Σ[m ∈ {FTS, VECTOR}; d ∈ Lm] 1 / (k + rank_m(d)).</w:t>
      </w:r>
    </w:p>
    <w:p>
      <w:r>
        <w:t>Здесь d — версия документа, Lm — список соответствующей поисковой ветки, rank_m(d) — позиция начиная с 1. Отсутствующая в списке версия даёт нулевой вклад. k = 60 — исходный параметр эксперимента, а не установленный оптимум. Размер выборки кандидатов и правило разрешения равных оценок фиксируются.</w:t>
      </w:r>
    </w:p>
    <w:p>
      <w:r>
        <w:t>Существующий hybrid_v1 в Loader использует предварительный векторный поиск и структурно-семантическое переранжирование. Он не объявляется эквивалентом независимых FTS- и векторной веток с RRF. При доступности кода hybrid_v1 включается как дополнительная базовая линия; действующий режим сохраняется до проверки нового.</w:t>
      </w:r>
    </w:p>
    <w:p>
      <w:pPr>
        <w:pStyle w:val="Heading2"/>
      </w:pPr>
      <w:r>
        <w:t>Функциональные испытания</w:t>
      </w:r>
    </w:p>
    <w:p>
      <w:r>
        <w:t>Проверяются совпадение SHA-256 после скачивания; сохранение старой версии; запрет доступа к чужой дисциплине и черновику; отсутствие закрытого текста в сниппетах; отказ MinIO; прерывание загрузки; ошибка индексирования; повтор запроса; снятие публикации; восстановление каталога и файлов из резервной копии.</w:t>
      </w:r>
    </w:p>
    <w:p>
      <w:r>
        <w:t>Сценарий приёмки: методист загружает документ и публикует его; студент находит нужный фрагмент и скачивает соответствующий оригинал. Затем публикуется новая версия и проверяется корректное переключение поиска и скачивания.</w:t>
      </w:r>
    </w:p>
    <w:p>
      <w:pPr>
        <w:pStyle w:val="Heading1"/>
      </w:pPr>
      <w:r>
        <w:t>10 Ожидаемые результаты и самостоятельный вклад</w:t>
      </w:r>
    </w:p>
    <w:p>
      <w:r>
        <w:t>Результат ВКР — работающий прототип расширения EduRAG Loader: оригиналы в MinIO, каталог и индекс в существующем PostgreSQL, вкладка «Документы», версии, проверка доступа и гибридный поиск с переходом к исходному файлу. Архитектурный проект и программный прототип различаются: представленные схемы задают план реализации, но не подтверждают готовность функций.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01"/>
        <w:gridCol w:w="4901"/>
      </w:tblGrid>
      <w:tr>
        <w:trPr>
          <w:cantSplit/>
          <w:tblHeader/>
        </w:trPr>
        <w:tc>
          <w:tcPr>
            <w:tcW w:type="dxa" w:w="4901"/>
            <w:vAlign w:val="center"/>
            <w:shd w:fill="E6EAF0"/>
          </w:tcPr>
          <w:p>
            <w:r>
              <w:rPr>
                <w:b/>
              </w:rPr>
            </w:r>
            <w:r>
              <w:rPr>
                <w:b/>
              </w:rPr>
              <w:t>Используется из проекта</w:t>
            </w:r>
          </w:p>
        </w:tc>
        <w:tc>
          <w:tcPr>
            <w:tcW w:type="dxa" w:w="4901"/>
            <w:vAlign w:val="center"/>
            <w:shd w:fill="E6EAF0"/>
          </w:tcPr>
          <w:p>
            <w:r>
              <w:rPr>
                <w:b/>
              </w:rPr>
            </w:r>
            <w:r>
              <w:rPr>
                <w:b/>
              </w:rPr>
              <w:t>Разрабатывается или дорабатывается студентом</w:t>
            </w:r>
          </w:p>
        </w:tc>
      </w:tr>
      <w:tr>
        <w:trPr>
          <w:cantSplit/>
        </w:trPr>
        <w:tc>
          <w:tcPr>
            <w:tcW w:type="dxa" w:w="4901"/>
            <w:vAlign w:val="center"/>
          </w:tcPr>
          <w:p>
            <w:r/>
            <w:r>
              <w:t>Иерархия курсов, тем и занятий</w:t>
            </w:r>
          </w:p>
        </w:tc>
        <w:tc>
          <w:tcPr>
            <w:tcW w:type="dxa" w:w="4901"/>
            <w:vAlign w:val="center"/>
          </w:tcPr>
          <w:p>
            <w:r/>
            <w:r>
              <w:t>Привязка оригинала и его версии к существующим идентификаторам</w:t>
            </w:r>
          </w:p>
        </w:tc>
      </w:tr>
      <w:tr>
        <w:trPr>
          <w:cantSplit/>
        </w:trPr>
        <w:tc>
          <w:tcPr>
            <w:tcW w:type="dxa" w:w="4901"/>
            <w:vAlign w:val="center"/>
          </w:tcPr>
          <w:p>
            <w:r/>
            <w:r>
              <w:t>Прикрепление и обработка материалов</w:t>
            </w:r>
          </w:p>
        </w:tc>
        <w:tc>
          <w:tcPr>
            <w:tcW w:type="dxa" w:w="4901"/>
            <w:vAlign w:val="center"/>
          </w:tcPr>
          <w:p>
            <w:r/>
            <w:r>
              <w:t>Сохранение оригинала в MinIO, проверка целостности и обработка сбоев</w:t>
            </w:r>
          </w:p>
        </w:tc>
      </w:tr>
      <w:tr>
        <w:trPr>
          <w:cantSplit/>
        </w:trPr>
        <w:tc>
          <w:tcPr>
            <w:tcW w:type="dxa" w:w="4901"/>
            <w:vAlign w:val="center"/>
          </w:tcPr>
          <w:p>
            <w:r/>
            <w:r>
              <w:t>Предпросмотр, E5-large, pgvector</w:t>
            </w:r>
          </w:p>
        </w:tc>
        <w:tc>
          <w:tcPr>
            <w:tcW w:type="dxa" w:w="4901"/>
            <w:vAlign w:val="center"/>
          </w:tcPr>
          <w:p>
            <w:r/>
            <w:r>
              <w:t>Связь фрагментов с неизменяемой версией файла</w:t>
            </w:r>
          </w:p>
        </w:tc>
      </w:tr>
      <w:tr>
        <w:trPr>
          <w:cantSplit/>
        </w:trPr>
        <w:tc>
          <w:tcPr>
            <w:tcW w:type="dxa" w:w="4901"/>
            <w:vAlign w:val="center"/>
          </w:tcPr>
          <w:p>
            <w:r/>
            <w:r>
              <w:t>Диагностический hybrid_v1</w:t>
            </w:r>
          </w:p>
        </w:tc>
        <w:tc>
          <w:tcPr>
            <w:tcW w:type="dxa" w:w="4901"/>
            <w:vAlign w:val="center"/>
          </w:tcPr>
          <w:p>
            <w:r/>
            <w:r>
              <w:t>Отдельный проверяемый режим FTS + vector + RRF и сравнительный эксперимент</w:t>
            </w:r>
          </w:p>
        </w:tc>
      </w:tr>
      <w:tr>
        <w:trPr>
          <w:cantSplit/>
        </w:trPr>
        <w:tc>
          <w:tcPr>
            <w:tcW w:type="dxa" w:w="4901"/>
            <w:vAlign w:val="center"/>
          </w:tcPr>
          <w:p>
            <w:r/>
            <w:r>
              <w:t>UI и существующая авторизация</w:t>
            </w:r>
          </w:p>
        </w:tc>
        <w:tc>
          <w:tcPr>
            <w:tcW w:type="dxa" w:w="4901"/>
            <w:vAlign w:val="center"/>
          </w:tcPr>
          <w:p>
            <w:r/>
            <w:r>
              <w:t>Вкладка документов, каталог для студента, проверка прав на выдачу</w:t>
            </w:r>
          </w:p>
        </w:tc>
      </w:tr>
    </w:tbl>
    <w:p>
      <w:pPr>
        <w:spacing w:after="20"/>
      </w:pPr>
    </w:p>
    <w:p>
      <w:r>
        <w:t>Перечень повторно используемых модулей уточняется по доступному исходному коду до реализации. Нельзя представлять повторную реализацию уже доступной функции как новую возможность продукта. В пояснительной записке фиксируются происхождение компонентов, собственные изменения и результаты испытаний.</w:t>
      </w:r>
    </w:p>
    <w:p>
      <w:r>
        <w:t>RRF применяется как известный алгоритм. Возможная регистрация программы относится к самостоятельно созданному программному результату; подготовка материалов для регистрации не заменяет демонстрацию работоспособности и не является обязательным условием завершения ВКР.</w:t>
      </w:r>
    </w:p>
    <w:p>
      <w:r>
        <w:t>Не входят в обязательный объём: новый LLM-агент, переобучение модели, OCR, редактор Word в браузере, замена Moodle, полная переработка Tutor и автоматическая запись оценок. Подключение нового поиска к ответам Tutor выполняется отдельным этапом после проверки Loader.</w:t>
      </w:r>
    </w:p>
    <w:p>
      <w:pPr>
        <w:pStyle w:val="Heading1"/>
      </w:pPr>
      <w:r>
        <w:t>11 План выполнения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01"/>
        <w:gridCol w:w="4901"/>
      </w:tblGrid>
      <w:tr>
        <w:trPr>
          <w:cantSplit/>
          <w:tblHeader/>
        </w:trPr>
        <w:tc>
          <w:tcPr>
            <w:tcW w:type="dxa" w:w="4901"/>
            <w:vAlign w:val="center"/>
            <w:shd w:fill="E6EAF0"/>
          </w:tcPr>
          <w:p>
            <w:r>
              <w:rPr>
                <w:b/>
              </w:rPr>
            </w:r>
            <w:r>
              <w:rPr>
                <w:b/>
              </w:rPr>
              <w:t>Период</w:t>
            </w:r>
          </w:p>
        </w:tc>
        <w:tc>
          <w:tcPr>
            <w:tcW w:type="dxa" w:w="4901"/>
            <w:vAlign w:val="center"/>
            <w:shd w:fill="E6EAF0"/>
          </w:tcPr>
          <w:p>
            <w:r>
              <w:rPr>
                <w:b/>
              </w:rPr>
            </w:r>
            <w:r>
              <w:rPr>
                <w:b/>
              </w:rPr>
              <w:t>Результат этапа</w:t>
            </w:r>
          </w:p>
        </w:tc>
      </w:tr>
      <w:tr>
        <w:trPr>
          <w:cantSplit/>
        </w:trPr>
        <w:tc>
          <w:tcPr>
            <w:tcW w:type="dxa" w:w="4901"/>
            <w:vAlign w:val="center"/>
          </w:tcPr>
          <w:p>
            <w:r/>
            <w:r>
              <w:t>Ноябрь–декабрь 2026</w:t>
            </w:r>
          </w:p>
        </w:tc>
        <w:tc>
          <w:tcPr>
            <w:tcW w:type="dxa" w:w="4901"/>
            <w:vAlign w:val="center"/>
          </w:tcPr>
          <w:p>
            <w:r/>
            <w:r>
              <w:t>Анализ текущего стенда, требования, модель данных, корпус и макет интерфейса</w:t>
            </w:r>
          </w:p>
        </w:tc>
      </w:tr>
      <w:tr>
        <w:trPr>
          <w:cantSplit/>
        </w:trPr>
        <w:tc>
          <w:tcPr>
            <w:tcW w:type="dxa" w:w="4901"/>
            <w:vAlign w:val="center"/>
          </w:tcPr>
          <w:p>
            <w:r/>
            <w:r>
              <w:t>Январь–февраль 2027</w:t>
            </w:r>
          </w:p>
        </w:tc>
        <w:tc>
          <w:tcPr>
            <w:tcW w:type="dxa" w:w="4901"/>
            <w:vAlign w:val="center"/>
          </w:tcPr>
          <w:p>
            <w:r/>
            <w:r>
              <w:t>MinIO, API, версии, вкладка документов, индексация и гибридная выдача</w:t>
            </w:r>
          </w:p>
        </w:tc>
      </w:tr>
      <w:tr>
        <w:trPr>
          <w:cantSplit/>
        </w:trPr>
        <w:tc>
          <w:tcPr>
            <w:tcW w:type="dxa" w:w="4901"/>
            <w:vAlign w:val="center"/>
          </w:tcPr>
          <w:p>
            <w:r/>
            <w:r>
              <w:t>Март 2027</w:t>
            </w:r>
          </w:p>
        </w:tc>
        <w:tc>
          <w:tcPr>
            <w:tcW w:type="dxa" w:w="4901"/>
            <w:vAlign w:val="center"/>
          </w:tcPr>
          <w:p>
            <w:r/>
            <w:r>
              <w:t>Испытания, сравнение режимов, устранение ошибок и документация</w:t>
            </w:r>
          </w:p>
        </w:tc>
      </w:tr>
      <w:tr>
        <w:trPr>
          <w:cantSplit/>
        </w:trPr>
        <w:tc>
          <w:tcPr>
            <w:tcW w:type="dxa" w:w="4901"/>
            <w:vAlign w:val="center"/>
          </w:tcPr>
          <w:p>
            <w:r/>
            <w:r>
              <w:t>Апрель–май 2027</w:t>
            </w:r>
          </w:p>
        </w:tc>
        <w:tc>
          <w:tcPr>
            <w:tcW w:type="dxa" w:w="4901"/>
            <w:vAlign w:val="center"/>
          </w:tcPr>
          <w:p>
            <w:r/>
            <w:r>
              <w:t>Пояснительная записка, демонстрация, предзащита и подготовка к защите</w:t>
            </w:r>
          </w:p>
        </w:tc>
      </w:tr>
    </w:tbl>
    <w:p>
      <w:pPr>
        <w:spacing w:after="20"/>
      </w:pPr>
    </w:p>
    <w:p>
      <w:r>
        <w:t>План является предлагаемым и уточняется по календарю кафедры. Для 09.03.03 «Прикладная информатика» в записку включаются анализ процесса до и после внедрения, требования пользователей, проектирование, реализация и оценка практического эффекта.</w:t>
      </w:r>
    </w:p>
    <w:p>
      <w:r>
        <w:t>Конференционный доклад «Организация информационного обеспечения RAG-систем» относится к самостоятельному научно-архитектурному этапу ВКР и обосновывает связывание фрагментов с версиями оригиналов и их контролируемую выдачу. Его подготовка не заменяет разработку программного сервиса, экспериментальную проверку гибридного поиска и документирование личного вклада студента.</w:t>
      </w:r>
    </w:p>
    <w:p>
      <w:pPr>
        <w:pStyle w:val="Heading1"/>
      </w:pPr>
      <w:r>
        <w:t>Приложение А Общая архитектура EduTutor</w:t>
      </w:r>
    </w:p>
    <w:p>
      <w:r>
        <w:t>Схема воспроизводит состав и основные связи из architecture/01_overview.md репозитория BosenkoTM/llm-data-analytics-tutor. Названия сокращены для печати. Под EduTutor как суперсервисом понимается совокупность Moodle-интеграции, пользовательского сервиса, агентов, Loader и локальной инфраструктуры.</w:t>
      </w:r>
    </w:p>
    <w:p>
      <w:pPr>
        <w:spacing w:before="80"/>
        <w:jc w:val="center"/>
      </w:pPr>
      <w:r>
        <w:drawing>
          <wp:inline xmlns:a="http://schemas.openxmlformats.org/drawingml/2006/main" xmlns:pic="http://schemas.openxmlformats.org/drawingml/2006/picture">
            <wp:extent cx="5532120" cy="8580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_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32120" cy="8580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jc w:val="center"/>
      </w:pPr>
      <w:r>
        <w:rPr>
          <w:i/>
          <w:sz w:val="19"/>
        </w:rPr>
        <w:t>Рисунок А.1 — Общая архитектура по актуальной документации проекта.</w:t>
      </w:r>
    </w:p>
    <w:p>
      <w:r>
        <w:t>Moodle передаёт подписанный контекст запуска. EduTutor UI работает с LangGraph; инструменты подключены через MCP. Qwen/Ollama формирует пояснения. Loader подготавливает знания, E5-large создаёт эмбеддинги, PostgreSQL/pgvector хранит поисковую базу. Преподаватель принимает окончательное решение об оценке.</w:t>
      </w:r>
    </w:p>
    <w:p>
      <w:r>
        <w:t>Цвета обозначают роли: бирюзовый — пользователи, синий — образовательные сервисы, зелёный — данные, фиолетовый — интеллектуальные компоненты. MinIO на текущей схеме не показан: он относится к предлагаемому расширению Loader.</w:t>
      </w:r>
    </w:p>
    <w:p>
      <w:r>
        <w:t>Основание: README.md, architecture/01_overview.md и architecture/02_agents.md. Срез ветки main: 20b8fba9399d0f447f2648ef0ecfe8f6324acf3d, проверен 22.10.2026.</w:t>
      </w:r>
    </w:p>
    <w:p>
      <w:pPr>
        <w:pStyle w:val="Heading1"/>
      </w:pPr>
      <w:r>
        <w:t>Приложение Б Текущая архитектура Loader</w:t>
      </w:r>
    </w:p>
    <w:p>
      <w:r>
        <w:t>Схема составлена по services/edurag_loader/README.md, architecture/03_rag.md и education/02_teacher_path.md. Она отражает опубликованную функциональную архитектуру, а не реконструкцию внутренних классов и таблиц.</w:t>
      </w:r>
    </w:p>
    <w:p>
      <w:pPr>
        <w:spacing w:before="80"/>
        <w:jc w:val="center"/>
      </w:pPr>
      <w:r>
        <w:drawing>
          <wp:inline xmlns:a="http://schemas.openxmlformats.org/drawingml/2006/main" xmlns:pic="http://schemas.openxmlformats.org/drawingml/2006/picture">
            <wp:extent cx="5532120" cy="66297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_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32120" cy="662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jc w:val="center"/>
      </w:pPr>
      <w:r>
        <w:rPr>
          <w:i/>
          <w:sz w:val="19"/>
        </w:rPr>
        <w:t>Рисунок Б.1 — Текущие процессы EduRAG Loader и граница интеграции с Tutor.</w:t>
      </w:r>
    </w:p>
    <w:p>
      <w:r>
        <w:t>Loader уже поддерживает структуру дисциплин и занятий, текстовые материалы, прикрепление файлов и Notebook, извлечение текста, предпросмотр, публикацию и диагностический поиск hybrid_v1. В базе знаний учитываются rag_key, принадлежность фрагментов документам и активностям, связи Parent–Child.</w:t>
      </w:r>
    </w:p>
    <w:p>
      <w:r>
        <w:t>Пунктир обозначает незавершённую интеграцию общего поиска Loader и Tutor. Точное сопоставление задания и варианта, показ источников в ответе и сквозная проверка полномочий также отмечены в репозитории как направления развития.</w:t>
      </w:r>
    </w:p>
    <w:p>
      <w:r>
        <w:t>В публичном описании не установлен полный жизненный цикл оригиналов в MinIO и их скачивания студентами. Поэтому эта функция задана как доработка; наличие частичной реализации проверяется на рабочем стенде до написания нового кода.</w:t>
      </w:r>
    </w:p>
    <w:p>
      <w:pPr>
        <w:pStyle w:val="Heading1"/>
      </w:pPr>
      <w:r>
        <w:t>Приложение В Проект обновлённого Loader</w:t>
      </w:r>
    </w:p>
    <w:p>
      <w:r>
        <w:t>Архитектурный прототип расширяет существующую систему. Зелёные узлы PostgreSQL на рисунке — разные логические области одной существующей СУБД, а не два новых сервера. Оранжевые узлы обозначают область разработки или расширения студентом, синие — повторно используемые компоненты.</w:t>
      </w:r>
    </w:p>
    <w:p>
      <w:pPr>
        <w:spacing w:before="80"/>
        <w:jc w:val="center"/>
      </w:pPr>
      <w:r>
        <w:drawing>
          <wp:inline xmlns:a="http://schemas.openxmlformats.org/drawingml/2006/main" xmlns:pic="http://schemas.openxmlformats.org/drawingml/2006/picture">
            <wp:extent cx="5532120" cy="86029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_3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32120" cy="8602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jc w:val="center"/>
      </w:pPr>
      <w:r>
        <w:rPr>
          <w:i/>
          <w:sz w:val="19"/>
        </w:rPr>
        <w:t>Рисунок В.1 — Проект интеграции MinIO и управления документами.</w:t>
      </w:r>
    </w:p>
    <w:p>
      <w:r>
        <w:t>API сохраняет оригинал в MinIO, а карточку и версию — в PostgreSQL. Задания обработки обеспечивают повторный запуск и связь с существующим извлечением и векторизацией. Поиск возвращает document_id, version_id, сведения об источнике, фрагмент и адрес API скачивания. MinIO не выполняет полнотекстовый или векторный поиск.</w:t>
      </w:r>
    </w:p>
    <w:p>
      <w:r>
        <w:t>Скачивание выполняется с повторной проверкой полномочий и выдаёт ту версию, к которой относится найденный фрагмент. Подключение нового поиска к MCP/Tutor показано пунктиром как следующий этап; изменение агентной архитектуры не является обязательной частью ВКР.</w:t>
      </w:r>
    </w:p>
    <w:p>
      <w:pPr>
        <w:pStyle w:val="Heading1"/>
      </w:pPr>
      <w:r>
        <w:t>Приложение Г Поиск и критерии приёмки</w:t>
      </w:r>
    </w:p>
    <w:p>
      <w:pPr>
        <w:spacing w:before="80"/>
        <w:jc w:val="center"/>
      </w:pPr>
      <w:r>
        <w:drawing>
          <wp:inline xmlns:a="http://schemas.openxmlformats.org/drawingml/2006/main" xmlns:pic="http://schemas.openxmlformats.org/drawingml/2006/picture">
            <wp:extent cx="2816405" cy="493775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_4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816405" cy="49377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jc w:val="center"/>
      </w:pPr>
      <w:r>
        <w:rPr>
          <w:i/>
          <w:sz w:val="19"/>
        </w:rPr>
        <w:t>Рисунок Г.1 — Проект гибридной выдачи и перехода к оригиналу.</w:t>
      </w:r>
    </w:p>
    <w:p>
      <w:r>
        <w:t>Обе ветки получают одинаковые ограничения по дисциплине, публикации и правам пользователя. После агрегации фрагментов на уровне версии документа RRF объединяет рейтинги. Указание версии сохраняется до скачивания. Правила доступа применяются до формирования выдачи и передачи контекста LLM.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01"/>
        <w:gridCol w:w="4901"/>
      </w:tblGrid>
      <w:tr>
        <w:trPr>
          <w:cantSplit/>
          <w:tblHeader/>
        </w:trPr>
        <w:tc>
          <w:tcPr>
            <w:tcW w:type="dxa" w:w="4901"/>
            <w:vAlign w:val="center"/>
            <w:shd w:fill="E6EAF0"/>
          </w:tcPr>
          <w:p>
            <w:r>
              <w:rPr>
                <w:b/>
              </w:rPr>
            </w:r>
            <w:r>
              <w:rPr>
                <w:b/>
              </w:rPr>
              <w:t>Проверка</w:t>
            </w:r>
          </w:p>
        </w:tc>
        <w:tc>
          <w:tcPr>
            <w:tcW w:type="dxa" w:w="4901"/>
            <w:vAlign w:val="center"/>
            <w:shd w:fill="E6EAF0"/>
          </w:tcPr>
          <w:p>
            <w:r>
              <w:rPr>
                <w:b/>
              </w:rPr>
            </w:r>
            <w:r>
              <w:rPr>
                <w:b/>
              </w:rPr>
              <w:t>Критерий приёмки</w:t>
            </w:r>
          </w:p>
        </w:tc>
      </w:tr>
      <w:tr>
        <w:trPr>
          <w:cantSplit/>
        </w:trPr>
        <w:tc>
          <w:tcPr>
            <w:tcW w:type="dxa" w:w="4901"/>
            <w:vAlign w:val="center"/>
          </w:tcPr>
          <w:p>
            <w:r/>
            <w:r>
              <w:t>Оригинал</w:t>
            </w:r>
          </w:p>
        </w:tc>
        <w:tc>
          <w:tcPr>
            <w:tcW w:type="dxa" w:w="4901"/>
            <w:vAlign w:val="center"/>
          </w:tcPr>
          <w:p>
            <w:r/>
            <w:r>
              <w:t>Скачанный файл совпадает с загруженным по SHA-256</w:t>
            </w:r>
          </w:p>
        </w:tc>
      </w:tr>
      <w:tr>
        <w:trPr>
          <w:cantSplit/>
        </w:trPr>
        <w:tc>
          <w:tcPr>
            <w:tcW w:type="dxa" w:w="4901"/>
            <w:vAlign w:val="center"/>
          </w:tcPr>
          <w:p>
            <w:r/>
            <w:r>
              <w:t>Версия</w:t>
            </w:r>
          </w:p>
        </w:tc>
        <w:tc>
          <w:tcPr>
            <w:tcW w:type="dxa" w:w="4901"/>
            <w:vAlign w:val="center"/>
          </w:tcPr>
          <w:p>
            <w:r/>
            <w:r>
              <w:t>Новый файл не перезаписывает прежний; выдача указывает точную версию</w:t>
            </w:r>
          </w:p>
        </w:tc>
      </w:tr>
      <w:tr>
        <w:trPr>
          <w:cantSplit/>
        </w:trPr>
        <w:tc>
          <w:tcPr>
            <w:tcW w:type="dxa" w:w="4901"/>
            <w:vAlign w:val="center"/>
          </w:tcPr>
          <w:p>
            <w:r/>
            <w:r>
              <w:t>Доступ</w:t>
            </w:r>
          </w:p>
        </w:tc>
        <w:tc>
          <w:tcPr>
            <w:tcW w:type="dxa" w:w="4901"/>
            <w:vAlign w:val="center"/>
          </w:tcPr>
          <w:p>
            <w:r/>
            <w:r>
              <w:t>Чужие и закрытые материалы отсутствуют в каталоге, сниппетах и скачивании</w:t>
            </w:r>
          </w:p>
        </w:tc>
      </w:tr>
      <w:tr>
        <w:trPr>
          <w:cantSplit/>
        </w:trPr>
        <w:tc>
          <w:tcPr>
            <w:tcW w:type="dxa" w:w="4901"/>
            <w:vAlign w:val="center"/>
          </w:tcPr>
          <w:p>
            <w:r/>
            <w:r>
              <w:t>Сбой</w:t>
            </w:r>
          </w:p>
        </w:tc>
        <w:tc>
          <w:tcPr>
            <w:tcW w:type="dxa" w:w="4901"/>
            <w:vAlign w:val="center"/>
          </w:tcPr>
          <w:p>
            <w:r/>
            <w:r>
              <w:t>Ошибка обработки видна; повтор не создаёт дублей; оригинал сохранён</w:t>
            </w:r>
          </w:p>
        </w:tc>
      </w:tr>
      <w:tr>
        <w:trPr>
          <w:cantSplit/>
        </w:trPr>
        <w:tc>
          <w:tcPr>
            <w:tcW w:type="dxa" w:w="4901"/>
            <w:vAlign w:val="center"/>
          </w:tcPr>
          <w:p>
            <w:r/>
            <w:r>
              <w:t>Поиск</w:t>
            </w:r>
          </w:p>
        </w:tc>
        <w:tc>
          <w:tcPr>
            <w:tcW w:type="dxa" w:w="4901"/>
            <w:vAlign w:val="center"/>
          </w:tcPr>
          <w:p>
            <w:r/>
            <w:r>
              <w:t>Три режима проверены на одном корпусе и отложенной разметке</w:t>
            </w:r>
          </w:p>
        </w:tc>
      </w:tr>
      <w:tr>
        <w:trPr>
          <w:cantSplit/>
        </w:trPr>
        <w:tc>
          <w:tcPr>
            <w:tcW w:type="dxa" w:w="4901"/>
            <w:vAlign w:val="center"/>
          </w:tcPr>
          <w:p>
            <w:r/>
            <w:r>
              <w:t>Интеграция</w:t>
            </w:r>
          </w:p>
        </w:tc>
        <w:tc>
          <w:tcPr>
            <w:tcW w:type="dxa" w:w="4901"/>
            <w:vAlign w:val="center"/>
          </w:tcPr>
          <w:p>
            <w:r/>
            <w:r>
              <w:t>Используются существующие rag_key и идентификаторы активности</w:t>
            </w:r>
          </w:p>
        </w:tc>
      </w:tr>
      <w:tr>
        <w:trPr>
          <w:cantSplit/>
        </w:trPr>
        <w:tc>
          <w:tcPr>
            <w:tcW w:type="dxa" w:w="4901"/>
            <w:vAlign w:val="center"/>
          </w:tcPr>
          <w:p>
            <w:r/>
            <w:r>
              <w:t>Самостоятельность</w:t>
            </w:r>
          </w:p>
        </w:tc>
        <w:tc>
          <w:tcPr>
            <w:tcW w:type="dxa" w:w="4901"/>
            <w:vAlign w:val="center"/>
          </w:tcPr>
          <w:p>
            <w:r/>
            <w:r>
              <w:t>Перечислены собственные модули, заимствованные компоненты и изменения</w:t>
            </w:r>
          </w:p>
        </w:tc>
      </w:tr>
    </w:tbl>
    <w:p>
      <w:pPr>
        <w:spacing w:after="20"/>
      </w:pPr>
    </w:p>
    <w:p>
      <w:r>
        <w:t>Готовность прототипа подтверждается демонстрацией и протоколом испытаний. Численные результаты качества и производительности заполняются после эксперимента, без заранее объявленного выигрыша.</w:t>
      </w:r>
    </w:p>
    <w:p>
      <w:pPr>
        <w:pStyle w:val="Heading1"/>
      </w:pPr>
      <w:r>
        <w:t>Приложение Д Источники и состав материалов</w:t>
      </w:r>
    </w:p>
    <w:p>
      <w:r>
        <w:t>Архитектурная основа — актуальная документация проекта Босенко Т. М. «EduTutor — интеллектуальная поддержка обучения анализу данных». Публичный репозиторий описывает продукт и не содержит исходный код рабочего сервиса. Адаптированные схемы сохраняют смысл опубликованных связей; новые функции отдельно обозначены как проект.</w:t>
      </w:r>
    </w:p>
    <w:p>
      <w:pPr>
        <w:ind w:left="283"/>
      </w:pPr>
      <w:r>
        <w:t>1. Главная страница проекта: https://github.com/BosenkoTM/llm-data-analytics-tutor</w:t>
      </w:r>
    </w:p>
    <w:p>
      <w:pPr>
        <w:ind w:left="283"/>
      </w:pPr>
      <w:r>
        <w:t>2. Общая архитектура: architecture/01_overview.md.</w:t>
      </w:r>
    </w:p>
    <w:p>
      <w:pPr>
        <w:ind w:left="283"/>
      </w:pPr>
      <w:r>
        <w:t>3. Агенты и интерфейсы: architecture/02_agents.md.</w:t>
      </w:r>
    </w:p>
    <w:p>
      <w:pPr>
        <w:ind w:left="283"/>
      </w:pPr>
      <w:r>
        <w:t>4. База знаний и поиск: architecture/03_rag.md.</w:t>
      </w:r>
    </w:p>
    <w:p>
      <w:pPr>
        <w:ind w:left="283"/>
      </w:pPr>
      <w:r>
        <w:t>5. Связь с Moodle: architecture/04_moodle.md.</w:t>
      </w:r>
    </w:p>
    <w:p>
      <w:pPr>
        <w:ind w:left="283"/>
      </w:pPr>
      <w:r>
        <w:t>6. Доступ и контроль качества: architecture/05_security.md.</w:t>
      </w:r>
    </w:p>
    <w:p>
      <w:pPr>
        <w:ind w:left="283"/>
      </w:pPr>
      <w:r>
        <w:t>7. Loader: services/edurag_loader/README.md.</w:t>
      </w:r>
    </w:p>
    <w:p>
      <w:pPr>
        <w:ind w:left="283"/>
      </w:pPr>
      <w:r>
        <w:t>8. Маршрут преподавателя и учебная структура: education/02_teacher_path.md; education/03_courses.md.</w:t>
      </w:r>
    </w:p>
    <w:p>
      <w:pPr>
        <w:ind w:left="283"/>
      </w:pPr>
      <w:r>
        <w:t>9. PostgreSQL. Full Text Search: https://www.postgresql.org/docs/current/textsearch.html.</w:t>
      </w:r>
    </w:p>
    <w:p>
      <w:pPr>
        <w:ind w:left="283"/>
      </w:pPr>
      <w:r>
        <w:t>10. pgvector. Документация расширения: https://github.com/pgvector/pgvector.</w:t>
      </w:r>
    </w:p>
    <w:p>
      <w:pPr>
        <w:ind w:left="283"/>
      </w:pPr>
      <w:r>
        <w:t>11. MinIO Python SDK. Работа с объектами: https://github.com/minio/minio-py.</w:t>
      </w:r>
    </w:p>
    <w:p>
      <w:r>
        <w:t>Пути пунктов 2–8 относятся к указанному репозиторию и срезу main от 22.10.2026. Полные ссылки и SHA файлов приведены в docs/sources.md каталога для GitHub. Автор исходной архитектуры — Босенко Т. М.; исходная документация распространяется на условиях CC BY 4.0, ссылка: https://creativecommons.org/licenses/by/4.0/. Схемы адаптированы и дополнены проектом ВКР.</w:t>
      </w:r>
    </w:p>
    <w:p>
      <w:pPr>
        <w:pStyle w:val="Heading2"/>
      </w:pPr>
      <w:r>
        <w:t>Каталог для GitHub</w:t>
      </w:r>
    </w:p>
    <w:p>
      <w:r>
        <w:t>README.md описывает назначение и статус пакета. docs/ содержит скорректированное описание ВКР, архитектуру, задание студенту, проект модели данных и API, критерии испытаний и источники. diagrams/ содержит редактируемые файлы Mermaid, assets/ — их цветные изображения.</w:t>
      </w:r>
    </w:p>
    <w:p>
      <w:r>
        <w:t>Это комплект проектной документации, а не готовая реализация сервиса. Его можно разместить в отдельном каталоге docs/vkr-loader-minio/ исходного репозитория. Действующие архитектурные файлы проекта сохраняются; новые материалы явно описывают планируемое расширение. Публикация исходного кода и доступ к рабочему стенду согласуются отдельно.</w:t>
      </w:r>
    </w:p>
    <w:sectPr w:rsidR="00FC693F" w:rsidRPr="0006063C" w:rsidSect="00034616">
      <w:footerReference w:type="default" r:id="rId13"/>
      <w:pgSz w:w="12240" w:h="15840"/>
      <w:pgMar w:top="1134" w:right="1134" w:bottom="1077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E6E6E"/>
        <w:sz w:val="17"/>
      </w:rPr>
      <w:t>Описание ВКР · Батраков С. А. · актуализировано 22.10.2026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69" w:lineRule="auto"/>
    </w:pPr>
    <w:rPr>
      <w:rFonts w:ascii="Times New Roman" w:hAnsi="Times New Roman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20" w:after="10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162333"/>
      <w:sz w:val="25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20" w:after="10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162333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20" w:after="10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162333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00" w:line="240" w:lineRule="auto" w:before="40"/>
      <w:contextualSpacing/>
    </w:pPr>
    <w:rPr>
      <w:rFonts w:asciiTheme="majorHAnsi" w:eastAsiaTheme="majorEastAsia" w:hAnsiTheme="majorHAnsi" w:cstheme="majorBidi" w:ascii="Times New Roman" w:hAnsi="Times New Roman"/>
      <w:b/>
      <w:color w:val="162333"/>
      <w:spacing w:val="5"/>
      <w:kern w:val="28"/>
      <w:sz w:val="3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Block"/>
    <w:pPr>
      <w:spacing w:after="20"/>
      <w:ind w:left="227"/>
    </w:pPr>
    <w:rPr>
      <w:rFonts w:ascii="Consolas" w:hAnsi="Consolas"/>
      <w:sz w:val="16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Разработка программного сервиса интеграции и гибридного поиска научно-технической документации</dc:title>
  <dc:subject>Актуализированное описание ВКР</dc:subject>
  <dc:creator>Документация ВКР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