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1920"/>
        <w:ind w:firstLine="0"/>
        <w:jc w:val="center"/>
      </w:pPr>
      <w:r>
        <w:rPr>
          <w:rFonts w:ascii="宋体" w:hAnsi="宋体"/>
          <w:b/>
          <w:color w:val="000000"/>
          <w:sz w:val="44"/>
        </w:rPr>
        <w:t>高校二手物品可信交易小程序</w:t>
      </w:r>
    </w:p>
    <w:p>
      <w:pPr>
        <w:spacing w:before="200"/>
        <w:ind w:firstLine="0"/>
        <w:jc w:val="center"/>
      </w:pPr>
      <w:r>
        <w:rPr>
          <w:rFonts w:ascii="宋体" w:hAnsi="宋体"/>
          <w:b/>
          <w:color w:val="000000"/>
          <w:sz w:val="44"/>
        </w:rPr>
        <w:t>软件实现报告</w:t>
      </w:r>
    </w:p>
    <w:p>
      <w:pPr>
        <w:spacing w:before="260" w:line="312" w:lineRule="auto"/>
        <w:ind w:firstLine="0"/>
        <w:jc w:val="center"/>
      </w:pPr>
      <w:r>
        <w:rPr>
          <w:rFonts w:ascii="宋体" w:hAnsi="宋体"/>
          <w:color w:val="000000"/>
          <w:sz w:val="28"/>
        </w:rPr>
        <w:t>《软件工程基础》课程设计</w:t>
      </w:r>
    </w:p>
    <w:p>
      <w:pPr>
        <w:spacing w:before="260" w:line="312" w:lineRule="auto"/>
        <w:ind w:firstLine="0"/>
        <w:jc w:val="center"/>
      </w:pPr>
      <w:r>
        <w:rPr>
          <w:rFonts w:ascii="宋体" w:hAnsi="宋体"/>
          <w:color w:val="000000"/>
          <w:sz w:val="28"/>
        </w:rPr>
        <w:t>第三部分：统一项目实现、测试与展示素材</w:t>
      </w:r>
    </w:p>
    <w:p>
      <w:pPr>
        <w:spacing w:before="260" w:line="312" w:lineRule="auto"/>
        <w:ind w:firstLine="0"/>
        <w:jc w:val="center"/>
      </w:pPr>
      <w:r>
        <w:rPr>
          <w:rFonts w:ascii="宋体" w:hAnsi="宋体"/>
          <w:color w:val="000000"/>
          <w:sz w:val="28"/>
        </w:rPr>
        <w:t>实施组</w:t>
      </w:r>
    </w:p>
    <w:p>
      <w:pPr>
        <w:spacing w:before="260" w:line="312" w:lineRule="auto"/>
        <w:ind w:firstLine="0"/>
        <w:jc w:val="center"/>
      </w:pPr>
      <w:r>
        <w:rPr>
          <w:rFonts w:ascii="宋体" w:hAnsi="宋体"/>
          <w:color w:val="000000"/>
          <w:sz w:val="24"/>
        </w:rPr>
        <w:t>2026年10月31日</w:t>
      </w:r>
    </w:p>
    <w:p>
      <w:r>
        <w:br w:type="page"/>
      </w:r>
    </w:p>
    <w:p>
      <w:pPr>
        <w:pStyle w:val="1"/>
      </w:pPr>
      <w:r>
        <w:t>一、实现范围与工程结构</w:t>
      </w:r>
    </w:p>
    <w:p>
      <w:pPr>
        <w:keepLines/>
      </w:pPr>
      <w:r>
        <w:t>本报告对应仓库默认分支 main 上的统一项目。小程序采用微信原生技术；服务端按 Controller、Service、Repository 分层，业务按用户认证、商品、订单、评价信誉、咨询收藏、举报监管等职责组织。页面负责展示和提交动作，后端负责权限、状态、事务和持久化。</w:t>
      </w:r>
    </w:p>
    <w:p>
      <w:pPr>
        <w:pStyle w:val="af7"/>
        <w:keepNext/>
        <w:jc w:val="center"/>
      </w:pPr>
      <w:r>
        <w:t>表3-1 运行组件与职责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361"/>
        <w:gridCol w:w="3402"/>
        <w:gridCol w:w="4309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层次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技术与实现</w:t>
            </w:r>
          </w:p>
        </w:tc>
        <w:tc>
          <w:tcPr>
            <w:tcW w:type="dxa" w:w="430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微信原生小程序：WXML、WXSS、JavaScript</w:t>
            </w:r>
          </w:p>
        </w:tc>
        <w:tc>
          <w:tcPr>
            <w:tcW w:type="dxa" w:w="430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页面、表单、导航、请求和图片展示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服务端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Node.js 24、TypeScript、Express 5</w:t>
            </w:r>
          </w:p>
        </w:tc>
        <w:tc>
          <w:tcPr>
            <w:tcW w:type="dxa" w:w="430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会话、参数校验、业务规则、统一错误响应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业务与数据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模块化 Service/Repository、MySQL 8.4 / 8.0兼容</w:t>
            </w:r>
          </w:p>
        </w:tc>
        <w:tc>
          <w:tcPr>
            <w:tcW w:type="dxa" w:w="430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事务、行锁、索引、迁移与状态一致性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统一契约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/api、OpenAPI、requestId、整数分金额</w:t>
            </w:r>
          </w:p>
        </w:tc>
        <w:tc>
          <w:tcPr>
            <w:tcW w:type="dxa" w:w="430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统一请求响应、权限边界与协作接入</w:t>
            </w:r>
          </w:p>
        </w:tc>
      </w:tr>
    </w:tbl>
    <w:p>
      <w:pPr>
        <w:spacing w:line="240" w:lineRule="auto" w:after="60"/>
        <w:ind w:firstLine="0"/>
      </w:pPr>
      <w:r>
        <w:rPr>
          <w:sz w:val="4"/>
        </w:rPr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194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94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图3-1 统一系统分层与业务模块</w:t>
      </w:r>
    </w:p>
    <w:p>
      <w:pPr>
        <w:keepLines/>
      </w:pPr>
      <w:r>
        <w:t>数据库迁移按编号追加，不修改已经应用的迁移。接口统一返回 {code, message, data, requestId}；客户端传递业务动作，服务端只接受状态机允许的动作。公开数据采用字段白名单，编号按字符串传输，金额按整数分保存。</w:t>
      </w:r>
    </w:p>
    <w:p>
      <w:r>
        <w:br w:type="page"/>
      </w:r>
    </w:p>
    <w:p>
      <w:pPr>
        <w:pStyle w:val="1"/>
      </w:pPr>
      <w:r>
        <w:t>二、登录、实名认证与隐私保护</w:t>
      </w:r>
    </w:p>
    <w:p>
      <w:pPr>
        <w:keepLines/>
      </w:pPr>
      <w:r>
        <w:t>课堂演示使用本地演示身份和虚构学籍名单；实名资料提交后进入审核队列，管理员通过或驳回并记录理由。只有认证有效且账号正常的学生可以发布商品和创建订单。会话令牌只保存摘要，用户退出后服务端撤销会话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cert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图3-2 演示登录入口与认证结果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1946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ertification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94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图3-3 认证、人工审核与发布资格流程</w:t>
      </w:r>
    </w:p>
    <w:p>
      <w:pPr>
        <w:keepLines/>
      </w:pPr>
      <w:r>
        <w:t>姓名、学号和手机号采用 AES-256-GCM 加密保存；学号使用独立 HMAC 索引检查重复。个人页面展示脱敏字段，公开卖家资料不返回学号。真实微信 wx.login 路径已留出配置接口，但当前没有 AppSecret，因此平台身份联调未验收。</w:t>
      </w:r>
    </w:p>
    <w:p>
      <w:r>
        <w:br w:type="page"/>
      </w:r>
    </w:p>
    <w:p>
      <w:pPr>
        <w:pStyle w:val="1"/>
      </w:pPr>
      <w:r>
        <w:t>三、商品发布、审核与检索</w:t>
      </w:r>
    </w:p>
    <w:p>
      <w:pPr>
        <w:keepLines/>
      </w:pPr>
      <w:r>
        <w:t>发布端支持图片上传、标题、分类、价格、成色和描述。服务端检查标题长度、非空描述、非负整数分价格、图片数量、图片大小和文件签名；商品先进入待审，审核通过后才公开。编辑已审核商品会重新进入审核，锁定或售出的商品不能由卖家直接改写交易信息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ublis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图3-4 商品发布表单与待审商品队列</w:t>
      </w:r>
    </w:p>
    <w:p>
      <w:pPr>
        <w:keepLines/>
      </w:pPr>
      <w:r>
        <w:t>首页支持分类、关键词和价格筛选；详情展示商品实图、价格、成色、认证及信誉信息。“我的商品”提供编辑和上下架入口。重复发布按规范化标题、价格和24小时窗口判断，并在卖家行锁事务内执行，避免并发请求同时通过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图3-5 首页商品卡片与商品详情</w:t>
      </w:r>
    </w:p>
    <w:p>
      <w:pPr>
        <w:keepLines/>
      </w:pPr>
      <w:r>
        <w:t>配图中的商品身份和交易均为课堂虚构演示数据；商品摄影样图来自仓库注明的授权素材，不代表本组实际在售物品的实拍。</w:t>
      </w:r>
    </w:p>
    <w:p>
      <w:r>
        <w:br w:type="page"/>
      </w:r>
    </w:p>
    <w:p>
      <w:pPr>
        <w:pStyle w:val="1"/>
      </w:pPr>
      <w:r>
        <w:t>四、个人资料与商品管理</w:t>
      </w:r>
    </w:p>
    <w:p>
      <w:pPr>
        <w:keepLines/>
      </w:pPr>
      <w:r>
        <w:t>个人中心集中显示认证状态、信誉分、我的商品、订单、咨询、收藏、举报记录和管理入口。卖家商品列表展示审核、在售、下架、冻结及售出等业务状态；页面按钮只提供交互提示，最终权限和状态仍由后端复核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i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图3-6 个人中心与本人商品管理</w:t>
      </w:r>
    </w:p>
    <w:p>
      <w:pPr>
        <w:keepLines/>
      </w:pPr>
      <w:r>
        <w:t>商品编辑和下架接口进行所有权检查；普通用户无法调用管理员审核接口。审核操作带版本号，过期页面提交时返回冲突，避免使用旧列表覆盖新状态。</w:t>
      </w:r>
    </w:p>
    <w:p>
      <w:r>
        <w:br w:type="page"/>
      </w:r>
    </w:p>
    <w:p>
      <w:pPr>
        <w:pStyle w:val="1"/>
      </w:pPr>
      <w:r>
        <w:t>五、订单状态机与模拟担保</w:t>
      </w:r>
    </w:p>
    <w:p>
      <w:pPr>
        <w:keepLines/>
      </w:pPr>
      <w:r>
        <w:t>下单时服务端读取数据库中的商品价格快照，不接受客户端传入的金额；在同一事务中检查买卖双方资格、锁定商品、创建订单并记录状态日志。条件更新、商品锁和有效订单唯一约束共同防止同一商品产生多笔有效订单。重复请求使用请求编号保持幂等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1946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order-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94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图3-7 从下单到交割、确认和评价的状态流程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ord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order-pai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图3-8 订单列表与模拟支付后的订单详情</w:t>
      </w:r>
    </w:p>
    <w:p>
      <w:pPr>
        <w:keepLines/>
      </w:pPr>
      <w:r>
        <w:t>状态动作依次包括待付款、已付款、待交付、交易中、待确认、已完成；取消、退款和纠纷由独立动作分支处理。待付款订单超过15分钟会释放，已付款超过24小时未接单则进入退款流程；每次超时扫描最多处理50笔候选订单。退款完成前商品保持锁定，冻结商品或禁用卖家不会被退款恢复逻辑覆盖。支付和退款均为课堂模拟，不接入真实资金渠道。</w:t>
      </w:r>
    </w:p>
    <w:p>
      <w:r>
        <w:br w:type="page"/>
      </w:r>
    </w:p>
    <w:p>
      <w:pPr>
        <w:pStyle w:val="1"/>
      </w:pPr>
      <w:r>
        <w:t>六、交割、评价与信誉</w:t>
      </w:r>
    </w:p>
    <w:p>
      <w:pPr>
        <w:keepLines/>
      </w:pPr>
      <w:r>
        <w:t>卖家接单后可开始交割并标记已交付，买家确认后订单完成。完成订单后，双方各自最多提交一次评价。公开评价接口只返回公开评价内容，不返回订单号和内部身份字段。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order-complet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evaluation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图3-9 完成订单与公开交易评价</w:t>
      </w:r>
    </w:p>
    <w:p>
      <w:pPr>
        <w:pStyle w:val="af7"/>
        <w:keepNext/>
        <w:jc w:val="center"/>
      </w:pPr>
      <w:r>
        <w:t>表3-2 信誉事件规则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814"/>
        <w:gridCol w:w="3402"/>
        <w:gridCol w:w="3855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事件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分值变化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幂等约束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初始分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80；总分限制在0至100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数据库用户记录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订单完成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买卖双方各 +1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按订单和用户建立唯一事件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评价星级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五星 +2、四星 +1、三星 0、二星 -1、一星 -3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同一订单每人只能评价一次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成立举报 / 刷单</w:t>
            </w:r>
          </w:p>
        </w:tc>
        <w:tc>
          <w:tcPr>
            <w:tcW w:type="dxa" w:w="3402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-5 / -10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信誉事件唯一键阻止重复计分</w:t>
            </w:r>
          </w:p>
        </w:tc>
      </w:tr>
    </w:tbl>
    <w:p>
      <w:pPr>
        <w:spacing w:line="240" w:lineRule="auto" w:after="60"/>
        <w:ind w:firstLine="0"/>
      </w:pPr>
      <w:r>
        <w:rPr>
          <w:sz w:val="4"/>
        </w:rPr>
      </w:r>
    </w:p>
    <w:p>
      <w:r>
        <w:br w:type="page"/>
      </w:r>
    </w:p>
    <w:p>
      <w:pPr>
        <w:pStyle w:val="1"/>
      </w:pPr>
      <w:r>
        <w:t>七、站内咨询与收藏</w:t>
      </w:r>
    </w:p>
    <w:p>
      <w:pPr>
        <w:keepLines/>
      </w:pPr>
      <w:r>
        <w:t>买家和卖家可围绕具体商品进行站内咨询；会话只允许参与双方读取和发送消息，发送请求携带客户端消息编号以支持重试幂等。收藏与取消收藏采用幂等接口；商品失效后保留收藏记录并显示当前可用状态。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ha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favorit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图3-10 真实双向咨询与个人收藏列表</w:t>
      </w:r>
    </w:p>
    <w:p>
      <w:pPr>
        <w:keepLines/>
      </w:pPr>
      <w:r>
        <w:t>消息及收藏使用当前登录身份完成鉴权；管理员或无关用户不能读取他人的私密会话。页面离开后停止增量刷新，避免后台继续轮询。</w:t>
      </w:r>
    </w:p>
    <w:p>
      <w:r>
        <w:br w:type="page"/>
      </w:r>
    </w:p>
    <w:p>
      <w:pPr>
        <w:pStyle w:val="1"/>
      </w:pPr>
      <w:r>
        <w:t>八、举报处理与统一监管</w:t>
      </w:r>
    </w:p>
    <w:p>
      <w:pPr>
        <w:keepLines/>
      </w:pPr>
      <w:r>
        <w:t>举报表单要求填写对象、原因和说明；后端检查目标权限并阻止重复的待处理举报。用户只能查看本人举报及处理结果。管理员工作台集中处理学籍、商品审核、举报、商品冻结、账号状态和平台规则。成立举报后，处置与信誉事件在事务中写入，关键操作记录理由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repo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report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图3-11 举报提交表单与本人处理结果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moderatio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frozen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图3-12 管理员举报工单与商品冻结状态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60000" cy="466786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rule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　</w:t>
      </w:r>
      <w:r>
        <w:drawing>
          <wp:inline xmlns:a="http://schemas.openxmlformats.org/drawingml/2006/main" xmlns:pic="http://schemas.openxmlformats.org/drawingml/2006/picture">
            <wp:extent cx="2160000" cy="4667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user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667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图3-13 平台规则管理与账号信誉管理</w:t>
      </w:r>
    </w:p>
    <w:p>
      <w:pPr>
        <w:keepLines/>
      </w:pPr>
      <w:r>
        <w:t>监管状态与订单锁定分开记录；解除冻结不会自动将商品重新上架，也不会绕过订单状态机。管理员动作在服务端执行角色和状态校验，普通账号调用监管接口会被拒绝。</w:t>
      </w:r>
    </w:p>
    <w:p>
      <w:pPr>
        <w:keepNext/>
        <w:spacing w:before="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1946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hat-report-flo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94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keepNext w:val="0"/>
        <w:jc w:val="center"/>
      </w:pPr>
      <w:r>
        <w:t>图3-14 举报、监管处置与信誉事件的统一事务</w:t>
      </w:r>
    </w:p>
    <w:p>
      <w:r>
        <w:br w:type="page"/>
      </w:r>
    </w:p>
    <w:p>
      <w:pPr>
        <w:pStyle w:val="1"/>
      </w:pPr>
      <w:r>
        <w:t>九、隐私、安全与异常拦截</w:t>
      </w:r>
    </w:p>
    <w:p>
      <w:pPr>
        <w:pStyle w:val="af7"/>
        <w:keepNext/>
        <w:jc w:val="center"/>
      </w:pPr>
      <w:r>
        <w:t>表3-3 安全风险与实现措施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474"/>
        <w:gridCol w:w="3628"/>
        <w:gridCol w:w="3969"/>
      </w:tblGrid>
      <w:tr>
        <w:trPr>
          <w:cantSplit/>
          <w:tblHeader/>
        </w:trPr>
        <w:tc>
          <w:tcPr>
            <w:tcW w:type="dxa" w:w="147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风险</w:t>
            </w:r>
          </w:p>
        </w:tc>
        <w:tc>
          <w:tcPr>
            <w:tcW w:type="dxa" w:w="3628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实现措施</w:t>
            </w:r>
          </w:p>
        </w:tc>
        <w:tc>
          <w:tcPr>
            <w:tcW w:type="dxa" w:w="396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验证重点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敏感信息泄露</w:t>
            </w:r>
          </w:p>
        </w:tc>
        <w:tc>
          <w:tcPr>
            <w:tcW w:type="dxa" w:w="3628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AES-GCM加密、学号HMAC索引、姓名电话脱敏、公开字段白名单</w:t>
            </w:r>
          </w:p>
        </w:tc>
        <w:tc>
          <w:tcPr>
            <w:tcW w:type="dxa" w:w="396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密文存储、篡改拒绝、公开响应不含学号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越权操作</w:t>
            </w:r>
          </w:p>
        </w:tc>
        <w:tc>
          <w:tcPr>
            <w:tcW w:type="dxa" w:w="3628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服务端角色、所有权、身份和状态校验</w:t>
            </w:r>
          </w:p>
        </w:tc>
        <w:tc>
          <w:tcPr>
            <w:tcW w:type="dxa" w:w="396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修改他人商品、普通用户审核及他人举报读取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并发重复</w:t>
            </w:r>
          </w:p>
        </w:tc>
        <w:tc>
          <w:tcPr>
            <w:tcW w:type="dxa" w:w="3628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卖家行锁、订单条件更新、唯一业务事件</w:t>
            </w:r>
          </w:p>
        </w:tc>
        <w:tc>
          <w:tcPr>
            <w:tcW w:type="dxa" w:w="396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重复发布、并发下单、重复评价与扣分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恶意输入</w:t>
            </w:r>
          </w:p>
        </w:tc>
        <w:tc>
          <w:tcPr>
            <w:tcW w:type="dxa" w:w="3628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参数化SQL、图片签名/大小校验、词表规则和频率限制</w:t>
            </w:r>
          </w:p>
        </w:tc>
        <w:tc>
          <w:tcPr>
            <w:tcW w:type="dxa" w:w="396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SQL注入、非法编号、超限图片与刷频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状态绕过</w:t>
            </w:r>
          </w:p>
        </w:tc>
        <w:tc>
          <w:tcPr>
            <w:tcW w:type="dxa" w:w="3628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订单状态机、审核版本、编辑后重新审核</w:t>
            </w:r>
          </w:p>
        </w:tc>
        <w:tc>
          <w:tcPr>
            <w:tcW w:type="dxa" w:w="3969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非法状态动作、陈旧版本、冻结退款覆盖</w:t>
            </w:r>
          </w:p>
        </w:tc>
      </w:tr>
    </w:tbl>
    <w:p>
      <w:pPr>
        <w:spacing w:line="240" w:lineRule="auto" w:after="60"/>
        <w:ind w:firstLine="0"/>
      </w:pPr>
      <w:r>
        <w:rPr>
          <w:sz w:val="4"/>
        </w:rPr>
      </w:r>
    </w:p>
    <w:p>
      <w:pPr>
        <w:keepLines/>
      </w:pPr>
      <w:r>
        <w:t>关键操作日志只记录必要的非敏感元数据，不存储密码、令牌和敏感身份原文。联系方式及违禁词匹配属于规则筛查，不能替代人工审核，也无法识别图片内文字或全部变体。</w:t>
      </w:r>
    </w:p>
    <w:p>
      <w:r>
        <w:br w:type="page"/>
      </w:r>
    </w:p>
    <w:p>
      <w:pPr>
        <w:pStyle w:val="1"/>
      </w:pPr>
      <w:r>
        <w:t>十、测试与运行验证</w:t>
      </w:r>
    </w:p>
    <w:p>
      <w:pPr>
        <w:keepLines/>
      </w:pPr>
      <w:r>
        <w:t>项目已有的自动化证据覆盖类型检查、构建、接口契约、页面行为和真实 MySQL 集成。合并到统一 main 后，最近一次验证记录为：14 个小程序页面静态检查、50 个 OpenAPI 操作契约、27 项单元/页面测试、36 组 MySQL 集成测试；官方原生编译覆盖14份 WXML 和15份 WXSS。100并发公开检索在本机测试库中100/100成功，既有p95为110.95ms（212件样本），不代表真实校园生产容量。</w:t>
      </w:r>
    </w:p>
    <w:p>
      <w:pPr>
        <w:pStyle w:val="af7"/>
        <w:keepNext/>
        <w:jc w:val="center"/>
      </w:pPr>
      <w:r>
        <w:t>表3-4 测试证据及范围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2494"/>
        <w:gridCol w:w="4876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测试层次</w:t>
            </w:r>
          </w:p>
        </w:tc>
        <w:tc>
          <w:tcPr>
            <w:tcW w:type="dxa" w:w="249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记录结果</w:t>
            </w:r>
          </w:p>
        </w:tc>
        <w:tc>
          <w:tcPr>
            <w:tcW w:type="dxa" w:w="487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静态与契约</w:t>
            </w:r>
          </w:p>
        </w:tc>
        <w:tc>
          <w:tcPr>
            <w:tcW w:type="dxa" w:w="249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14页检查；50项OpenAPI操作</w:t>
            </w:r>
          </w:p>
        </w:tc>
        <w:tc>
          <w:tcPr>
            <w:tcW w:type="dxa" w:w="487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检查页面、路由、请求和接口Schema对应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单元与页面逻辑</w:t>
            </w:r>
          </w:p>
        </w:tc>
        <w:tc>
          <w:tcPr>
            <w:tcW w:type="dxa" w:w="249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27项通过</w:t>
            </w:r>
          </w:p>
        </w:tc>
        <w:tc>
          <w:tcPr>
            <w:tcW w:type="dxa" w:w="487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涵盖权限辅助、隐私、状态与交互行为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MySQL集成</w:t>
            </w:r>
          </w:p>
        </w:tc>
        <w:tc>
          <w:tcPr>
            <w:tcW w:type="dxa" w:w="249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36组通过</w:t>
            </w:r>
          </w:p>
        </w:tc>
        <w:tc>
          <w:tcPr>
            <w:tcW w:type="dxa" w:w="487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独立测试库，覆盖事务、并发、权限和迁移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原生编译</w:t>
            </w:r>
          </w:p>
        </w:tc>
        <w:tc>
          <w:tcPr>
            <w:tcW w:type="dxa" w:w="249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14份WXML、15份WXSS通过</w:t>
            </w:r>
          </w:p>
        </w:tc>
        <w:tc>
          <w:tcPr>
            <w:tcW w:type="dxa" w:w="487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微信开发者工具基础库3.17.4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端到端截图流程</w:t>
            </w:r>
          </w:p>
        </w:tc>
        <w:tc>
          <w:tcPr>
            <w:tcW w:type="dxa" w:w="249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20张模拟器原始截图，14个页面路由</w:t>
            </w:r>
          </w:p>
        </w:tc>
        <w:tc>
          <w:tcPr>
            <w:tcW w:type="dxa" w:w="487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包含举报、监管和真实订单状态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并发性能</w:t>
            </w:r>
          </w:p>
        </w:tc>
        <w:tc>
          <w:tcPr>
            <w:tcW w:type="dxa" w:w="2494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100/100成功；p95 110.95ms</w:t>
            </w:r>
          </w:p>
        </w:tc>
        <w:tc>
          <w:tcPr>
            <w:tcW w:type="dxa" w:w="487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212件本机测试样本；仅作课堂基线</w:t>
            </w:r>
          </w:p>
        </w:tc>
      </w:tr>
    </w:tbl>
    <w:p>
      <w:pPr>
        <w:spacing w:line="240" w:lineRule="auto" w:after="60"/>
        <w:ind w:firstLine="0"/>
      </w:pPr>
      <w:r>
        <w:rPr>
          <w:sz w:val="4"/>
        </w:rPr>
      </w:r>
    </w:p>
    <w:p>
      <w:pPr>
        <w:keepLines/>
      </w:pPr>
      <w:r>
        <w:t>20张界面图片通过微信开发者工具官方 simulator_screenshot 命令生成；演示数据均为虚构。对图片选择的课堂流程使用授权摄影文件作为本地离线选择回调，上传及商品流程调用真实本机服务。没有用示意图冒充页面截图。</w:t>
      </w:r>
    </w:p>
    <w:p>
      <w:r>
        <w:br w:type="page"/>
      </w:r>
    </w:p>
    <w:p>
      <w:pPr>
        <w:pStyle w:val="1"/>
      </w:pPr>
      <w:r>
        <w:t>十一、课堂演示流程与已知边界</w:t>
      </w:r>
    </w:p>
    <w:p>
      <w:pPr>
        <w:pStyle w:val="af7"/>
        <w:keepNext/>
        <w:jc w:val="center"/>
      </w:pPr>
      <w:r>
        <w:t>表3-5 建议课堂演示顺序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680"/>
        <w:gridCol w:w="3005"/>
        <w:gridCol w:w="5386"/>
      </w:tblGrid>
      <w:tr>
        <w:trPr>
          <w:cantSplit/>
          <w:tblHeader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顺序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页面操作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可说明的工程要点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登录并查看认证状态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演示身份、学籍审核、脱敏展示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发布商品并由管理员审核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上传限制、待审不可见、版本冲突处理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搜索商品并查看详情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分类/关键词/价格筛选、卖家隐私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发起订单并模拟付款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服务端价格快照、事务锁定与幂等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卖家交割、买家确认和评价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状态机、角色权限、唯一信誉事件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咨询、收藏并提交举报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参与者隔离、本人记录访问</w:t>
            </w:r>
          </w:p>
        </w:tc>
      </w:tr>
      <w:tr>
        <w:trPr>
          <w:cantSplit/>
        </w:trPr>
        <w:tc>
          <w:tcPr>
            <w:tcW w:type="dxa" w:w="680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7</w:t>
            </w:r>
          </w:p>
        </w:tc>
        <w:tc>
          <w:tcPr>
            <w:tcW w:type="dxa" w:w="300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管理员调查并处置举报</w:t>
            </w:r>
          </w:p>
        </w:tc>
        <w:tc>
          <w:tcPr>
            <w:tcW w:type="dxa" w:w="5386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冻结、信誉事件、监管工作台</w:t>
            </w:r>
          </w:p>
        </w:tc>
      </w:tr>
    </w:tbl>
    <w:p>
      <w:pPr>
        <w:spacing w:line="240" w:lineRule="auto" w:after="60"/>
        <w:ind w:firstLine="0"/>
      </w:pPr>
      <w:r>
        <w:rPr>
          <w:sz w:val="4"/>
        </w:rPr>
      </w:r>
    </w:p>
    <w:p>
      <w:pPr>
        <w:keepLines/>
      </w:pPr>
      <w:r>
        <w:t>运行边界：演示学籍名单为虚构数据；支付与退款为模拟动作；真实微信平台登录需配置AppSecret并单独验证；真机相册、网络波动和线上部署未纳入本次本机模拟器截图验收。</w:t>
      </w:r>
    </w:p>
    <w:p>
      <w:pPr>
        <w:keepLines/>
      </w:pPr>
      <w:r>
        <w:t>界面中的摄影商品图片保留原色；报告正文、表格、标题、页眉和页码统一黑色宋体。正文12磅、1.5倍行距，A4纵向、四边约2.5厘米。</w:t>
      </w:r>
    </w:p>
    <w:p>
      <w:r>
        <w:br w:type="page"/>
      </w:r>
    </w:p>
    <w:p>
      <w:pPr>
        <w:pStyle w:val="1"/>
      </w:pPr>
      <w:r>
        <w:t>十二、PPT图片索引与讲解提纲</w:t>
      </w:r>
    </w:p>
    <w:p>
      <w:pPr>
        <w:keepLines/>
      </w:pPr>
      <w:r>
        <w:t>随报告提供24项独立素材：20张原生模拟器页面截图和4张依据实现绘制的流程图。PPT可围绕“认证与发布、订单闭环、咨询监管、测试证据”组织，不需要按成员拆分章节。所有截图来源、页面路由、身份、日期、原图状态和SHA-256均登记在素材清单。</w:t>
      </w:r>
    </w:p>
    <w:p>
      <w:pPr>
        <w:pStyle w:val="af7"/>
        <w:keepNext/>
        <w:jc w:val="center"/>
      </w:pPr>
      <w:r>
        <w:t>表3-6 推荐展示素材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01"/>
        <w:gridCol w:w="3515"/>
        <w:gridCol w:w="3855"/>
      </w:tblGrid>
      <w:tr>
        <w:trPr>
          <w:cantSplit/>
          <w:tblHeader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讲解段落</w:t>
            </w:r>
          </w:p>
        </w:tc>
        <w:tc>
          <w:tcPr>
            <w:tcW w:type="dxa" w:w="351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素材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  <w:shd w:fill="E7E7E7"/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/>
                <w:color w:val="000000"/>
                <w:sz w:val="21"/>
              </w:rPr>
              <w:t>建议表达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首页与商品</w:t>
            </w:r>
          </w:p>
        </w:tc>
        <w:tc>
          <w:tcPr>
            <w:tcW w:type="dxa" w:w="351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01-home、02-detail、03-publish、04-review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从检索与详情进入发布审核闭环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认证与隐私</w:t>
            </w:r>
          </w:p>
        </w:tc>
        <w:tc>
          <w:tcPr>
            <w:tcW w:type="dxa" w:w="351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10-login、11-certification、06-certification-flow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演示校验、审核和脱敏规则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订单与信誉</w:t>
            </w:r>
          </w:p>
        </w:tc>
        <w:tc>
          <w:tcPr>
            <w:tcW w:type="dxa" w:w="351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07-order-flow、13-orders、14-order-paid、15-order-completed、16-evaluations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展示服务端状态机、模拟支付与评价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咨询与监管</w:t>
            </w:r>
          </w:p>
        </w:tc>
        <w:tc>
          <w:tcPr>
            <w:tcW w:type="dxa" w:w="351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17-chat、18-favorites、19-report、20-reports、21-moderation、22-frozen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展示参与者隔离和违规处理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平台运行</w:t>
            </w:r>
          </w:p>
        </w:tc>
        <w:tc>
          <w:tcPr>
            <w:tcW w:type="dxa" w:w="351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05-architecture、23-rules、24-users</w:t>
            </w:r>
          </w:p>
        </w:tc>
        <w:tc>
          <w:tcPr>
            <w:tcW w:type="dxa" w:w="3855"/>
            <w:vAlign w:val="center"/>
            <w:tcMar>
              <w:top w:w="105" w:type="dxa"/>
              <w:bottom w:w="105" w:type="dxa"/>
              <w:start w:w="115" w:type="dxa"/>
              <w:end w:w="115" w:type="dxa"/>
            </w:tcMar>
          </w:tcPr>
          <w:p>
            <w:pPr>
              <w:spacing w:line="288" w:lineRule="auto" w:before="20" w:after="20"/>
              <w:ind w:firstLine="0"/>
            </w:pPr>
            <w:r>
              <w:rPr>
                <w:rFonts w:ascii="宋体" w:hAnsi="宋体"/>
                <w:b w:val="0"/>
                <w:color w:val="000000"/>
                <w:sz w:val="21"/>
              </w:rPr>
              <w:t>说明分层、参数配置和信誉监管</w:t>
            </w:r>
          </w:p>
        </w:tc>
      </w:tr>
    </w:tbl>
    <w:p>
      <w:pPr>
        <w:spacing w:line="240" w:lineRule="auto" w:after="60"/>
        <w:ind w:firstLine="0"/>
      </w:pPr>
      <w:r>
        <w:rPr>
          <w:sz w:val="4"/>
        </w:rPr>
      </w:r>
    </w:p>
    <w:p>
      <w:pPr>
        <w:keepLines/>
      </w:pPr>
      <w:r>
        <w:t>图像文件可直接用于课堂PPT，保持原比例，不裁掉状态栏、状态文字或敏感字段说明。素材来源说明见 `ppt-assets/README.md` 与 `ppt-assets/provenance.json`；项目商品摄影许可说明见 `assets/demo-products/README.md`。</w:t>
      </w:r>
    </w:p>
    <w:sectPr w:rsidR="006E1B36" w:rsidSect="00034616">
      <w:headerReference w:type="default" r:id="rId1"/>
      <w:footerReference w:type="default" r:id="rId8"/>
      <w:pgSz w:w="11906" w:h="16838"/>
      <w:pgMar w:top="1417" w:right="1417" w:bottom="1417" w:left="1417" w:header="624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DC941" w14:textId="77777777" w:rsidR="00C22432" w:rsidRDefault="00C22432" w:rsidP="00D6343F">
      <w:pPr>
        <w:spacing w:line="240" w:lineRule="auto"/>
      </w:pPr>
      <w:r>
        <w:separator/>
      </w:r>
    </w:p>
  </w:endnote>
  <w:endnote w:type="continuationSeparator" w:id="0">
    <w:p w14:paraId="4E11BFA0" w14:textId="77777777" w:rsidR="00C22432" w:rsidRDefault="00C22432" w:rsidP="00D634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after="0"/>
      <w:ind w:firstLine="0"/>
      <w:jc w:val="center"/>
    </w:pPr>
    <w:r>
      <w:rPr>
        <w:rFonts w:ascii="宋体" w:hAnsi="宋体"/>
        <w:color w:val="000000"/>
        <w:sz w:val="18"/>
      </w:rPr>
      <w:t xml:space="preserve">第 </w:t>
    </w:r>
    <w:fldSimple w:instr="PAGE"/>
    <w:r>
      <w:rPr>
        <w:rFonts w:ascii="宋体" w:hAnsi="宋体"/>
        <w:color w:val="00000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27E02" w14:textId="77777777" w:rsidR="00C22432" w:rsidRDefault="00C22432" w:rsidP="00D6343F">
      <w:pPr>
        <w:spacing w:line="240" w:lineRule="auto"/>
      </w:pPr>
      <w:r>
        <w:separator/>
      </w:r>
    </w:p>
  </w:footnote>
  <w:footnote w:type="continuationSeparator" w:id="0">
    <w:p w14:paraId="350DACD2" w14:textId="77777777" w:rsidR="00C22432" w:rsidRDefault="00C22432" w:rsidP="00D6343F">
      <w:pPr>
        <w:spacing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after="0"/>
      <w:ind w:firstLine="0"/>
      <w:jc w:val="center"/>
    </w:pPr>
    <w:r>
      <w:rPr>
        <w:rFonts w:ascii="宋体" w:hAnsi="宋体"/>
        <w:color w:val="000000"/>
        <w:sz w:val="18"/>
      </w:rPr>
      <w:t>高校二手物品可信交易小程序　软件实现报告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8730009">
    <w:abstractNumId w:val="8"/>
  </w:num>
  <w:num w:numId="2" w16cid:durableId="1781561899">
    <w:abstractNumId w:val="6"/>
  </w:num>
  <w:num w:numId="3" w16cid:durableId="1618875985">
    <w:abstractNumId w:val="5"/>
  </w:num>
  <w:num w:numId="4" w16cid:durableId="1234314494">
    <w:abstractNumId w:val="4"/>
  </w:num>
  <w:num w:numId="5" w16cid:durableId="495339210">
    <w:abstractNumId w:val="7"/>
  </w:num>
  <w:num w:numId="6" w16cid:durableId="941843815">
    <w:abstractNumId w:val="3"/>
  </w:num>
  <w:num w:numId="7" w16cid:durableId="316956864">
    <w:abstractNumId w:val="2"/>
  </w:num>
  <w:num w:numId="8" w16cid:durableId="590629494">
    <w:abstractNumId w:val="1"/>
  </w:num>
  <w:num w:numId="9" w16cid:durableId="1678847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OfficeWordTocPaginationV1" w:val="v5:4cfe27405682a6f76ec3d34ef672a16e87e9f26a1388d196f1446db167902b62:f8874f7da895e26a116cd8ffde51c9ce0bb634c8e2c73bfc12ab4f044c6a2f71:59060648ac795a42180825f960c6500dd9d0d1ad5685150ea8726eea2214dd6c"/>
  </w:docVars>
  <w:rsids>
    <w:rsidRoot w:val="00B47730"/>
    <w:rsid w:val="00034616"/>
    <w:rsid w:val="0006063C"/>
    <w:rsid w:val="00147164"/>
    <w:rsid w:val="0015074B"/>
    <w:rsid w:val="0029639D"/>
    <w:rsid w:val="00326F90"/>
    <w:rsid w:val="0061285E"/>
    <w:rsid w:val="006E1B36"/>
    <w:rsid w:val="008960E9"/>
    <w:rsid w:val="0091057F"/>
    <w:rsid w:val="00AA1D8D"/>
    <w:rsid w:val="00B47730"/>
    <w:rsid w:val="00C22432"/>
    <w:rsid w:val="00CB0664"/>
    <w:rsid w:val="00D634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EC9AC97"/>
  <w14:defaultImageDpi w14:val="300"/>
  <w15:docId w15:val="{10B50F35-0A74-4E85-A712-B584540A9FD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/>
      <w:spacing w:after="100" w:line="360" w:lineRule="auto"/>
      <w:ind w:firstLine="480"/>
    </w:pPr>
    <w:rPr>
      <w:rFonts w:ascii="宋体" w:hAnsi="宋体" w:eastAsia="宋体" w:cs="宋体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80" w:line="312" w:lineRule="auto"/>
      <w:ind w:firstLine="0"/>
      <w:outlineLvl w:val="0"/>
    </w:pPr>
    <w:rPr>
      <w:rFonts w:ascii="宋体" w:hAnsi="宋体" w:eastAsia="宋体" w:cs="宋体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40" w:after="100" w:line="312" w:lineRule="auto"/>
      <w:ind w:firstLine="0"/>
      <w:outlineLvl w:val="1"/>
    </w:pPr>
    <w:rPr>
      <w:rFonts w:ascii="宋体" w:hAnsi="宋体" w:eastAsia="宋体" w:cs="宋体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00" w:after="80" w:line="312" w:lineRule="auto"/>
      <w:ind w:firstLine="0"/>
      <w:outlineLvl w:val="2"/>
    </w:pPr>
    <w:rPr>
      <w:rFonts w:ascii="宋体" w:hAnsi="宋体" w:eastAsia="宋体" w:cs="宋体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="宋体" w:hAnsi="宋体" w:eastAsia="宋体" w:cs="宋体"/>
      <w:b/>
      <w:bCs/>
      <w:i/>
      <w:iCs/>
      <w:color w:val="000000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="宋体" w:hAnsi="宋体" w:eastAsia="宋体" w:cs="宋体"/>
      <w:color w:val="00000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="宋体" w:hAnsi="宋体" w:eastAsia="宋体" w:cs="宋体"/>
      <w:i/>
      <w:iCs/>
      <w:color w:val="00000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="宋体" w:hAnsi="宋体" w:eastAsia="宋体" w:cs="宋体"/>
      <w:i/>
      <w:iCs/>
      <w:color w:val="00000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="宋体" w:hAnsi="宋体" w:eastAsia="宋体" w:cs="宋体"/>
      <w:color w:val="000000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="宋体" w:hAnsi="宋体" w:eastAsia="宋体" w:cs="宋体"/>
      <w:i/>
      <w:iCs/>
      <w:color w:val="000000"/>
      <w:sz w:val="20"/>
      <w:szCs w:val="20"/>
    </w:rPr>
  </w:style>
  <w:style w:type="character" w:default="1" w:styleId="a2">
    <w:name w:val="Default Paragraph Font"/>
    <w:uiPriority w:val="1"/>
    <w:semiHidden/>
    <w:unhideWhenUsed/>
    <w:rPr>
      <w:rFonts w:ascii="宋体" w:hAnsi="宋体" w:eastAsia="宋体" w:cs="宋体"/>
      <w:color w:val="000000"/>
    </w:rPr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rFonts w:ascii="宋体" w:hAnsi="宋体" w:eastAsia="宋体" w:cs="宋体"/>
      <w:color w:val="000000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宋体" w:hAnsi="宋体" w:eastAsia="宋体" w:cs="宋体"/>
      <w:color w:val="00000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rFonts w:ascii="宋体" w:hAnsi="宋体" w:eastAsia="宋体" w:cs="宋体"/>
      <w:color w:val="000000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宋体" w:hAnsi="宋体" w:eastAsia="宋体" w:cs="宋体"/>
      <w:color w:val="00000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ascii="宋体" w:hAnsi="宋体" w:eastAsia="宋体" w:cs="宋体"/>
      <w:color w:val="000000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宋体" w:hAnsi="宋体" w:eastAsia="宋体" w:cs="宋体"/>
      <w:b/>
      <w:bCs/>
      <w:color w:val="000000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宋体" w:hAnsi="宋体" w:eastAsia="宋体" w:cs="宋体"/>
      <w:b/>
      <w:bCs/>
      <w:color w:val="000000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宋体" w:hAnsi="宋体" w:eastAsia="宋体" w:cs="宋体"/>
      <w:b/>
      <w:bCs/>
      <w:color w:val="000000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240" w:line="312" w:lineRule="auto" w:before="0"/>
      <w:ind w:firstLine="0"/>
      <w:contextualSpacing/>
      <w:jc w:val="center"/>
    </w:pPr>
    <w:rPr>
      <w:rFonts w:ascii="宋体" w:hAnsi="宋体" w:eastAsia="宋体" w:cs="宋体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宋体" w:hAnsi="宋体" w:eastAsia="宋体" w:cs="宋体"/>
      <w:color w:val="000000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ind w:firstLine="480"/>
    </w:pPr>
    <w:rPr>
      <w:rFonts w:ascii="宋体" w:hAnsi="宋体" w:eastAsia="宋体" w:cs="宋体"/>
      <w:i/>
      <w:iCs/>
      <w:color w:val="000000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宋体" w:hAnsi="宋体" w:eastAsia="宋体" w:cs="宋体"/>
      <w:i/>
      <w:iCs/>
      <w:color w:val="000000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宋体" w:hAnsi="宋体" w:eastAsia="宋体" w:cs="宋体"/>
      <w:color w:val="000000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  <w:rPr>
      <w:rFonts w:ascii="宋体" w:hAnsi="宋体" w:eastAsia="宋体" w:cs="宋体"/>
      <w:color w:val="000000"/>
    </w:rPr>
  </w:style>
  <w:style w:type="character" w:customStyle="1" w:styleId="af0">
    <w:name w:val="正文文本 字符"/>
    <w:basedOn w:val="a2"/>
    <w:link w:val="af"/>
    <w:uiPriority w:val="99"/>
    <w:rsid w:val="00AA1D8D"/>
    <w:rPr>
      <w:rFonts w:ascii="宋体" w:hAnsi="宋体" w:eastAsia="宋体" w:cs="宋体"/>
      <w:color w:val="00000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ascii="宋体" w:hAnsi="宋体" w:eastAsia="宋体" w:cs="宋体"/>
      <w:color w:val="000000"/>
    </w:rPr>
  </w:style>
  <w:style w:type="character" w:customStyle="1" w:styleId="24">
    <w:name w:val="正文文本 2 字符"/>
    <w:basedOn w:val="a2"/>
    <w:link w:val="23"/>
    <w:uiPriority w:val="99"/>
    <w:rsid w:val="00AA1D8D"/>
    <w:rPr>
      <w:rFonts w:ascii="宋体" w:hAnsi="宋体" w:eastAsia="宋体" w:cs="宋体"/>
      <w:color w:val="000000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rFonts w:ascii="宋体" w:hAnsi="宋体" w:eastAsia="宋体" w:cs="宋体"/>
      <w:color w:val="000000"/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宋体" w:hAnsi="宋体" w:eastAsia="宋体" w:cs="宋体"/>
      <w:color w:val="00000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  <w:rPr>
      <w:rFonts w:ascii="宋体" w:hAnsi="宋体" w:eastAsia="宋体" w:cs="宋体"/>
      <w:color w:val="000000"/>
    </w:r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  <w:rPr>
      <w:rFonts w:ascii="宋体" w:hAnsi="宋体" w:eastAsia="宋体" w:cs="宋体"/>
      <w:color w:val="000000"/>
    </w:r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  <w:rPr>
      <w:rFonts w:ascii="宋体" w:hAnsi="宋体" w:eastAsia="宋体" w:cs="宋体"/>
      <w:color w:val="000000"/>
    </w:rPr>
  </w:style>
  <w:style w:type="paragraph" w:styleId="a0">
    <w:name w:val="List Bullet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20">
    <w:name w:val="List Bullet 2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30">
    <w:name w:val="List Bullet 3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a">
    <w:name w:val="List Number"/>
    <w:basedOn w:val="a1"/>
    <w:uiPriority w:val="99"/>
    <w:unhideWhenUsed/>
    <w:rsid w:val="00326F90"/>
    <w:pPr>
      <w:contextualSpacing/>
    </w:pPr>
    <w:rPr>
      <w:rFonts w:ascii="宋体" w:hAnsi="宋体" w:eastAsia="宋体" w:cs="宋体"/>
      <w:color w:val="000000"/>
    </w:rPr>
  </w:style>
  <w:style w:type="paragraph" w:styleId="2">
    <w:name w:val="List Number 2"/>
    <w:basedOn w:val="a1"/>
    <w:uiPriority w:val="99"/>
    <w:unhideWhenUsed/>
    <w:rsid w:val="0029639D"/>
    <w:pPr>
      <w:contextualSpacing/>
    </w:pPr>
    <w:rPr>
      <w:rFonts w:ascii="宋体" w:hAnsi="宋体" w:eastAsia="宋体" w:cs="宋体"/>
      <w:color w:val="000000"/>
    </w:rPr>
  </w:style>
  <w:style w:type="paragraph" w:styleId="3">
    <w:name w:val="List Number 3"/>
    <w:basedOn w:val="a1"/>
    <w:uiPriority w:val="99"/>
    <w:unhideWhenUsed/>
    <w:rsid w:val="0029639D"/>
    <w:pPr>
      <w:contextualSpacing/>
    </w:pPr>
    <w:rPr>
      <w:rFonts w:ascii="宋体" w:hAnsi="宋体" w:eastAsia="宋体" w:cs="宋体"/>
      <w:color w:val="000000"/>
    </w:r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  <w:rPr>
      <w:rFonts w:ascii="宋体" w:hAnsi="宋体" w:eastAsia="宋体" w:cs="宋体"/>
      <w:color w:val="000000"/>
    </w:r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  <w:rPr>
      <w:rFonts w:ascii="宋体" w:hAnsi="宋体" w:eastAsia="宋体" w:cs="宋体"/>
      <w:color w:val="000000"/>
    </w:r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  <w:rPr>
      <w:rFonts w:ascii="宋体" w:hAnsi="宋体" w:eastAsia="宋体" w:cs="宋体"/>
      <w:color w:val="000000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color w:val="000000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宋体" w:hAnsi="宋体" w:eastAsia="宋体" w:cs="宋体"/>
      <w:color w:val="00000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rFonts w:ascii="宋体" w:hAnsi="宋体" w:eastAsia="宋体" w:cs="宋体"/>
      <w:i/>
      <w:iCs/>
      <w:color w:val="000000"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宋体" w:hAnsi="宋体" w:eastAsia="宋体" w:cs="宋体"/>
      <w:i/>
      <w:iCs/>
      <w:color w:val="000000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宋体" w:hAnsi="宋体" w:eastAsia="宋体" w:cs="宋体"/>
      <w:b/>
      <w:bCs/>
      <w:i/>
      <w:iCs/>
      <w:color w:val="000000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宋体" w:hAnsi="宋体" w:eastAsia="宋体" w:cs="宋体"/>
      <w:color w:val="000000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宋体" w:hAnsi="宋体" w:eastAsia="宋体" w:cs="宋体"/>
      <w:i/>
      <w:iCs/>
      <w:color w:val="000000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宋体" w:hAnsi="宋体" w:eastAsia="宋体" w:cs="宋体"/>
      <w:i/>
      <w:iCs/>
      <w:color w:val="000000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宋体" w:hAnsi="宋体" w:eastAsia="宋体" w:cs="宋体"/>
      <w:color w:val="000000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宋体" w:hAnsi="宋体" w:eastAsia="宋体" w:cs="宋体"/>
      <w:i/>
      <w:iCs/>
      <w:color w:val="00000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88" w:lineRule="auto" w:before="60" w:after="140"/>
      <w:ind w:firstLine="0"/>
    </w:pPr>
    <w:rPr>
      <w:rFonts w:ascii="宋体" w:hAnsi="宋体" w:eastAsia="宋体" w:cs="宋体"/>
      <w:b w:val="0"/>
      <w:bCs/>
      <w:color w:val="000000"/>
      <w:sz w:val="21"/>
      <w:szCs w:val="18"/>
    </w:rPr>
  </w:style>
  <w:style w:type="character" w:styleId="af8">
    <w:name w:val="Strong"/>
    <w:basedOn w:val="a2"/>
    <w:uiPriority w:val="22"/>
    <w:qFormat/>
    <w:rsid w:val="00FC693F"/>
    <w:rPr>
      <w:rFonts w:ascii="宋体" w:hAnsi="宋体" w:eastAsia="宋体" w:cs="宋体"/>
      <w:b/>
      <w:bCs/>
      <w:color w:val="000000"/>
    </w:rPr>
  </w:style>
  <w:style w:type="character" w:styleId="af9">
    <w:name w:val="Emphasis"/>
    <w:basedOn w:val="a2"/>
    <w:uiPriority w:val="20"/>
    <w:qFormat/>
    <w:rsid w:val="00FC693F"/>
    <w:rPr>
      <w:rFonts w:ascii="宋体" w:hAnsi="宋体" w:eastAsia="宋体" w:cs="宋体"/>
      <w:i/>
      <w:iCs/>
      <w:color w:val="000000"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rFonts w:ascii="宋体" w:hAnsi="宋体" w:eastAsia="宋体" w:cs="宋体"/>
      <w:b/>
      <w:bCs/>
      <w:i/>
      <w:iCs/>
      <w:color w:val="000000"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宋体" w:hAnsi="宋体" w:eastAsia="宋体" w:cs="宋体"/>
      <w:b/>
      <w:bCs/>
      <w:i/>
      <w:iCs/>
      <w:color w:val="000000"/>
    </w:rPr>
  </w:style>
  <w:style w:type="character" w:styleId="afc">
    <w:name w:val="Subtle Emphasis"/>
    <w:basedOn w:val="a2"/>
    <w:uiPriority w:val="19"/>
    <w:qFormat/>
    <w:rsid w:val="00FC693F"/>
    <w:rPr>
      <w:rFonts w:ascii="宋体" w:hAnsi="宋体" w:eastAsia="宋体" w:cs="宋体"/>
      <w:i/>
      <w:iCs/>
      <w:color w:val="000000"/>
    </w:rPr>
  </w:style>
  <w:style w:type="character" w:styleId="afd">
    <w:name w:val="Intense Emphasis"/>
    <w:basedOn w:val="a2"/>
    <w:uiPriority w:val="21"/>
    <w:qFormat/>
    <w:rsid w:val="00FC693F"/>
    <w:rPr>
      <w:rFonts w:ascii="宋体" w:hAnsi="宋体" w:eastAsia="宋体" w:cs="宋体"/>
      <w:b/>
      <w:bCs/>
      <w:i/>
      <w:iCs/>
      <w:color w:val="000000"/>
    </w:rPr>
  </w:style>
  <w:style w:type="character" w:styleId="afe">
    <w:name w:val="Subtle Reference"/>
    <w:basedOn w:val="a2"/>
    <w:uiPriority w:val="31"/>
    <w:qFormat/>
    <w:rsid w:val="00FC693F"/>
    <w:rPr>
      <w:rFonts w:ascii="宋体" w:hAnsi="宋体" w:eastAsia="宋体" w:cs="宋体"/>
      <w:smallCaps/>
      <w:color w:val="000000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宋体" w:hAnsi="宋体" w:eastAsia="宋体" w:cs="宋体"/>
      <w:b/>
      <w:bCs/>
      <w:smallCaps/>
      <w:color w:val="000000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宋体" w:hAnsi="宋体" w:eastAsia="宋体" w:cs="宋体"/>
      <w:b/>
      <w:bCs/>
      <w:smallCaps/>
      <w:color w:val="000000"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ascii="宋体" w:hAnsi="宋体" w:eastAsia="宋体" w:cs="宋体"/>
      <w:color w:val="000000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uiPriority w:val="39"/>
    <w:semiHidden/>
    <w:unhideWhenUsed/>
    <w:pPr>
      <w:spacing w:line="240" w:lineRule="auto"/>
      <w:ind w:firstLine="0"/>
    </w:pPr>
    <w:rPr>
      <w:rFonts w:ascii="宋体" w:hAnsi="宋体" w:eastAsia="宋体" w:cs="宋体"/>
      <w:color w:val="000000"/>
    </w:rPr>
  </w:style>
  <w:style w:type="paragraph" w:styleId="TOC2">
    <w:name w:val="toc 2"/>
    <w:basedOn w:val="a1"/>
    <w:next w:val="a1"/>
    <w:uiPriority w:val="39"/>
    <w:semiHidden/>
    <w:unhideWhenUsed/>
    <w:pPr>
      <w:spacing w:line="240" w:lineRule="auto"/>
      <w:ind w:leftChars="200" w:left="420" w:firstLine="0"/>
    </w:pPr>
    <w:rPr>
      <w:rFonts w:ascii="宋体" w:hAnsi="宋体" w:eastAsia="宋体" w:cs="宋体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theme" Target="theme/theme1.xml"/><Relationship Id="rId1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jp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27</Pages>
  <Words>5159</Words>
  <Characters>7945</Characters>
  <Application>Microsoft Office Word</Application>
  <DocSecurity>0</DocSecurity>
  <Lines>993</Lines>
  <Paragraphs>1310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高校二手物品可信交易小程序软件实现报告</dc:title>
  <dc:subject>课程设计第三部分：统一项目实现、验证与展示素材</dc:subject>
  <dc:creator>软件工程课程设计实施组</dc:creator>
  <cp:keywords>软件工程；小程序；商品；订单；评价；监管；实现报告</cp:keywords>
  <dc:description>依据统一main代码、演示库流程和已记录测试结果整理。</dc:description>
  <cp:lastModifiedBy>软件工程课程设计实施组</cp:lastModifiedBy>
  <cp:revision>4</cp:revision>
  <dcterms:created xsi:type="dcterms:W3CDTF">2026-10-31T00:00:00Z</dcterms:created>
  <dcterms:modified xsi:type="dcterms:W3CDTF">2026-10-31T00:00:00Z</dcterms:modified>
  <cp:category/>
</cp:coreProperties>
</file>