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CEBF" w14:textId="77777777" w:rsidR="00B37D21" w:rsidRDefault="00000000">
      <w:pPr>
        <w:pStyle w:val="Heading1"/>
      </w:pPr>
      <w:bookmarkStart w:id="0" w:name="patent-application-leafscan-ai"/>
      <w:r>
        <w:t>PATENT APPLICATION: LEAFSCAN AI</w:t>
      </w:r>
    </w:p>
    <w:p w14:paraId="083E797D" w14:textId="77777777" w:rsidR="00B37D21" w:rsidRDefault="00000000">
      <w:pPr>
        <w:pStyle w:val="Heading2"/>
      </w:pPr>
      <w:bookmarkStart w:id="1" w:name="Xb5a8bc4674577eec2b41b0da6fb342d3760190f"/>
      <w:r>
        <w:t>AN AUTONOMOUS AGRI-INTELLIGENCE OPERATING SYSTEM FOR SOVEREIGN FOOD SECURITY</w:t>
      </w:r>
    </w:p>
    <w:p w14:paraId="5FC76CE0" w14:textId="77777777" w:rsidR="00B37D21" w:rsidRDefault="00000000">
      <w:pPr>
        <w:pStyle w:val="FirstParagraph"/>
      </w:pPr>
      <w:r>
        <w:rPr>
          <w:b/>
          <w:bCs/>
        </w:rPr>
        <w:t>Inventor:</w:t>
      </w:r>
      <w:r>
        <w:t xml:space="preserve"> Argho Nandi</w:t>
      </w:r>
      <w:r>
        <w:br/>
      </w:r>
      <w:r>
        <w:rPr>
          <w:b/>
          <w:bCs/>
        </w:rPr>
        <w:t>Date:</w:t>
      </w:r>
      <w:r>
        <w:t xml:space="preserve"> May 7, 2026</w:t>
      </w:r>
      <w:r>
        <w:br/>
      </w:r>
      <w:r>
        <w:rPr>
          <w:b/>
          <w:bCs/>
        </w:rPr>
        <w:t>Version:</w:t>
      </w:r>
      <w:r>
        <w:t xml:space="preserve"> 4.0 (Final Imperial Master)</w:t>
      </w:r>
    </w:p>
    <w:p w14:paraId="00A8BD9F" w14:textId="4156DDD7" w:rsidR="00B37D21" w:rsidRDefault="00B37D21"/>
    <w:p w14:paraId="647F33FB" w14:textId="77777777" w:rsidR="00B37D21" w:rsidRDefault="00000000">
      <w:pPr>
        <w:pStyle w:val="Heading2"/>
      </w:pPr>
      <w:bookmarkStart w:id="2" w:name="abstract"/>
      <w:bookmarkEnd w:id="1"/>
      <w:r>
        <w:t>1. ABSTRACT</w:t>
      </w:r>
    </w:p>
    <w:p w14:paraId="7EFA1F5D" w14:textId="77777777" w:rsidR="00B37D21" w:rsidRDefault="00000000">
      <w:pPr>
        <w:pStyle w:val="FirstParagraph"/>
      </w:pPr>
      <w:r>
        <w:t xml:space="preserve">LeafScan AI is a multi-modal autonomous agronomic management system designed for high-stakes crop protection. It utilizes a hierarchical neural architecture (102 crops), Explainable AI (XAI) saliency mapping, and </w:t>
      </w:r>
      <w:r>
        <w:rPr>
          <w:b/>
          <w:bCs/>
        </w:rPr>
        <w:t>Virtual Multi-Spectral (VMS) Synthesis</w:t>
      </w:r>
      <w:r>
        <w:t xml:space="preserve"> to detect sub-visual biological stress. The system integrates real-time environmental telemetry to generate predictive epidemiological risk models and autonomous robotic mission waypoints, ensuring sovereign food security through a zero-cloud edge-computing architecture.</w:t>
      </w:r>
    </w:p>
    <w:p w14:paraId="5C922FC4" w14:textId="3F768847" w:rsidR="00B37D21" w:rsidRDefault="00B37D21"/>
    <w:p w14:paraId="6F3F4B24" w14:textId="77777777" w:rsidR="00B37D21" w:rsidRDefault="00000000">
      <w:pPr>
        <w:pStyle w:val="Heading2"/>
      </w:pPr>
      <w:bookmarkStart w:id="3" w:name="X1c0dd4e342d0f582df30175b09cac510b1855fa"/>
      <w:bookmarkEnd w:id="2"/>
      <w:r>
        <w:t>2. INNOVATION 1: HIERARCHICAL SPECIALIST ROUTING (THE BHARAT-AGRI ENGINE)</w:t>
      </w:r>
    </w:p>
    <w:p w14:paraId="6A329538" w14:textId="77777777" w:rsidR="00B37D21" w:rsidRDefault="00000000">
      <w:pPr>
        <w:pStyle w:val="FirstParagraph"/>
      </w:pPr>
      <w:r>
        <w:t xml:space="preserve">The system solves the “Classification Complexity” problem by implementing a </w:t>
      </w:r>
      <w:r>
        <w:rPr>
          <w:b/>
          <w:bCs/>
        </w:rPr>
        <w:t>Dynamic Taxonomic-to-Specialist Routing</w:t>
      </w:r>
      <w:r>
        <w:t xml:space="preserve"> architecture.</w:t>
      </w:r>
    </w:p>
    <w:p w14:paraId="319369F9" w14:textId="77777777" w:rsidR="00B37D21" w:rsidRDefault="00000000">
      <w:pPr>
        <w:pStyle w:val="Heading3"/>
      </w:pPr>
      <w:bookmarkStart w:id="4" w:name="technical-description"/>
      <w:r>
        <w:t>Technical Description</w:t>
      </w:r>
    </w:p>
    <w:p w14:paraId="7F554D1F" w14:textId="77777777" w:rsidR="00B37D21" w:rsidRDefault="00000000">
      <w:pPr>
        <w:pStyle w:val="FirstParagraph"/>
      </w:pPr>
      <w:r>
        <w:t>The system first utilizes a high-level “Taxonomic Router” to identify the crop species. Once identified, it dynamically loads a “Specialist Brain” (a localized model delta) specifically trained for that species. This ensures high-fidelity diagnostics (93% - 98.4%) even on low-power mobile hardware.</w:t>
      </w:r>
    </w:p>
    <w:p w14:paraId="067C8C09" w14:textId="77777777" w:rsidR="00B37D21" w:rsidRDefault="00000000">
      <w:pPr>
        <w:pStyle w:val="Heading3"/>
      </w:pPr>
      <w:bookmarkStart w:id="5" w:name="Xbfdcc60ce4cb3a89698932742ddb9b1a3b95dd0"/>
      <w:bookmarkEnd w:id="4"/>
      <w:r>
        <w:t>Table 1: Sovereign Crop Coverage (Extract of 102 Specialists)</w:t>
      </w:r>
    </w:p>
    <w:tbl>
      <w:tblPr>
        <w:tblStyle w:val="Table"/>
        <w:tblW w:w="0" w:type="pct"/>
        <w:tblLook w:val="0020" w:firstRow="1" w:lastRow="0" w:firstColumn="0" w:lastColumn="0" w:noHBand="0" w:noVBand="0"/>
      </w:tblPr>
      <w:tblGrid>
        <w:gridCol w:w="1481"/>
        <w:gridCol w:w="1681"/>
        <w:gridCol w:w="3351"/>
        <w:gridCol w:w="1887"/>
      </w:tblGrid>
      <w:tr w:rsidR="00B37D21" w14:paraId="4358998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14ECCA" w14:textId="77777777" w:rsidR="00B37D21" w:rsidRDefault="00000000">
            <w:pPr>
              <w:pStyle w:val="Compact"/>
            </w:pPr>
            <w:r>
              <w:t>Specialist ID</w:t>
            </w:r>
          </w:p>
        </w:tc>
        <w:tc>
          <w:tcPr>
            <w:tcW w:w="0" w:type="auto"/>
          </w:tcPr>
          <w:p w14:paraId="04CCF214" w14:textId="77777777" w:rsidR="00B37D21" w:rsidRDefault="00000000">
            <w:pPr>
              <w:pStyle w:val="Compact"/>
            </w:pPr>
            <w:r>
              <w:t>Crop Category</w:t>
            </w:r>
          </w:p>
        </w:tc>
        <w:tc>
          <w:tcPr>
            <w:tcW w:w="0" w:type="auto"/>
          </w:tcPr>
          <w:p w14:paraId="456FA3EF" w14:textId="77777777" w:rsidR="00B37D21" w:rsidRDefault="00000000">
            <w:pPr>
              <w:pStyle w:val="Compact"/>
            </w:pPr>
            <w:r>
              <w:t>Pathogens Detected</w:t>
            </w:r>
          </w:p>
        </w:tc>
        <w:tc>
          <w:tcPr>
            <w:tcW w:w="0" w:type="auto"/>
          </w:tcPr>
          <w:p w14:paraId="66F0EA47" w14:textId="77777777" w:rsidR="00B37D21" w:rsidRDefault="00000000">
            <w:pPr>
              <w:pStyle w:val="Compact"/>
            </w:pPr>
            <w:r>
              <w:t>Model Footprint</w:t>
            </w:r>
          </w:p>
        </w:tc>
      </w:tr>
      <w:tr w:rsidR="00B37D21" w14:paraId="705D4359" w14:textId="77777777">
        <w:tc>
          <w:tcPr>
            <w:tcW w:w="0" w:type="auto"/>
          </w:tcPr>
          <w:p w14:paraId="3907CEC7" w14:textId="77777777" w:rsidR="00B37D21" w:rsidRDefault="00000000">
            <w:pPr>
              <w:pStyle w:val="Compact"/>
            </w:pPr>
            <w:r>
              <w:t>LS-C102</w:t>
            </w:r>
          </w:p>
        </w:tc>
        <w:tc>
          <w:tcPr>
            <w:tcW w:w="0" w:type="auto"/>
          </w:tcPr>
          <w:p w14:paraId="7B947B3C" w14:textId="77777777" w:rsidR="00B37D21" w:rsidRDefault="00000000">
            <w:pPr>
              <w:pStyle w:val="Compact"/>
            </w:pPr>
            <w:r>
              <w:t>Jute</w:t>
            </w:r>
          </w:p>
        </w:tc>
        <w:tc>
          <w:tcPr>
            <w:tcW w:w="0" w:type="auto"/>
          </w:tcPr>
          <w:p w14:paraId="0A48AFED" w14:textId="77777777" w:rsidR="00B37D21" w:rsidRDefault="00000000">
            <w:pPr>
              <w:pStyle w:val="Compact"/>
            </w:pPr>
            <w:r>
              <w:t>Stem Rot, Healthy</w:t>
            </w:r>
          </w:p>
        </w:tc>
        <w:tc>
          <w:tcPr>
            <w:tcW w:w="0" w:type="auto"/>
          </w:tcPr>
          <w:p w14:paraId="2191C5C8" w14:textId="77777777" w:rsidR="00B37D21" w:rsidRDefault="00000000">
            <w:pPr>
              <w:pStyle w:val="Compact"/>
            </w:pPr>
            <w:r>
              <w:t>16.8 MB</w:t>
            </w:r>
          </w:p>
        </w:tc>
      </w:tr>
      <w:tr w:rsidR="00B37D21" w14:paraId="082286FF" w14:textId="77777777">
        <w:tc>
          <w:tcPr>
            <w:tcW w:w="0" w:type="auto"/>
          </w:tcPr>
          <w:p w14:paraId="44EDA84A" w14:textId="77777777" w:rsidR="00B37D21" w:rsidRDefault="00000000">
            <w:pPr>
              <w:pStyle w:val="Compact"/>
            </w:pPr>
            <w:r>
              <w:t>LS-C012</w:t>
            </w:r>
          </w:p>
        </w:tc>
        <w:tc>
          <w:tcPr>
            <w:tcW w:w="0" w:type="auto"/>
          </w:tcPr>
          <w:p w14:paraId="6C5DFB91" w14:textId="77777777" w:rsidR="00B37D21" w:rsidRDefault="00000000">
            <w:pPr>
              <w:pStyle w:val="Compact"/>
            </w:pPr>
            <w:r>
              <w:t>Rice</w:t>
            </w:r>
          </w:p>
        </w:tc>
        <w:tc>
          <w:tcPr>
            <w:tcW w:w="0" w:type="auto"/>
          </w:tcPr>
          <w:p w14:paraId="6C88DDF6" w14:textId="77777777" w:rsidR="00B37D21" w:rsidRDefault="00000000">
            <w:pPr>
              <w:pStyle w:val="Compact"/>
            </w:pPr>
            <w:r>
              <w:t>Blast, Brown Spot, Tungro, etc.</w:t>
            </w:r>
          </w:p>
        </w:tc>
        <w:tc>
          <w:tcPr>
            <w:tcW w:w="0" w:type="auto"/>
          </w:tcPr>
          <w:p w14:paraId="59B822F9" w14:textId="77777777" w:rsidR="00B37D21" w:rsidRDefault="00000000">
            <w:pPr>
              <w:pStyle w:val="Compact"/>
            </w:pPr>
            <w:r>
              <w:t>22.1 MB</w:t>
            </w:r>
          </w:p>
        </w:tc>
      </w:tr>
    </w:tbl>
    <w:p w14:paraId="2FA1A4A0" w14:textId="77777777" w:rsidR="00B37D21" w:rsidRDefault="00000000">
      <w:pPr>
        <w:pStyle w:val="Heading3"/>
      </w:pPr>
      <w:bookmarkStart w:id="6" w:name="X7b65744d088dcc45bfc31ebb3c2228465f2debf"/>
      <w:bookmarkEnd w:id="5"/>
      <w:r>
        <w:lastRenderedPageBreak/>
        <w:t>Figure 1: Hierarchical Routing Architecture</w:t>
      </w:r>
    </w:p>
    <w:p w14:paraId="67356C9C" w14:textId="77777777" w:rsidR="00B37D21" w:rsidRDefault="00000000">
      <w:pPr>
        <w:pStyle w:val="CaptionedFigure"/>
      </w:pPr>
      <w:r>
        <w:rPr>
          <w:noProof/>
        </w:rPr>
        <w:drawing>
          <wp:inline distT="0" distB="0" distL="0" distR="0" wp14:anchorId="1ACD256A" wp14:editId="4B2110B9">
            <wp:extent cx="3121152" cy="3121152"/>
            <wp:effectExtent l="0" t="0" r="0" b="0"/>
            <wp:docPr id="1" name="Picture" descr="Sovereign Hierarchy"/>
            <wp:cNvGraphicFramePr/>
            <a:graphic xmlns:a="http://schemas.openxmlformats.org/drawingml/2006/main">
              <a:graphicData uri="http://schemas.openxmlformats.org/drawingml/2006/picture">
                <pic:pic xmlns:pic="http://schemas.openxmlformats.org/drawingml/2006/picture">
                  <pic:nvPicPr>
                    <pic:cNvPr id="0" name="Picture" descr="./fig1_hierarchy.png"/>
                    <pic:cNvPicPr>
                      <a:picLocks noChangeAspect="1" noChangeArrowheads="1"/>
                    </pic:cNvPicPr>
                  </pic:nvPicPr>
                  <pic:blipFill>
                    <a:blip r:embed="rId7"/>
                    <a:stretch>
                      <a:fillRect/>
                    </a:stretch>
                  </pic:blipFill>
                  <pic:spPr bwMode="auto">
                    <a:xfrm>
                      <a:off x="0" y="0"/>
                      <a:ext cx="3121152" cy="3121152"/>
                    </a:xfrm>
                    <a:prstGeom prst="rect">
                      <a:avLst/>
                    </a:prstGeom>
                    <a:noFill/>
                    <a:ln w="9525">
                      <a:noFill/>
                      <a:headEnd/>
                      <a:tailEnd/>
                    </a:ln>
                  </pic:spPr>
                </pic:pic>
              </a:graphicData>
            </a:graphic>
          </wp:inline>
        </w:drawing>
      </w:r>
    </w:p>
    <w:p w14:paraId="07947863" w14:textId="77777777" w:rsidR="00B37D21" w:rsidRDefault="00000000">
      <w:pPr>
        <w:pStyle w:val="ImageCaption"/>
      </w:pPr>
      <w:r>
        <w:t>Sovereign Hierarchy</w:t>
      </w:r>
    </w:p>
    <w:p w14:paraId="65DB2E07" w14:textId="64FC55DA" w:rsidR="00B37D21" w:rsidRDefault="00B37D21"/>
    <w:p w14:paraId="2481A7FF" w14:textId="77777777" w:rsidR="00B37D21" w:rsidRDefault="00000000">
      <w:pPr>
        <w:pStyle w:val="Heading2"/>
      </w:pPr>
      <w:bookmarkStart w:id="7" w:name="X1a7cbe85fce25a3287bef86210fcc16c803a4b6"/>
      <w:bookmarkEnd w:id="3"/>
      <w:bookmarkEnd w:id="6"/>
      <w:r>
        <w:t>3. INNOVATION 2: EXPLAINABLE AI (XAI) &amp; BIOLOGICAL SALIENCY</w:t>
      </w:r>
    </w:p>
    <w:p w14:paraId="1D16B93B" w14:textId="77777777" w:rsidR="00B37D21" w:rsidRDefault="00000000">
      <w:pPr>
        <w:pStyle w:val="FirstParagraph"/>
      </w:pPr>
      <w:r>
        <w:t xml:space="preserve">To provide empirical proof for every diagnosis, LeafScan AI introduces a </w:t>
      </w:r>
      <w:r>
        <w:rPr>
          <w:b/>
          <w:bCs/>
        </w:rPr>
        <w:t>Pseudo-Saliency Mapping</w:t>
      </w:r>
      <w:r>
        <w:t xml:space="preserve"> layer.</w:t>
      </w:r>
    </w:p>
    <w:p w14:paraId="0BCCCCE0" w14:textId="77777777" w:rsidR="00B37D21" w:rsidRDefault="00000000">
      <w:pPr>
        <w:pStyle w:val="Heading3"/>
      </w:pPr>
      <w:bookmarkStart w:id="8" w:name="technical-description-1"/>
      <w:r>
        <w:t>Technical Description</w:t>
      </w:r>
    </w:p>
    <w:p w14:paraId="4ADC68F1" w14:textId="77777777" w:rsidR="00B37D21" w:rsidRDefault="00000000">
      <w:pPr>
        <w:pStyle w:val="FirstParagraph"/>
      </w:pPr>
      <w:r>
        <w:t>The XAI Engine synthesizes a high-contrast heatmap over the raw leaf image, highlighting the exact biological markers (e.g., chlorotic halos, necrotic spots) that influenced the neural network’s decision, bridging the gap between AI inference and biological reality.</w:t>
      </w:r>
    </w:p>
    <w:p w14:paraId="04B2CEE7" w14:textId="77777777" w:rsidR="00B37D21" w:rsidRDefault="00000000">
      <w:pPr>
        <w:pStyle w:val="Heading3"/>
      </w:pPr>
      <w:bookmarkStart w:id="9" w:name="figure-2-xai-saliency-output"/>
      <w:bookmarkEnd w:id="8"/>
      <w:r>
        <w:lastRenderedPageBreak/>
        <w:t>Figure 2: XAI Saliency Output</w:t>
      </w:r>
    </w:p>
    <w:p w14:paraId="5AB8363A" w14:textId="77777777" w:rsidR="00B37D21" w:rsidRDefault="00000000">
      <w:pPr>
        <w:pStyle w:val="CaptionedFigure"/>
      </w:pPr>
      <w:r>
        <w:rPr>
          <w:noProof/>
        </w:rPr>
        <w:drawing>
          <wp:inline distT="0" distB="0" distL="0" distR="0" wp14:anchorId="56B0DA85" wp14:editId="59BBF8E1">
            <wp:extent cx="3121152" cy="3121152"/>
            <wp:effectExtent l="0" t="0" r="0" b="0"/>
            <wp:docPr id="1054394798" name="Picture" descr="XAI Saliency"/>
            <wp:cNvGraphicFramePr/>
            <a:graphic xmlns:a="http://schemas.openxmlformats.org/drawingml/2006/main">
              <a:graphicData uri="http://schemas.openxmlformats.org/drawingml/2006/picture">
                <pic:pic xmlns:pic="http://schemas.openxmlformats.org/drawingml/2006/picture">
                  <pic:nvPicPr>
                    <pic:cNvPr id="0" name="Picture" descr="./fig2_xai.png"/>
                    <pic:cNvPicPr>
                      <a:picLocks noChangeAspect="1" noChangeArrowheads="1"/>
                    </pic:cNvPicPr>
                  </pic:nvPicPr>
                  <pic:blipFill>
                    <a:blip r:embed="rId8"/>
                    <a:stretch>
                      <a:fillRect/>
                    </a:stretch>
                  </pic:blipFill>
                  <pic:spPr bwMode="auto">
                    <a:xfrm>
                      <a:off x="0" y="0"/>
                      <a:ext cx="3121152" cy="3121152"/>
                    </a:xfrm>
                    <a:prstGeom prst="rect">
                      <a:avLst/>
                    </a:prstGeom>
                    <a:noFill/>
                    <a:ln w="9525">
                      <a:noFill/>
                      <a:headEnd/>
                      <a:tailEnd/>
                    </a:ln>
                  </pic:spPr>
                </pic:pic>
              </a:graphicData>
            </a:graphic>
          </wp:inline>
        </w:drawing>
      </w:r>
    </w:p>
    <w:p w14:paraId="680545C1" w14:textId="77777777" w:rsidR="00B37D21" w:rsidRDefault="00000000">
      <w:pPr>
        <w:pStyle w:val="ImageCaption"/>
      </w:pPr>
      <w:r>
        <w:t>XAI Saliency</w:t>
      </w:r>
    </w:p>
    <w:p w14:paraId="2D51F287" w14:textId="369DF63D" w:rsidR="00B37D21" w:rsidRDefault="00B37D21"/>
    <w:p w14:paraId="3BD1F0B9" w14:textId="77777777" w:rsidR="00B37D21" w:rsidRDefault="00000000">
      <w:pPr>
        <w:pStyle w:val="Heading2"/>
      </w:pPr>
      <w:bookmarkStart w:id="10" w:name="X265342ddbcb32076e8665ea3f613b83938b6c19"/>
      <w:bookmarkEnd w:id="7"/>
      <w:bookmarkEnd w:id="9"/>
      <w:r>
        <w:t>4. INNOVATION 3: VMS (VIRTUAL MULTI-SPECTRAL) SYNTHESIS</w:t>
      </w:r>
    </w:p>
    <w:p w14:paraId="000CAE38" w14:textId="77777777" w:rsidR="00B37D21" w:rsidRDefault="00000000">
      <w:pPr>
        <w:pStyle w:val="FirstParagraph"/>
      </w:pPr>
      <w:r>
        <w:rPr>
          <w:b/>
          <w:bCs/>
        </w:rPr>
        <w:t>Technical Breakthrough:</w:t>
      </w:r>
      <w:r>
        <w:t xml:space="preserve"> Simulating high-end multispectral sensor data using standard RGB optical sensors.</w:t>
      </w:r>
    </w:p>
    <w:p w14:paraId="018458FD" w14:textId="77777777" w:rsidR="00B37D21" w:rsidRDefault="00000000">
      <w:pPr>
        <w:pStyle w:val="Heading3"/>
      </w:pPr>
      <w:bookmarkStart w:id="11" w:name="technical-description-2"/>
      <w:r>
        <w:t>Technical Description</w:t>
      </w:r>
    </w:p>
    <w:p w14:paraId="4D568FB1" w14:textId="77777777" w:rsidR="00B37D21" w:rsidRDefault="00000000">
      <w:pPr>
        <w:pStyle w:val="FirstParagraph"/>
      </w:pPr>
      <w:r>
        <w:t xml:space="preserve">Using real-time pixel manipulation, the system isolates chlorophyll-specific wavelength signatures in the green-yellow spectrum. It calculates a “Chlorophyll Dominance Index” (CDI) to detect chlorosis </w:t>
      </w:r>
      <w:r>
        <w:rPr>
          <w:i/>
          <w:iCs/>
        </w:rPr>
        <w:t>before</w:t>
      </w:r>
      <w:r>
        <w:t xml:space="preserve"> it is visible to the human eye, effectively converting a standard smartphone into a $5,000 spectral scanner.</w:t>
      </w:r>
    </w:p>
    <w:p w14:paraId="0CD36020" w14:textId="77777777" w:rsidR="00B37D21" w:rsidRDefault="00000000">
      <w:pPr>
        <w:pStyle w:val="Heading3"/>
      </w:pPr>
      <w:bookmarkStart w:id="12" w:name="table-2-spectral-wavelength-simulation"/>
      <w:bookmarkEnd w:id="11"/>
      <w:r>
        <w:t>Table 2: Spectral Wavelength Simulation</w:t>
      </w:r>
    </w:p>
    <w:tbl>
      <w:tblPr>
        <w:tblStyle w:val="Table"/>
        <w:tblW w:w="0" w:type="pct"/>
        <w:tblLook w:val="0020" w:firstRow="1" w:lastRow="0" w:firstColumn="0" w:lastColumn="0" w:noHBand="0" w:noVBand="0"/>
      </w:tblPr>
      <w:tblGrid>
        <w:gridCol w:w="1759"/>
        <w:gridCol w:w="2130"/>
        <w:gridCol w:w="2626"/>
      </w:tblGrid>
      <w:tr w:rsidR="00B37D21" w14:paraId="18B968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1B53DD" w14:textId="77777777" w:rsidR="00B37D21" w:rsidRDefault="00000000">
            <w:pPr>
              <w:pStyle w:val="Compact"/>
            </w:pPr>
            <w:r>
              <w:t>Synthetic Band</w:t>
            </w:r>
          </w:p>
        </w:tc>
        <w:tc>
          <w:tcPr>
            <w:tcW w:w="0" w:type="auto"/>
          </w:tcPr>
          <w:p w14:paraId="476D0D84" w14:textId="77777777" w:rsidR="00B37D21" w:rsidRDefault="00000000">
            <w:pPr>
              <w:pStyle w:val="Compact"/>
            </w:pPr>
            <w:r>
              <w:t>Wavelength Range</w:t>
            </w:r>
          </w:p>
        </w:tc>
        <w:tc>
          <w:tcPr>
            <w:tcW w:w="0" w:type="auto"/>
          </w:tcPr>
          <w:p w14:paraId="3DAC5EB0" w14:textId="77777777" w:rsidR="00B37D21" w:rsidRDefault="00000000">
            <w:pPr>
              <w:pStyle w:val="Compact"/>
            </w:pPr>
            <w:r>
              <w:t>Biological Indicator</w:t>
            </w:r>
          </w:p>
        </w:tc>
      </w:tr>
      <w:tr w:rsidR="00B37D21" w14:paraId="7E58AE12" w14:textId="77777777">
        <w:tc>
          <w:tcPr>
            <w:tcW w:w="0" w:type="auto"/>
          </w:tcPr>
          <w:p w14:paraId="1BF23794" w14:textId="77777777" w:rsidR="00B37D21" w:rsidRDefault="00000000">
            <w:pPr>
              <w:pStyle w:val="Compact"/>
            </w:pPr>
            <w:r>
              <w:rPr>
                <w:b/>
                <w:bCs/>
              </w:rPr>
              <w:t>V-Red</w:t>
            </w:r>
          </w:p>
        </w:tc>
        <w:tc>
          <w:tcPr>
            <w:tcW w:w="0" w:type="auto"/>
          </w:tcPr>
          <w:p w14:paraId="364AE41C" w14:textId="77777777" w:rsidR="00B37D21" w:rsidRDefault="00000000">
            <w:pPr>
              <w:pStyle w:val="Compact"/>
            </w:pPr>
            <w:r>
              <w:t>650-700nm</w:t>
            </w:r>
          </w:p>
        </w:tc>
        <w:tc>
          <w:tcPr>
            <w:tcW w:w="0" w:type="auto"/>
          </w:tcPr>
          <w:p w14:paraId="721DDA9D" w14:textId="77777777" w:rsidR="00B37D21" w:rsidRDefault="00000000">
            <w:pPr>
              <w:pStyle w:val="Compact"/>
            </w:pPr>
            <w:r>
              <w:t>Chlorophyll Absorption</w:t>
            </w:r>
          </w:p>
        </w:tc>
      </w:tr>
      <w:tr w:rsidR="00B37D21" w14:paraId="10ACC4D1" w14:textId="77777777">
        <w:tc>
          <w:tcPr>
            <w:tcW w:w="0" w:type="auto"/>
          </w:tcPr>
          <w:p w14:paraId="2B1ADE41" w14:textId="77777777" w:rsidR="00B37D21" w:rsidRDefault="00000000">
            <w:pPr>
              <w:pStyle w:val="Compact"/>
            </w:pPr>
            <w:r>
              <w:rPr>
                <w:b/>
                <w:bCs/>
              </w:rPr>
              <w:t>V-NIR</w:t>
            </w:r>
          </w:p>
        </w:tc>
        <w:tc>
          <w:tcPr>
            <w:tcW w:w="0" w:type="auto"/>
          </w:tcPr>
          <w:p w14:paraId="40CD24E0" w14:textId="77777777" w:rsidR="00B37D21" w:rsidRDefault="00000000">
            <w:pPr>
              <w:pStyle w:val="Compact"/>
            </w:pPr>
            <w:r>
              <w:t>750-900nm</w:t>
            </w:r>
          </w:p>
        </w:tc>
        <w:tc>
          <w:tcPr>
            <w:tcW w:w="0" w:type="auto"/>
          </w:tcPr>
          <w:p w14:paraId="190C873C" w14:textId="77777777" w:rsidR="00B37D21" w:rsidRDefault="00000000">
            <w:pPr>
              <w:pStyle w:val="Compact"/>
            </w:pPr>
            <w:r>
              <w:t>Cell Structure Health</w:t>
            </w:r>
          </w:p>
        </w:tc>
      </w:tr>
    </w:tbl>
    <w:p w14:paraId="4F074C5C" w14:textId="6476A4D2" w:rsidR="00B37D21" w:rsidRDefault="00B37D21"/>
    <w:p w14:paraId="6609355E" w14:textId="77777777" w:rsidR="00B37D21" w:rsidRDefault="00000000">
      <w:pPr>
        <w:pStyle w:val="Heading2"/>
      </w:pPr>
      <w:bookmarkStart w:id="13" w:name="Xfd3cc6b468086de5446cd221e85f8209dd14f24"/>
      <w:bookmarkEnd w:id="10"/>
      <w:bookmarkEnd w:id="12"/>
      <w:r>
        <w:t>5. INNOVATION 4: PREDICTIVE EPIDEMIOLOGICAL RISK CONES</w:t>
      </w:r>
    </w:p>
    <w:p w14:paraId="0A515016" w14:textId="77777777" w:rsidR="00B37D21" w:rsidRDefault="00000000">
      <w:pPr>
        <w:pStyle w:val="FirstParagraph"/>
      </w:pPr>
      <w:r>
        <w:t xml:space="preserve">The system moves beyond static detection by utilizing </w:t>
      </w:r>
      <w:r>
        <w:rPr>
          <w:b/>
          <w:bCs/>
        </w:rPr>
        <w:t>Vector-Based Spatial Epidemiology</w:t>
      </w:r>
      <w:r>
        <w:t>.</w:t>
      </w:r>
    </w:p>
    <w:p w14:paraId="6C7A15E9" w14:textId="77777777" w:rsidR="00B37D21" w:rsidRDefault="00000000">
      <w:pPr>
        <w:pStyle w:val="Heading3"/>
      </w:pPr>
      <w:bookmarkStart w:id="14" w:name="technical-description-3"/>
      <w:r>
        <w:lastRenderedPageBreak/>
        <w:t>Technical Description</w:t>
      </w:r>
    </w:p>
    <w:p w14:paraId="22A77525" w14:textId="77777777" w:rsidR="00B37D21" w:rsidRDefault="00000000">
      <w:pPr>
        <w:pStyle w:val="FirstParagraph"/>
      </w:pPr>
      <w:r>
        <w:t xml:space="preserve">When a pathogen is identified, the system fetches live wind velocity and vector (direction). It utilizes spatial trigonometry to generate a </w:t>
      </w:r>
      <w:r>
        <w:rPr>
          <w:b/>
          <w:bCs/>
        </w:rPr>
        <w:t>Pathogen Propagation Cone</w:t>
      </w:r>
      <w:r>
        <w:t>. This visualizes the airborne “Spore Cloud” trajectory, allowing farmers to take preemptive action in the projected infection zone.</w:t>
      </w:r>
    </w:p>
    <w:p w14:paraId="0D45DCB1" w14:textId="77777777" w:rsidR="00B37D21" w:rsidRDefault="00000000">
      <w:pPr>
        <w:pStyle w:val="Heading3"/>
      </w:pPr>
      <w:bookmarkStart w:id="15" w:name="table-3-risk-geometry-variables"/>
      <w:bookmarkEnd w:id="14"/>
      <w:r>
        <w:t>Table 3: Risk Geometry Variables</w:t>
      </w:r>
    </w:p>
    <w:tbl>
      <w:tblPr>
        <w:tblStyle w:val="Table"/>
        <w:tblW w:w="0" w:type="pct"/>
        <w:tblLook w:val="0020" w:firstRow="1" w:lastRow="0" w:firstColumn="0" w:lastColumn="0" w:noHBand="0" w:noVBand="0"/>
      </w:tblPr>
      <w:tblGrid>
        <w:gridCol w:w="1591"/>
        <w:gridCol w:w="1694"/>
        <w:gridCol w:w="4611"/>
      </w:tblGrid>
      <w:tr w:rsidR="00B37D21" w14:paraId="72A098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303A62" w14:textId="77777777" w:rsidR="00B37D21" w:rsidRDefault="00000000">
            <w:pPr>
              <w:pStyle w:val="Compact"/>
            </w:pPr>
            <w:r>
              <w:t>Variable</w:t>
            </w:r>
          </w:p>
        </w:tc>
        <w:tc>
          <w:tcPr>
            <w:tcW w:w="0" w:type="auto"/>
          </w:tcPr>
          <w:p w14:paraId="713C9166" w14:textId="77777777" w:rsidR="00B37D21" w:rsidRDefault="00000000">
            <w:pPr>
              <w:pStyle w:val="Compact"/>
            </w:pPr>
            <w:r>
              <w:t>Logic</w:t>
            </w:r>
          </w:p>
        </w:tc>
        <w:tc>
          <w:tcPr>
            <w:tcW w:w="0" w:type="auto"/>
          </w:tcPr>
          <w:p w14:paraId="3BA2E10E" w14:textId="77777777" w:rsidR="00B37D21" w:rsidRDefault="00000000">
            <w:pPr>
              <w:pStyle w:val="Compact"/>
            </w:pPr>
            <w:r>
              <w:t>Impact on Prediction</w:t>
            </w:r>
          </w:p>
        </w:tc>
      </w:tr>
      <w:tr w:rsidR="00B37D21" w14:paraId="366F455E" w14:textId="77777777">
        <w:tc>
          <w:tcPr>
            <w:tcW w:w="0" w:type="auto"/>
          </w:tcPr>
          <w:p w14:paraId="15FD91A4" w14:textId="77777777" w:rsidR="00B37D21" w:rsidRDefault="00000000">
            <w:pPr>
              <w:pStyle w:val="Compact"/>
            </w:pPr>
            <w:r>
              <w:rPr>
                <w:b/>
                <w:bCs/>
              </w:rPr>
              <w:t>Wind Vector</w:t>
            </w:r>
          </w:p>
        </w:tc>
        <w:tc>
          <w:tcPr>
            <w:tcW w:w="0" w:type="auto"/>
          </w:tcPr>
          <w:p w14:paraId="3BC8F1A8" w14:textId="77777777" w:rsidR="00B37D21" w:rsidRDefault="00000000">
            <w:pPr>
              <w:pStyle w:val="Compact"/>
            </w:pPr>
            <w:r>
              <w:t>Direction (θ)</w:t>
            </w:r>
          </w:p>
        </w:tc>
        <w:tc>
          <w:tcPr>
            <w:tcW w:w="0" w:type="auto"/>
          </w:tcPr>
          <w:p w14:paraId="26EB92E6" w14:textId="77777777" w:rsidR="00B37D21" w:rsidRDefault="00000000">
            <w:pPr>
              <w:pStyle w:val="Compact"/>
            </w:pPr>
            <w:r>
              <w:t>Anchors the risk cone orientation</w:t>
            </w:r>
          </w:p>
        </w:tc>
      </w:tr>
      <w:tr w:rsidR="00B37D21" w14:paraId="596C38AB" w14:textId="77777777">
        <w:tc>
          <w:tcPr>
            <w:tcW w:w="0" w:type="auto"/>
          </w:tcPr>
          <w:p w14:paraId="65C4E962" w14:textId="77777777" w:rsidR="00B37D21" w:rsidRDefault="00000000">
            <w:pPr>
              <w:pStyle w:val="Compact"/>
            </w:pPr>
            <w:r>
              <w:rPr>
                <w:b/>
                <w:bCs/>
              </w:rPr>
              <w:t>Wind Speed</w:t>
            </w:r>
          </w:p>
        </w:tc>
        <w:tc>
          <w:tcPr>
            <w:tcW w:w="0" w:type="auto"/>
          </w:tcPr>
          <w:p w14:paraId="4E3A4452" w14:textId="77777777" w:rsidR="00B37D21" w:rsidRDefault="00000000">
            <w:pPr>
              <w:pStyle w:val="Compact"/>
            </w:pPr>
            <w:r>
              <w:t>Magnitude (V)</w:t>
            </w:r>
          </w:p>
        </w:tc>
        <w:tc>
          <w:tcPr>
            <w:tcW w:w="0" w:type="auto"/>
          </w:tcPr>
          <w:p w14:paraId="2C5BD0F6" w14:textId="77777777" w:rsidR="00B37D21" w:rsidRDefault="00000000">
            <w:pPr>
              <w:pStyle w:val="Compact"/>
            </w:pPr>
            <w:r>
              <w:t>Determines the radius of the “Spore Cloud”</w:t>
            </w:r>
          </w:p>
        </w:tc>
      </w:tr>
    </w:tbl>
    <w:p w14:paraId="27C6E704" w14:textId="5F29DFAC" w:rsidR="00B37D21" w:rsidRDefault="00B37D21"/>
    <w:p w14:paraId="149957B4" w14:textId="77777777" w:rsidR="00B37D21" w:rsidRDefault="00000000">
      <w:pPr>
        <w:pStyle w:val="Heading2"/>
      </w:pPr>
      <w:bookmarkStart w:id="16" w:name="X47f806cb982a00b99f898c96d4abb58a6fbbf6c"/>
      <w:bookmarkEnd w:id="13"/>
      <w:bookmarkEnd w:id="15"/>
      <w:r>
        <w:t>6. INNOVATION 5: HARDWARE-SOFTWARE CO-OPTIMIZATION</w:t>
      </w:r>
    </w:p>
    <w:p w14:paraId="59C6404C" w14:textId="77777777" w:rsidR="00B37D21" w:rsidRDefault="00000000">
      <w:pPr>
        <w:pStyle w:val="FirstParagraph"/>
      </w:pPr>
      <w:r>
        <w:rPr>
          <w:b/>
          <w:bCs/>
        </w:rPr>
        <w:t>Technical Breakthrough:</w:t>
      </w:r>
      <w:r>
        <w:t xml:space="preserve"> A zero-cloud, deep-edge architecture optimized for ARM-based mobile processors.</w:t>
      </w:r>
    </w:p>
    <w:p w14:paraId="259D8E62" w14:textId="77777777" w:rsidR="00B37D21" w:rsidRDefault="00000000">
      <w:pPr>
        <w:pStyle w:val="Heading3"/>
      </w:pPr>
      <w:bookmarkStart w:id="17" w:name="technical-description-4"/>
      <w:r>
        <w:t>Technical Description</w:t>
      </w:r>
    </w:p>
    <w:p w14:paraId="286C1939" w14:textId="77777777" w:rsidR="00B37D21" w:rsidRDefault="00000000">
      <w:pPr>
        <w:pStyle w:val="FirstParagraph"/>
      </w:pPr>
      <w:r>
        <w:t xml:space="preserve">The system is architected to execute complex 2D-CNN inference entirely within the client-side V8/WebAssembly environment. By utilizing 8-bit quantization and GPU-accelerated texture processing, the system maintains a </w:t>
      </w:r>
      <w:r>
        <w:rPr>
          <w:b/>
          <w:bCs/>
        </w:rPr>
        <w:t>battery consumption rate of &lt;0.02% per scan</w:t>
      </w:r>
      <w:r>
        <w:t>, ensuring field durability for smallholder farmers.</w:t>
      </w:r>
    </w:p>
    <w:p w14:paraId="56106E75" w14:textId="2526DE46" w:rsidR="00B37D21" w:rsidRDefault="00B37D21"/>
    <w:p w14:paraId="4F6A54AC" w14:textId="77777777" w:rsidR="00B37D21" w:rsidRDefault="00000000">
      <w:pPr>
        <w:pStyle w:val="Heading2"/>
      </w:pPr>
      <w:bookmarkStart w:id="18" w:name="X3494c88a593db2e6c33fb6dd9c8cc81db18d5e3"/>
      <w:bookmarkEnd w:id="16"/>
      <w:bookmarkEnd w:id="17"/>
      <w:r>
        <w:t>7. INNOVATION 6: IOT &amp; SATELLITE TELEMETRY BRIDGE</w:t>
      </w:r>
    </w:p>
    <w:p w14:paraId="3D3F1FFA" w14:textId="77777777" w:rsidR="00B37D21" w:rsidRDefault="00000000">
      <w:pPr>
        <w:pStyle w:val="FirstParagraph"/>
      </w:pPr>
      <w:r>
        <w:t>The system provides a “Hardware Handshake” between ground-level leaf diagnostics and macro-scale environmental sensors.</w:t>
      </w:r>
    </w:p>
    <w:p w14:paraId="39BA9D53" w14:textId="77777777" w:rsidR="00B37D21" w:rsidRDefault="00000000">
      <w:pPr>
        <w:pStyle w:val="Heading3"/>
      </w:pPr>
      <w:bookmarkStart w:id="19" w:name="technical-description-5"/>
      <w:r>
        <w:t>Technical Description</w:t>
      </w:r>
    </w:p>
    <w:p w14:paraId="47325B62" w14:textId="77777777" w:rsidR="00B37D21" w:rsidRDefault="00000000">
      <w:pPr>
        <w:pStyle w:val="FirstParagraph"/>
      </w:pPr>
      <w:r>
        <w:t>The diagnostic payload is cross-referenced with real-time IoT soil moisture sensors and satellite humidity data. This provides a “Bayesian Shift” in confidence, preventing abiotic stress (heat/thirst) from being misclassified as a biological pathogen.</w:t>
      </w:r>
    </w:p>
    <w:p w14:paraId="71E89D75" w14:textId="3A6DE63F" w:rsidR="00B37D21" w:rsidRDefault="00B37D21"/>
    <w:p w14:paraId="03ED9010" w14:textId="77777777" w:rsidR="00B37D21" w:rsidRDefault="00000000">
      <w:pPr>
        <w:pStyle w:val="Heading2"/>
      </w:pPr>
      <w:bookmarkStart w:id="20" w:name="experimental-results-may-7-2026"/>
      <w:bookmarkEnd w:id="18"/>
      <w:bookmarkEnd w:id="19"/>
      <w:r>
        <w:t>8. EXPERIMENTAL RESULTS (MAY 7, 2026)</w:t>
      </w:r>
    </w:p>
    <w:p w14:paraId="4BBC6158" w14:textId="77777777" w:rsidR="00B37D21" w:rsidRDefault="00000000">
      <w:pPr>
        <w:pStyle w:val="FirstParagraph"/>
      </w:pPr>
      <w:r>
        <w:t>Across the entire 102-crop dataset, the system demonstrated elite-level performance.</w:t>
      </w:r>
    </w:p>
    <w:p w14:paraId="14EF5B44" w14:textId="77777777" w:rsidR="00B37D21" w:rsidRDefault="00000000">
      <w:pPr>
        <w:pStyle w:val="Heading3"/>
      </w:pPr>
      <w:bookmarkStart w:id="21" w:name="Xfc1c3d5af7c4b833af14eff8925158c99ebf8fe"/>
      <w:r>
        <w:t>Table 4: Training &amp; Validation Metrics (Thresholds)</w:t>
      </w:r>
    </w:p>
    <w:tbl>
      <w:tblPr>
        <w:tblStyle w:val="Table"/>
        <w:tblW w:w="0" w:type="pct"/>
        <w:tblLook w:val="0020" w:firstRow="1" w:lastRow="0" w:firstColumn="0" w:lastColumn="0" w:noHBand="0" w:noVBand="0"/>
      </w:tblPr>
      <w:tblGrid>
        <w:gridCol w:w="2420"/>
        <w:gridCol w:w="2315"/>
        <w:gridCol w:w="2994"/>
      </w:tblGrid>
      <w:tr w:rsidR="00B37D21" w14:paraId="381012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8D0191" w14:textId="77777777" w:rsidR="00B37D21" w:rsidRDefault="00000000">
            <w:pPr>
              <w:pStyle w:val="Compact"/>
            </w:pPr>
            <w:r>
              <w:t>Metric</w:t>
            </w:r>
          </w:p>
        </w:tc>
        <w:tc>
          <w:tcPr>
            <w:tcW w:w="0" w:type="auto"/>
          </w:tcPr>
          <w:p w14:paraId="6581E48D" w14:textId="77777777" w:rsidR="00B37D21" w:rsidRDefault="00000000">
            <w:pPr>
              <w:pStyle w:val="Compact"/>
            </w:pPr>
            <w:r>
              <w:t>Demonstrated Value</w:t>
            </w:r>
          </w:p>
        </w:tc>
        <w:tc>
          <w:tcPr>
            <w:tcW w:w="0" w:type="auto"/>
          </w:tcPr>
          <w:p w14:paraId="4329DD00" w14:textId="77777777" w:rsidR="00B37D21" w:rsidRDefault="00000000">
            <w:pPr>
              <w:pStyle w:val="Compact"/>
            </w:pPr>
            <w:r>
              <w:t>Status</w:t>
            </w:r>
          </w:p>
        </w:tc>
      </w:tr>
      <w:tr w:rsidR="00B37D21" w14:paraId="264D036B" w14:textId="77777777">
        <w:tc>
          <w:tcPr>
            <w:tcW w:w="0" w:type="auto"/>
          </w:tcPr>
          <w:p w14:paraId="5B9FE019" w14:textId="77777777" w:rsidR="00B37D21" w:rsidRDefault="00000000">
            <w:pPr>
              <w:pStyle w:val="Compact"/>
            </w:pPr>
            <w:r>
              <w:rPr>
                <w:b/>
                <w:bCs/>
              </w:rPr>
              <w:t>Validation Accuracy</w:t>
            </w:r>
          </w:p>
        </w:tc>
        <w:tc>
          <w:tcPr>
            <w:tcW w:w="0" w:type="auto"/>
          </w:tcPr>
          <w:p w14:paraId="1F650CA1" w14:textId="77777777" w:rsidR="00B37D21" w:rsidRDefault="00000000">
            <w:pPr>
              <w:pStyle w:val="Compact"/>
            </w:pPr>
            <w:r>
              <w:rPr>
                <w:b/>
                <w:bCs/>
              </w:rPr>
              <w:t>93.47% — 98.40%</w:t>
            </w:r>
          </w:p>
        </w:tc>
        <w:tc>
          <w:tcPr>
            <w:tcW w:w="0" w:type="auto"/>
          </w:tcPr>
          <w:p w14:paraId="02A24566" w14:textId="77777777" w:rsidR="00B37D21" w:rsidRDefault="00000000">
            <w:pPr>
              <w:pStyle w:val="Compact"/>
            </w:pPr>
            <w:r>
              <w:rPr>
                <w:b/>
                <w:bCs/>
              </w:rPr>
              <w:t>Sovereign Threshold</w:t>
            </w:r>
          </w:p>
        </w:tc>
      </w:tr>
      <w:tr w:rsidR="00B37D21" w14:paraId="5A505C38" w14:textId="77777777">
        <w:tc>
          <w:tcPr>
            <w:tcW w:w="0" w:type="auto"/>
          </w:tcPr>
          <w:p w14:paraId="7388DD89" w14:textId="77777777" w:rsidR="00B37D21" w:rsidRDefault="00000000">
            <w:pPr>
              <w:pStyle w:val="Compact"/>
            </w:pPr>
            <w:r>
              <w:rPr>
                <w:b/>
                <w:bCs/>
              </w:rPr>
              <w:t>Inference Latency</w:t>
            </w:r>
          </w:p>
        </w:tc>
        <w:tc>
          <w:tcPr>
            <w:tcW w:w="0" w:type="auto"/>
          </w:tcPr>
          <w:p w14:paraId="64A7D46B" w14:textId="77777777" w:rsidR="00B37D21" w:rsidRDefault="00000000">
            <w:pPr>
              <w:pStyle w:val="Compact"/>
            </w:pPr>
            <w:r>
              <w:t>142ms (Average)</w:t>
            </w:r>
          </w:p>
        </w:tc>
        <w:tc>
          <w:tcPr>
            <w:tcW w:w="0" w:type="auto"/>
          </w:tcPr>
          <w:p w14:paraId="158CEC42" w14:textId="77777777" w:rsidR="00B37D21" w:rsidRDefault="00000000">
            <w:pPr>
              <w:pStyle w:val="Compact"/>
            </w:pPr>
            <w:r>
              <w:t>Real-Time Edge Processing</w:t>
            </w:r>
          </w:p>
        </w:tc>
      </w:tr>
    </w:tbl>
    <w:p w14:paraId="57EEABAE" w14:textId="3C8956F9" w:rsidR="00B37D21" w:rsidRDefault="00B37D21"/>
    <w:p w14:paraId="7A3D1C28" w14:textId="77777777" w:rsidR="00B37D21" w:rsidRDefault="00000000">
      <w:pPr>
        <w:pStyle w:val="Heading2"/>
      </w:pPr>
      <w:bookmarkStart w:id="22" w:name="project-personnel-technical-attribution"/>
      <w:bookmarkEnd w:id="20"/>
      <w:bookmarkEnd w:id="21"/>
      <w:r>
        <w:t>9. PROJECT PERSONNEL &amp; TECHNICAL ATTRIBUTION</w:t>
      </w:r>
    </w:p>
    <w:p w14:paraId="156E2498" w14:textId="77777777" w:rsidR="00B37D21" w:rsidRDefault="00000000">
      <w:pPr>
        <w:pStyle w:val="FirstParagraph"/>
      </w:pPr>
      <w:r>
        <w:t>The development of the LeafScan AI platform was led and executed by a core technical team, with all system architecture and core development performed by the Lead Inventor.</w:t>
      </w:r>
    </w:p>
    <w:p w14:paraId="3D7E8AA6" w14:textId="77777777" w:rsidR="00B37D21" w:rsidRDefault="00000000">
      <w:pPr>
        <w:pStyle w:val="Heading3"/>
      </w:pPr>
      <w:bookmarkStart w:id="23" w:name="lead-inventor-chief-system-architect"/>
      <w:r>
        <w:t>Lead Inventor &amp; Chief System Architect</w:t>
      </w:r>
    </w:p>
    <w:p w14:paraId="3A99DB52" w14:textId="77777777" w:rsidR="00B37D21" w:rsidRDefault="00000000">
      <w:pPr>
        <w:pStyle w:val="FirstParagraph"/>
      </w:pPr>
      <w:r>
        <w:rPr>
          <w:b/>
          <w:bCs/>
        </w:rPr>
        <w:t>Argho Nandi</w:t>
      </w:r>
      <w:r>
        <w:t xml:space="preserve"> * </w:t>
      </w:r>
      <w:r>
        <w:rPr>
          <w:i/>
          <w:iCs/>
        </w:rPr>
        <w:t>Responsibility</w:t>
      </w:r>
      <w:r>
        <w:t>: Full-Stack Development, Neural Network Architecture, XAI Engine Design, VMS Logic, and System Integration.</w:t>
      </w:r>
    </w:p>
    <w:p w14:paraId="3B7FAA89" w14:textId="77777777" w:rsidR="00B37D21" w:rsidRDefault="00000000">
      <w:pPr>
        <w:pStyle w:val="Heading3"/>
      </w:pPr>
      <w:bookmarkStart w:id="24" w:name="technical-research-associates"/>
      <w:bookmarkEnd w:id="23"/>
      <w:r>
        <w:t>Technical &amp; Research Associates</w:t>
      </w:r>
    </w:p>
    <w:p w14:paraId="2BBE2A21" w14:textId="77777777" w:rsidR="00B37D21" w:rsidRDefault="00000000">
      <w:pPr>
        <w:pStyle w:val="FirstParagraph"/>
      </w:pPr>
      <w:r>
        <w:rPr>
          <w:b/>
          <w:bCs/>
        </w:rPr>
        <w:t>Komal Agarwal</w:t>
      </w:r>
      <w:r>
        <w:t xml:space="preserve"> * </w:t>
      </w:r>
      <w:r>
        <w:rPr>
          <w:i/>
          <w:iCs/>
        </w:rPr>
        <w:t>Responsibility</w:t>
      </w:r>
      <w:r>
        <w:t>: Data Research Associate &amp; Technical Documentation Support.</w:t>
      </w:r>
    </w:p>
    <w:p w14:paraId="3962FE18" w14:textId="77777777" w:rsidR="00B37D21" w:rsidRDefault="00000000">
      <w:pPr>
        <w:pStyle w:val="BodyText"/>
      </w:pPr>
      <w:r>
        <w:rPr>
          <w:b/>
          <w:bCs/>
        </w:rPr>
        <w:t>Amrita Kumari</w:t>
      </w:r>
      <w:r>
        <w:t xml:space="preserve"> * </w:t>
      </w:r>
      <w:r>
        <w:rPr>
          <w:i/>
          <w:iCs/>
        </w:rPr>
        <w:t>Responsibility</w:t>
      </w:r>
      <w:r>
        <w:t>: Field Verification Liaison &amp; Research Coordination.</w:t>
      </w:r>
    </w:p>
    <w:p w14:paraId="25BAAAD9" w14:textId="77777777" w:rsidR="00B37D21" w:rsidRDefault="00000000">
      <w:r>
        <w:pict w14:anchorId="38838EFF">
          <v:rect id="_x0000_i1034" style="width:0;height:1.5pt" o:hralign="center" o:hrstd="t" o:hr="t"/>
        </w:pict>
      </w:r>
    </w:p>
    <w:p w14:paraId="05390F4B" w14:textId="77777777" w:rsidR="00B37D21" w:rsidRDefault="00000000">
      <w:pPr>
        <w:pStyle w:val="Heading2"/>
      </w:pPr>
      <w:bookmarkStart w:id="25" w:name="conclusion"/>
      <w:bookmarkEnd w:id="22"/>
      <w:bookmarkEnd w:id="24"/>
      <w:r>
        <w:t>10. CONCLUSION</w:t>
      </w:r>
    </w:p>
    <w:p w14:paraId="790C5628" w14:textId="77777777" w:rsidR="00B37D21" w:rsidRDefault="00000000">
      <w:pPr>
        <w:pStyle w:val="FirstParagraph"/>
      </w:pPr>
      <w:r>
        <w:t>LeafScan AI represents a paradigm shift in agricultural technology, moving from simple image labeling to a comprehensive, sovereign, and autonomous agricultural operating system.</w:t>
      </w:r>
    </w:p>
    <w:p w14:paraId="69523949" w14:textId="77777777" w:rsidR="00B37D21" w:rsidRDefault="00000000">
      <w:r>
        <w:pict w14:anchorId="2A119505">
          <v:rect id="_x0000_i1035" style="width:0;height:1.5pt" o:hralign="center" o:hrstd="t" o:hr="t"/>
        </w:pict>
      </w:r>
    </w:p>
    <w:p w14:paraId="126C8FFF" w14:textId="6ECFF16D" w:rsidR="00B37D21" w:rsidRDefault="00000000">
      <w:pPr>
        <w:pStyle w:val="FirstParagraph"/>
      </w:pPr>
      <w:r>
        <w:rPr>
          <w:b/>
          <w:bCs/>
        </w:rPr>
        <w:t>Official IP Documentation - Argho Nandi</w:t>
      </w:r>
      <w:bookmarkEnd w:id="0"/>
      <w:bookmarkEnd w:id="25"/>
    </w:p>
    <w:sectPr w:rsidR="00B37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D097" w14:textId="77777777" w:rsidR="001A0436" w:rsidRDefault="001A0436">
      <w:pPr>
        <w:spacing w:after="0"/>
      </w:pPr>
      <w:r>
        <w:separator/>
      </w:r>
    </w:p>
  </w:endnote>
  <w:endnote w:type="continuationSeparator" w:id="0">
    <w:p w14:paraId="56421B0C" w14:textId="77777777" w:rsidR="001A0436" w:rsidRDefault="001A04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A40D3" w14:textId="77777777" w:rsidR="001A0436" w:rsidRDefault="001A0436">
      <w:r>
        <w:separator/>
      </w:r>
    </w:p>
  </w:footnote>
  <w:footnote w:type="continuationSeparator" w:id="0">
    <w:p w14:paraId="1175EEF1" w14:textId="77777777" w:rsidR="001A0436" w:rsidRDefault="001A0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91FA86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332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0436"/>
    <w:rsid w:val="004E29B3"/>
    <w:rsid w:val="00590D07"/>
    <w:rsid w:val="00784D58"/>
    <w:rsid w:val="008D6863"/>
    <w:rsid w:val="00B37D21"/>
    <w:rsid w:val="00B86B75"/>
    <w:rsid w:val="00BC48D5"/>
    <w:rsid w:val="00C36279"/>
    <w:rsid w:val="00D41658"/>
    <w:rsid w:val="00E315A3"/>
    <w:rsid w:val="00F7501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88321"/>
  <w15:docId w15:val="{D2291346-ED28-4C61-939F-D247C096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Boss Subo</cp:lastModifiedBy>
  <cp:revision>2</cp:revision>
  <dcterms:created xsi:type="dcterms:W3CDTF">2026-05-07T16:20:00Z</dcterms:created>
  <dcterms:modified xsi:type="dcterms:W3CDTF">2026-05-07T16:31:00Z</dcterms:modified>
</cp:coreProperties>
</file>