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FA" w:rsidRDefault="001202FA" w:rsidP="001202FA">
      <w:pPr>
        <w:pStyle w:val="Heading3"/>
        <w:tabs>
          <w:tab w:val="left" w:pos="2568"/>
        </w:tabs>
        <w:spacing w:before="175" w:line="256" w:lineRule="auto"/>
        <w:ind w:right="6295"/>
      </w:pPr>
      <w:bookmarkStart w:id="0" w:name="_GoBack"/>
      <w:r>
        <w:rPr>
          <w:spacing w:val="-4"/>
        </w:rPr>
        <w:t>PROGRAM</w:t>
      </w:r>
      <w:r>
        <w:rPr>
          <w:spacing w:val="-4"/>
        </w:rPr>
        <w:tab/>
      </w:r>
      <w:r>
        <w:t xml:space="preserve">: </w:t>
      </w:r>
      <w:r>
        <w:rPr>
          <w:spacing w:val="-3"/>
        </w:rPr>
        <w:t>3D2N DXB</w:t>
      </w:r>
      <w:r>
        <w:rPr>
          <w:spacing w:val="-7"/>
        </w:rPr>
        <w:t xml:space="preserve"> </w:t>
      </w:r>
      <w:r>
        <w:rPr>
          <w:spacing w:val="-4"/>
        </w:rPr>
        <w:t>ONLY</w:t>
      </w:r>
    </w:p>
    <w:bookmarkEnd w:id="0"/>
    <w:p w:rsidR="001202FA" w:rsidRDefault="001202FA" w:rsidP="001202FA">
      <w:pPr>
        <w:pStyle w:val="BodyText"/>
        <w:spacing w:before="10"/>
        <w:ind w:left="0" w:firstLine="0"/>
        <w:rPr>
          <w:sz w:val="21"/>
        </w:rPr>
      </w:pPr>
    </w:p>
    <w:p w:rsidR="001202FA" w:rsidRDefault="001202FA" w:rsidP="001202FA">
      <w:pPr>
        <w:ind w:left="408"/>
      </w:pPr>
      <w:r>
        <w:t>Day 1. Arrival + dhow cruise dinner (D)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0"/>
        <w:rPr>
          <w:rFonts w:ascii="Symbol" w:hAnsi="Symbol"/>
        </w:rPr>
      </w:pPr>
      <w:r>
        <w:t>Arrive at Dubai</w:t>
      </w:r>
      <w:r>
        <w:rPr>
          <w:spacing w:val="-4"/>
        </w:rPr>
        <w:t xml:space="preserve"> </w:t>
      </w:r>
      <w:r>
        <w:t>Airport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/>
        <w:rPr>
          <w:rFonts w:ascii="Symbol" w:hAnsi="Symbol"/>
        </w:rPr>
      </w:pPr>
      <w:r>
        <w:t>Meet &amp; Greet at Airport,transfer to Choosen</w:t>
      </w:r>
      <w:r>
        <w:rPr>
          <w:spacing w:val="1"/>
        </w:rPr>
        <w:t xml:space="preserve"> </w:t>
      </w:r>
      <w:r>
        <w:t>Hotel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rPr>
          <w:rFonts w:ascii="Symbol" w:hAnsi="Symbol"/>
        </w:rPr>
      </w:pPr>
      <w:r>
        <w:t>In the evening pick up for Dhow cruise Dinner at Dubai old town- 2 HRS</w:t>
      </w:r>
      <w:r>
        <w:rPr>
          <w:spacing w:val="-13"/>
        </w:rPr>
        <w:t xml:space="preserve"> </w:t>
      </w:r>
      <w:r>
        <w:t>sailing</w:t>
      </w:r>
    </w:p>
    <w:p w:rsidR="001202FA" w:rsidRDefault="001202FA" w:rsidP="001202FA">
      <w:pPr>
        <w:spacing w:before="159"/>
        <w:ind w:left="408"/>
      </w:pPr>
      <w:r>
        <w:t>** Arrival Airport Pick up is private with Driver Only not accompany by Tour Guide</w:t>
      </w:r>
    </w:p>
    <w:p w:rsidR="001202FA" w:rsidRDefault="001202FA" w:rsidP="001202FA">
      <w:pPr>
        <w:spacing w:before="22"/>
        <w:ind w:left="408"/>
      </w:pPr>
      <w:r>
        <w:t>** Dhow Cruise Dinner is Sharing Pick up with Driver only ,not accompany by Tour Guide</w:t>
      </w:r>
    </w:p>
    <w:p w:rsidR="001202FA" w:rsidRDefault="001202FA" w:rsidP="001202FA">
      <w:pPr>
        <w:pStyle w:val="BodyText"/>
        <w:spacing w:before="7"/>
        <w:ind w:left="0" w:firstLine="0"/>
        <w:rPr>
          <w:sz w:val="25"/>
        </w:rPr>
      </w:pPr>
    </w:p>
    <w:p w:rsidR="001202FA" w:rsidRDefault="001202FA" w:rsidP="001202FA">
      <w:pPr>
        <w:ind w:left="408"/>
      </w:pPr>
      <w:r>
        <w:t>Day 2. Dubai C</w:t>
      </w:r>
      <w:r>
        <w:t>ity Tour + Desert Safari tour (</w:t>
      </w:r>
      <w:r>
        <w:t>B/L/D)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1"/>
        <w:rPr>
          <w:rFonts w:ascii="Symbol" w:hAnsi="Symbol"/>
        </w:rPr>
      </w:pPr>
      <w:r>
        <w:t>Breakfast at the</w:t>
      </w:r>
      <w:r>
        <w:rPr>
          <w:spacing w:val="-6"/>
        </w:rPr>
        <w:t xml:space="preserve"> </w:t>
      </w:r>
      <w:r>
        <w:t>hotel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/>
        <w:ind w:right="456"/>
        <w:rPr>
          <w:rFonts w:ascii="Symbol" w:hAnsi="Symbol"/>
        </w:rPr>
      </w:pPr>
      <w:r>
        <w:t>Join the Dubai City Tour visit the Jumeirah beach side, jumeirah mosque, photo stop The Burj Al arab, drive to palm jumeirah island, photo stop Atlantis the</w:t>
      </w:r>
      <w:r>
        <w:rPr>
          <w:spacing w:val="-8"/>
        </w:rPr>
        <w:t xml:space="preserve"> </w:t>
      </w:r>
      <w:r>
        <w:t>palm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279" w:lineRule="exact"/>
        <w:rPr>
          <w:rFonts w:ascii="Symbol" w:hAnsi="Symbol"/>
        </w:rPr>
      </w:pPr>
      <w:r>
        <w:t>City Tour Old Dubai city sightseeing visiting Dubai Museum, experiencing Abra Taxi, Gold</w:t>
      </w:r>
      <w:r>
        <w:rPr>
          <w:spacing w:val="-8"/>
        </w:rPr>
        <w:t xml:space="preserve"> </w:t>
      </w:r>
      <w:r>
        <w:t>Souk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rPr>
          <w:rFonts w:ascii="Symbol" w:hAnsi="Symbol"/>
        </w:rPr>
      </w:pPr>
      <w:r>
        <w:t>Lunch at Local</w:t>
      </w:r>
      <w:r>
        <w:rPr>
          <w:spacing w:val="-4"/>
        </w:rPr>
        <w:t xml:space="preserve"> </w:t>
      </w:r>
      <w:r>
        <w:t>Restaurant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/>
        <w:rPr>
          <w:rFonts w:ascii="Symbol" w:hAnsi="Symbol"/>
        </w:rPr>
      </w:pPr>
      <w:r>
        <w:t>Drop back to Hotel having</w:t>
      </w:r>
      <w:r>
        <w:rPr>
          <w:spacing w:val="-8"/>
        </w:rPr>
        <w:t xml:space="preserve"> </w:t>
      </w:r>
      <w:r>
        <w:t>break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ind w:left="1178" w:right="1154" w:hanging="411"/>
        <w:rPr>
          <w:rFonts w:ascii="Symbol" w:hAnsi="Symbol"/>
        </w:rPr>
      </w:pPr>
      <w:r>
        <w:t>Pick up at lobby hotel, join Dessert Safari Program by 4WD Included Dinner and Entertainment Belly Dance (Entertainment not available during Ramadhan &amp; Islamic Event</w:t>
      </w:r>
      <w:r>
        <w:rPr>
          <w:spacing w:val="-10"/>
        </w:rPr>
        <w:t xml:space="preserve"> </w:t>
      </w:r>
      <w:r>
        <w:t>Day)</w:t>
      </w:r>
    </w:p>
    <w:p w:rsidR="001202FA" w:rsidRDefault="001202FA" w:rsidP="001202FA">
      <w:pPr>
        <w:spacing w:before="159"/>
        <w:ind w:left="408"/>
      </w:pPr>
      <w:r>
        <w:t>** Dubai City Tour will be in Private accompany by English Speaking Guide</w:t>
      </w:r>
    </w:p>
    <w:p w:rsidR="001202FA" w:rsidRDefault="001202FA" w:rsidP="001202FA">
      <w:pPr>
        <w:spacing w:before="22"/>
        <w:ind w:left="408"/>
      </w:pPr>
      <w:r>
        <w:t>** Dessert Safari will be Sharing Jeep 6 Persons in 1 Jeep,Not accompany by Tour Guide</w:t>
      </w:r>
    </w:p>
    <w:p w:rsidR="001202FA" w:rsidRDefault="001202FA" w:rsidP="001202FA">
      <w:pPr>
        <w:pStyle w:val="BodyText"/>
        <w:spacing w:before="5"/>
        <w:ind w:left="0" w:firstLine="0"/>
        <w:rPr>
          <w:sz w:val="25"/>
        </w:rPr>
      </w:pPr>
    </w:p>
    <w:p w:rsidR="001202FA" w:rsidRDefault="001202FA" w:rsidP="001202FA">
      <w:pPr>
        <w:ind w:left="408"/>
      </w:pPr>
      <w:r>
        <w:t>Day 3. Departure transfer (B)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3"/>
        <w:rPr>
          <w:rFonts w:ascii="Symbol" w:hAnsi="Symbol"/>
        </w:rPr>
      </w:pPr>
      <w:r>
        <w:t>Breakfast at the</w:t>
      </w:r>
      <w:r>
        <w:rPr>
          <w:spacing w:val="-6"/>
        </w:rPr>
        <w:t xml:space="preserve"> </w:t>
      </w:r>
      <w:r>
        <w:t>hotel</w:t>
      </w:r>
    </w:p>
    <w:p w:rsidR="001202FA" w:rsidRDefault="001202FA" w:rsidP="001202FA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rPr>
          <w:rFonts w:ascii="Symbol" w:hAnsi="Symbol"/>
        </w:rPr>
      </w:pPr>
      <w:r>
        <w:t>One way transfer for departure flight towards home or next</w:t>
      </w:r>
      <w:r>
        <w:rPr>
          <w:spacing w:val="-14"/>
        </w:rPr>
        <w:t xml:space="preserve"> </w:t>
      </w:r>
      <w:r>
        <w:t>destination</w:t>
      </w:r>
    </w:p>
    <w:p w:rsidR="001202FA" w:rsidRDefault="001202FA" w:rsidP="001202FA">
      <w:pPr>
        <w:spacing w:before="159"/>
        <w:ind w:left="408"/>
      </w:pPr>
      <w:r>
        <w:t>** Departure airport transfer will be in Private with Driver only not accompany by Tour Guide</w:t>
      </w:r>
    </w:p>
    <w:p w:rsidR="001202FA" w:rsidRDefault="001202FA" w:rsidP="001202FA">
      <w:pPr>
        <w:pStyle w:val="BodyText"/>
        <w:spacing w:before="10"/>
        <w:ind w:left="0" w:firstLine="0"/>
        <w:rPr>
          <w:sz w:val="19"/>
        </w:rPr>
      </w:pPr>
    </w:p>
    <w:p w:rsidR="001202FA" w:rsidRDefault="001202FA" w:rsidP="001202FA">
      <w:pPr>
        <w:pStyle w:val="BodyText"/>
        <w:spacing w:before="51"/>
        <w:ind w:left="0" w:right="2" w:firstLine="0"/>
        <w:jc w:val="center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6019800</wp:posOffset>
                </wp:positionH>
                <wp:positionV relativeFrom="paragraph">
                  <wp:posOffset>1294765</wp:posOffset>
                </wp:positionV>
                <wp:extent cx="658495" cy="278765"/>
                <wp:effectExtent l="0" t="0" r="0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278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2B65E" id="Rectangle 1" o:spid="_x0000_s1026" style="position:absolute;margin-left:474pt;margin-top:101.95pt;width:51.85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6nfQIAAPoEAAAOAAAAZHJzL2Uyb0RvYy54bWysVNuO2yAQfa/Uf0C8Z32RncRWnNVemqrS&#10;tl112w8ggGNUDBRInO2q/94BJ2nSvlRV/YAZGA5nZs6wuN73Eu24dUKrBmdXKUZcUc2E2jT4y+fV&#10;ZI6R80QxIrXiDX7mDl8vX79aDKbmue60ZNwiAFGuHkyDO+9NnSSOdrwn7kobrmCz1bYnHky7SZgl&#10;A6D3MsnTdJoM2jJjNeXOwer9uImXEb9tOfUf29Zxj2SDgZuPo43jOozJckHqjSWmE/RAg/wDi54I&#10;BZeeoO6JJ2hrxR9QvaBWO936K6r7RLetoDzGANFk6W/RPHXE8BgLJMeZU5rc/4OlH3aPFgkGtcNI&#10;kR5K9AmSRtRGcpSF9AzG1eD1ZB5tCNCZB02/OqT0XQde/MZaPXScMCAV/ZOLA8FwcBSth/eaATrZ&#10;eh0ztW9tHwAhB2gfC/J8Kgjfe0RhcVrOi6rEiMJWPpvPpmVglJD6eNhY599y3aMwabAF6hGc7B6c&#10;H12PLpG8loKthJTRsJv1nbRoR0AbK/jSKAdAd+duUgVnpcOxEXFcAY5wR9gLbGOtX6osL9LbvJqs&#10;pvPZpFgV5aSapfNJmlW31TQtquJ+9SMQzIq6E4xx9SAUP+ouK/6urocOGBUTlYeGBldlXsbYL9i7&#10;8yDT+B1SeOHWCw9tKEXf4PnJidShrm8Ug7BJ7YmQ4zy5pB8LAjk4/mNWogpC4UcBrTV7BhFYDUWC&#10;NoQHAyadtt8xGqD5Guy+bYnlGMl3CoRUZUURujUaRTnLwbDnO+vzHaIoQDXYYzRO7/zY4VtjxaaD&#10;m7KYGKVvQHytiMIIwhxZAe9gQIPFCA6PQejgczt6/Xqylj8BAAD//wMAUEsDBBQABgAIAAAAIQA2&#10;FDz/4gAAAAwBAAAPAAAAZHJzL2Rvd25yZXYueG1sTI/NTsMwEITvlXgHa5G4tXZKQ9MQp+JHoB5L&#10;QbRHN17iQLwOsduGt8c9wXF2RrPfFMvBtuyIvW8cSUgmAhhS5XRDtYS316dxBswHRVq1jlDCD3pY&#10;lhejQuXanegFj5tQs1hCPlcSTAhdzrmvDFrlJ65Dit6H660KUfY11706xXLb8qkQN9yqhuIHozp8&#10;MFh9bQ5Wwm69fb83do1Dmvrn75V9dIn4lPLqcri7BRZwCH9hOONHdCgj094dSHvWSljMsrglSJiK&#10;6wWwc0KkyRzYPp5m8wx4WfD/I8pfAAAA//8DAFBLAQItABQABgAIAAAAIQC2gziS/gAAAOEBAAAT&#10;AAAAAAAAAAAAAAAAAAAAAABbQ29udGVudF9UeXBlc10ueG1sUEsBAi0AFAAGAAgAAAAhADj9If/W&#10;AAAAlAEAAAsAAAAAAAAAAAAAAAAALwEAAF9yZWxzLy5yZWxzUEsBAi0AFAAGAAgAAAAhALdMTqd9&#10;AgAA+gQAAA4AAAAAAAAAAAAAAAAALgIAAGRycy9lMm9Eb2MueG1sUEsBAi0AFAAGAAgAAAAhADYU&#10;PP/iAAAADAEAAA8AAAAAAAAAAAAAAAAA1wQAAGRycy9kb3ducmV2LnhtbFBLBQYAAAAABAAEAPMA&#10;AADmBQAAAAA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 xml:space="preserve">PRICE BASED ON TWIN/DOUBLE SHARE (IN USD) – NETT PRICE </w:t>
      </w:r>
      <w:r>
        <w:rPr>
          <w:u w:val="single"/>
          <w:shd w:val="clear" w:color="auto" w:fill="FFFF00"/>
        </w:rPr>
        <w:t>(VALID AUG – SEP 2019)</w:t>
      </w:r>
    </w:p>
    <w:p w:rsidR="001202FA" w:rsidRDefault="001202FA" w:rsidP="001202FA">
      <w:pPr>
        <w:pStyle w:val="BodyText"/>
        <w:spacing w:before="9"/>
        <w:ind w:left="0" w:firstLine="0"/>
        <w:rPr>
          <w:sz w:val="5"/>
        </w:r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1202FA" w:rsidTr="000F2296">
        <w:trPr>
          <w:trHeight w:val="268"/>
        </w:trPr>
        <w:tc>
          <w:tcPr>
            <w:tcW w:w="3687" w:type="dxa"/>
            <w:vMerge w:val="restart"/>
            <w:shd w:val="clear" w:color="auto" w:fill="FFC000"/>
          </w:tcPr>
          <w:p w:rsidR="001202FA" w:rsidRDefault="001202FA" w:rsidP="000F2296">
            <w:pPr>
              <w:pStyle w:val="TableParagraph"/>
            </w:pPr>
          </w:p>
          <w:p w:rsidR="001202FA" w:rsidRDefault="001202FA" w:rsidP="000F2296">
            <w:pPr>
              <w:pStyle w:val="TableParagraph"/>
              <w:spacing w:before="136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1202FA" w:rsidRDefault="001202FA" w:rsidP="000F2296">
            <w:pPr>
              <w:pStyle w:val="TableParagraph"/>
              <w:spacing w:line="248" w:lineRule="exact"/>
              <w:ind w:left="2192" w:right="2166"/>
              <w:jc w:val="center"/>
            </w:pPr>
            <w:r>
              <w:t>Bracket</w:t>
            </w:r>
          </w:p>
        </w:tc>
      </w:tr>
      <w:tr w:rsidR="001202FA" w:rsidTr="000F2296">
        <w:trPr>
          <w:trHeight w:val="805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1202FA" w:rsidRDefault="001202FA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268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300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1202FA" w:rsidRDefault="001202FA" w:rsidP="000F2296">
            <w:pPr>
              <w:pStyle w:val="TableParagraph"/>
              <w:spacing w:before="1" w:line="237" w:lineRule="auto"/>
              <w:ind w:left="402" w:hanging="231"/>
            </w:pPr>
            <w:r>
              <w:t>ADDITIONAL SINGLE</w:t>
            </w:r>
          </w:p>
          <w:p w:rsidR="001202FA" w:rsidRDefault="001202FA" w:rsidP="000F2296">
            <w:pPr>
              <w:pStyle w:val="TableParagraph"/>
              <w:spacing w:before="1" w:line="252" w:lineRule="exact"/>
              <w:ind w:left="123"/>
            </w:pPr>
            <w:r>
              <w:t>SUPPLEMENT</w:t>
            </w:r>
          </w:p>
        </w:tc>
      </w:tr>
      <w:tr w:rsidR="001202FA" w:rsidTr="000F2296">
        <w:trPr>
          <w:trHeight w:val="1481"/>
        </w:trPr>
        <w:tc>
          <w:tcPr>
            <w:tcW w:w="3687" w:type="dxa"/>
            <w:tcBorders>
              <w:left w:val="single" w:sz="8" w:space="0" w:color="000000"/>
            </w:tcBorders>
          </w:tcPr>
          <w:p w:rsidR="001202FA" w:rsidRDefault="001202FA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t>1 N Hampton Dubai /Ibis Deira City Centre/ Ibis Al Rigga or similar 3*</w:t>
            </w:r>
          </w:p>
          <w:p w:rsidR="001202FA" w:rsidRDefault="001202FA" w:rsidP="000F2296">
            <w:pPr>
              <w:pStyle w:val="TableParagraph"/>
              <w:spacing w:before="159"/>
              <w:ind w:left="106" w:right="92"/>
              <w:jc w:val="center"/>
            </w:pPr>
            <w:r>
              <w:t>*NO EXTRA BED/TRIPLE ROOM</w:t>
            </w:r>
          </w:p>
          <w:p w:rsidR="001202FA" w:rsidRDefault="001202FA" w:rsidP="000F2296">
            <w:pPr>
              <w:pStyle w:val="TableParagraph"/>
              <w:spacing w:before="19"/>
              <w:ind w:left="107" w:right="91"/>
              <w:jc w:val="center"/>
            </w:pPr>
            <w:r>
              <w:t>(standard room)</w:t>
            </w:r>
          </w:p>
        </w:tc>
        <w:tc>
          <w:tcPr>
            <w:tcW w:w="1308" w:type="dxa"/>
          </w:tcPr>
          <w:p w:rsidR="001202FA" w:rsidRDefault="001202FA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255</w:t>
            </w:r>
          </w:p>
        </w:tc>
        <w:tc>
          <w:tcPr>
            <w:tcW w:w="1370" w:type="dxa"/>
          </w:tcPr>
          <w:p w:rsidR="001202FA" w:rsidRDefault="001202FA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210</w:t>
            </w:r>
          </w:p>
        </w:tc>
        <w:tc>
          <w:tcPr>
            <w:tcW w:w="1291" w:type="dxa"/>
          </w:tcPr>
          <w:p w:rsidR="001202FA" w:rsidRDefault="001202FA" w:rsidP="000F2296">
            <w:pPr>
              <w:pStyle w:val="TableParagraph"/>
              <w:spacing w:before="301"/>
              <w:ind w:left="380" w:hanging="32"/>
              <w:rPr>
                <w:sz w:val="36"/>
              </w:rPr>
            </w:pPr>
            <w:r>
              <w:rPr>
                <w:sz w:val="36"/>
              </w:rPr>
              <w:t>USD 180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1202FA" w:rsidRDefault="001202FA" w:rsidP="000F2296">
            <w:pPr>
              <w:pStyle w:val="TableParagraph"/>
              <w:spacing w:before="8"/>
              <w:rPr>
                <w:sz w:val="42"/>
              </w:rPr>
            </w:pPr>
          </w:p>
          <w:p w:rsidR="001202FA" w:rsidRDefault="001202FA" w:rsidP="000F2296">
            <w:pPr>
              <w:pStyle w:val="TableParagraph"/>
              <w:spacing w:before="1"/>
              <w:ind w:left="195"/>
              <w:rPr>
                <w:sz w:val="36"/>
              </w:rPr>
            </w:pPr>
            <w:r>
              <w:rPr>
                <w:sz w:val="36"/>
              </w:rPr>
              <w:t>USD 65</w:t>
            </w:r>
          </w:p>
        </w:tc>
      </w:tr>
      <w:tr w:rsidR="001202FA" w:rsidTr="000F2296">
        <w:trPr>
          <w:trHeight w:val="1108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before="35" w:line="259" w:lineRule="auto"/>
              <w:ind w:left="107" w:right="92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285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240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line="259" w:lineRule="auto"/>
              <w:ind w:left="113" w:right="158"/>
              <w:rPr>
                <w:sz w:val="36"/>
              </w:rPr>
            </w:pPr>
            <w:r>
              <w:rPr>
                <w:sz w:val="36"/>
              </w:rPr>
              <w:t>USD 210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1202FA" w:rsidRDefault="001202FA" w:rsidP="000F2296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  <w:shd w:val="clear" w:color="auto" w:fill="FFFF00"/>
              </w:rPr>
              <w:t>USD 95</w:t>
            </w:r>
          </w:p>
        </w:tc>
      </w:tr>
    </w:tbl>
    <w:p w:rsidR="001202FA" w:rsidRDefault="001202FA" w:rsidP="001202FA">
      <w:pPr>
        <w:rPr>
          <w:sz w:val="36"/>
        </w:rPr>
        <w:sectPr w:rsidR="001202FA" w:rsidSect="001202FA">
          <w:type w:val="continuous"/>
          <w:pgSz w:w="11906" w:h="16838" w:code="9"/>
          <w:pgMar w:top="1380" w:right="200" w:bottom="280" w:left="300" w:header="61" w:footer="0" w:gutter="0"/>
          <w:cols w:space="720"/>
        </w:sect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ind w:left="0" w:firstLine="0"/>
        <w:rPr>
          <w:sz w:val="20"/>
        </w:rPr>
      </w:pPr>
    </w:p>
    <w:p w:rsidR="001202FA" w:rsidRDefault="001202FA" w:rsidP="001202FA">
      <w:pPr>
        <w:pStyle w:val="BodyText"/>
        <w:spacing w:before="9"/>
        <w:ind w:left="0" w:firstLine="0"/>
        <w:rPr>
          <w:sz w:val="27"/>
        </w:rPr>
      </w:pPr>
    </w:p>
    <w:p w:rsidR="001202FA" w:rsidRDefault="001202FA" w:rsidP="001202FA">
      <w:pPr>
        <w:pStyle w:val="BodyText"/>
        <w:spacing w:before="52"/>
        <w:ind w:left="0" w:right="4" w:firstLine="0"/>
        <w:jc w:val="center"/>
      </w:pPr>
      <w:r>
        <w:rPr>
          <w:u w:val="single"/>
        </w:rPr>
        <w:lastRenderedPageBreak/>
        <w:t xml:space="preserve">PRICE BASED ON TWIN/DOUBLE SHARE (IN USD) – NETT PRICE </w:t>
      </w:r>
      <w:r>
        <w:rPr>
          <w:u w:val="single"/>
          <w:shd w:val="clear" w:color="auto" w:fill="FFFF00"/>
        </w:rPr>
        <w:t>(OKT 2019 – MAR 2020)</w:t>
      </w:r>
    </w:p>
    <w:p w:rsidR="001202FA" w:rsidRDefault="001202FA" w:rsidP="001202FA">
      <w:pPr>
        <w:pStyle w:val="BodyText"/>
        <w:spacing w:before="11"/>
        <w:ind w:left="0" w:firstLine="0"/>
        <w:rPr>
          <w:sz w:val="5"/>
        </w:rPr>
      </w:pPr>
    </w:p>
    <w:tbl>
      <w:tblPr>
        <w:tblW w:w="90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1202FA" w:rsidTr="001202FA">
        <w:trPr>
          <w:trHeight w:val="268"/>
        </w:trPr>
        <w:tc>
          <w:tcPr>
            <w:tcW w:w="3687" w:type="dxa"/>
            <w:vMerge w:val="restart"/>
            <w:shd w:val="clear" w:color="auto" w:fill="FFC000"/>
          </w:tcPr>
          <w:p w:rsidR="001202FA" w:rsidRDefault="001202FA" w:rsidP="000F2296">
            <w:pPr>
              <w:pStyle w:val="TableParagraph"/>
            </w:pPr>
          </w:p>
          <w:p w:rsidR="001202FA" w:rsidRDefault="001202FA" w:rsidP="000F2296">
            <w:pPr>
              <w:pStyle w:val="TableParagraph"/>
              <w:spacing w:before="136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1202FA" w:rsidRDefault="001202FA" w:rsidP="000F2296">
            <w:pPr>
              <w:pStyle w:val="TableParagraph"/>
              <w:spacing w:line="248" w:lineRule="exact"/>
              <w:ind w:left="2192" w:right="2166"/>
              <w:jc w:val="center"/>
            </w:pPr>
            <w:r>
              <w:t>Bracket</w:t>
            </w:r>
          </w:p>
        </w:tc>
      </w:tr>
      <w:tr w:rsidR="001202FA" w:rsidTr="001202FA">
        <w:trPr>
          <w:trHeight w:val="805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1202FA" w:rsidRDefault="001202FA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268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300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1202FA" w:rsidRDefault="001202FA" w:rsidP="000F2296">
            <w:pPr>
              <w:pStyle w:val="TableParagraph"/>
              <w:spacing w:before="9"/>
              <w:rPr>
                <w:sz w:val="21"/>
              </w:rPr>
            </w:pPr>
          </w:p>
          <w:p w:rsidR="001202FA" w:rsidRDefault="001202FA" w:rsidP="000F2296">
            <w:pPr>
              <w:pStyle w:val="TableParagraph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1202FA" w:rsidRDefault="001202FA" w:rsidP="000F2296">
            <w:pPr>
              <w:pStyle w:val="TableParagraph"/>
              <w:ind w:left="402" w:hanging="231"/>
            </w:pPr>
            <w:r>
              <w:t>ADDITIONAL SINGLE</w:t>
            </w:r>
          </w:p>
          <w:p w:rsidR="001202FA" w:rsidRDefault="001202FA" w:rsidP="000F2296">
            <w:pPr>
              <w:pStyle w:val="TableParagraph"/>
              <w:spacing w:line="252" w:lineRule="exact"/>
              <w:ind w:left="123"/>
            </w:pPr>
            <w:r>
              <w:t>SUPPLEMENT</w:t>
            </w:r>
          </w:p>
        </w:tc>
      </w:tr>
      <w:tr w:rsidR="001202FA" w:rsidTr="001202FA">
        <w:trPr>
          <w:trHeight w:val="1477"/>
        </w:trPr>
        <w:tc>
          <w:tcPr>
            <w:tcW w:w="3687" w:type="dxa"/>
            <w:tcBorders>
              <w:left w:val="single" w:sz="8" w:space="0" w:color="000000"/>
            </w:tcBorders>
          </w:tcPr>
          <w:p w:rsidR="001202FA" w:rsidRDefault="001202FA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t>1 N Hampton Dubai /Ibis Deira City Centre/ Ibis Al Rigga or similar 3*</w:t>
            </w:r>
          </w:p>
          <w:p w:rsidR="001202FA" w:rsidRDefault="001202FA" w:rsidP="000F2296">
            <w:pPr>
              <w:pStyle w:val="TableParagraph"/>
              <w:spacing w:before="156"/>
              <w:ind w:left="106" w:right="92"/>
              <w:jc w:val="center"/>
            </w:pPr>
            <w:r>
              <w:t>*NO EXTRA BED/TRIPLE ROOM</w:t>
            </w:r>
          </w:p>
          <w:p w:rsidR="001202FA" w:rsidRDefault="001202FA" w:rsidP="000F2296">
            <w:pPr>
              <w:pStyle w:val="TableParagraph"/>
              <w:spacing w:before="21"/>
              <w:ind w:left="107" w:right="91"/>
              <w:jc w:val="center"/>
            </w:pPr>
            <w:r>
              <w:t>(standard room)</w:t>
            </w:r>
          </w:p>
        </w:tc>
        <w:tc>
          <w:tcPr>
            <w:tcW w:w="1308" w:type="dxa"/>
          </w:tcPr>
          <w:p w:rsidR="001202FA" w:rsidRDefault="001202FA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285</w:t>
            </w:r>
          </w:p>
        </w:tc>
        <w:tc>
          <w:tcPr>
            <w:tcW w:w="1370" w:type="dxa"/>
          </w:tcPr>
          <w:p w:rsidR="001202FA" w:rsidRDefault="001202FA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240</w:t>
            </w:r>
          </w:p>
        </w:tc>
        <w:tc>
          <w:tcPr>
            <w:tcW w:w="1291" w:type="dxa"/>
          </w:tcPr>
          <w:p w:rsidR="001202FA" w:rsidRDefault="001202FA" w:rsidP="000F2296">
            <w:pPr>
              <w:pStyle w:val="TableParagraph"/>
              <w:spacing w:line="259" w:lineRule="auto"/>
              <w:ind w:left="113" w:right="158"/>
              <w:rPr>
                <w:sz w:val="36"/>
              </w:rPr>
            </w:pPr>
            <w:r>
              <w:rPr>
                <w:sz w:val="36"/>
              </w:rPr>
              <w:t>USD 210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1202FA" w:rsidRDefault="001202FA" w:rsidP="000F2296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  <w:shd w:val="clear" w:color="auto" w:fill="FFFF00"/>
              </w:rPr>
              <w:t>USD 95</w:t>
            </w:r>
          </w:p>
        </w:tc>
      </w:tr>
      <w:tr w:rsidR="001202FA" w:rsidTr="001202FA">
        <w:trPr>
          <w:trHeight w:val="1111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before="37" w:line="259" w:lineRule="auto"/>
              <w:ind w:left="107" w:right="92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before="1"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315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before="1"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270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1202FA" w:rsidRDefault="001202FA" w:rsidP="000F2296">
            <w:pPr>
              <w:pStyle w:val="TableParagraph"/>
              <w:spacing w:before="1" w:line="259" w:lineRule="auto"/>
              <w:ind w:left="113" w:right="158"/>
              <w:rPr>
                <w:sz w:val="36"/>
              </w:rPr>
            </w:pPr>
            <w:r>
              <w:rPr>
                <w:sz w:val="36"/>
              </w:rPr>
              <w:t>USD 240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1202FA" w:rsidRDefault="001202FA" w:rsidP="000F2296">
            <w:pPr>
              <w:pStyle w:val="TableParagraph"/>
              <w:spacing w:before="1" w:line="259" w:lineRule="auto"/>
              <w:ind w:left="111" w:right="156"/>
              <w:rPr>
                <w:sz w:val="36"/>
              </w:rPr>
            </w:pPr>
            <w:r>
              <w:rPr>
                <w:sz w:val="36"/>
                <w:shd w:val="clear" w:color="auto" w:fill="FFFF00"/>
              </w:rPr>
              <w:t>USD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  <w:shd w:val="clear" w:color="auto" w:fill="FFFF00"/>
              </w:rPr>
              <w:t>125</w:t>
            </w:r>
          </w:p>
        </w:tc>
      </w:tr>
    </w:tbl>
    <w:p w:rsidR="001202FA" w:rsidRDefault="001202FA" w:rsidP="001202FA">
      <w:pPr>
        <w:pStyle w:val="BodyText"/>
        <w:ind w:left="0" w:firstLine="0"/>
      </w:pPr>
    </w:p>
    <w:p w:rsidR="001202FA" w:rsidRDefault="001202FA" w:rsidP="001202FA">
      <w:pPr>
        <w:pStyle w:val="BodyText"/>
        <w:spacing w:before="170"/>
        <w:ind w:left="408" w:firstLine="0"/>
      </w:pPr>
      <w:r>
        <w:rPr>
          <w:u w:val="single"/>
        </w:rPr>
        <w:t>PRICE INCLUDE: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spacing w:before="184"/>
        <w:rPr>
          <w:sz w:val="24"/>
        </w:rPr>
      </w:pPr>
      <w:r>
        <w:rPr>
          <w:sz w:val="24"/>
        </w:rPr>
        <w:t>Private Airport Transfers from DXB Apo – DXB City Hotel &amp; DXB City Hotel – DXB</w:t>
      </w:r>
      <w:r>
        <w:rPr>
          <w:spacing w:val="-8"/>
          <w:sz w:val="24"/>
        </w:rPr>
        <w:t xml:space="preserve"> </w:t>
      </w:r>
      <w:r>
        <w:rPr>
          <w:sz w:val="24"/>
        </w:rPr>
        <w:t>Apo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2 night’s accommodation in above Hotel including breakfast, all applicable</w:t>
      </w:r>
      <w:r>
        <w:rPr>
          <w:spacing w:val="-5"/>
          <w:sz w:val="24"/>
        </w:rPr>
        <w:t xml:space="preserve"> </w:t>
      </w:r>
      <w:r>
        <w:rPr>
          <w:sz w:val="24"/>
        </w:rPr>
        <w:t>taxes.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Meals as per the itinerary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Bahasa Speaking Guide during tour – Subject to availability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spacing w:before="2"/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1202FA" w:rsidRDefault="001202FA" w:rsidP="001202FA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1202FA" w:rsidRDefault="001202FA" w:rsidP="001202FA">
      <w:pPr>
        <w:pStyle w:val="BodyText"/>
        <w:ind w:left="0" w:firstLine="0"/>
      </w:pPr>
    </w:p>
    <w:p w:rsidR="001202FA" w:rsidRDefault="001202FA" w:rsidP="001202FA">
      <w:pPr>
        <w:pStyle w:val="BodyText"/>
        <w:spacing w:before="180"/>
        <w:ind w:left="408" w:firstLine="0"/>
      </w:pPr>
      <w:r>
        <w:rPr>
          <w:u w:val="single"/>
        </w:rPr>
        <w:t>PRICE EXCLUDE: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spacing w:before="185"/>
        <w:rPr>
          <w:sz w:val="24"/>
        </w:rPr>
      </w:pPr>
      <w:r>
        <w:rPr>
          <w:sz w:val="24"/>
        </w:rPr>
        <w:t>Any expenses personal nature viz. tips to driver &amp; Guide, cigarettes, laundry, telephone calls, mini-</w:t>
      </w:r>
      <w:r>
        <w:rPr>
          <w:spacing w:val="-14"/>
          <w:sz w:val="24"/>
        </w:rPr>
        <w:t xml:space="preserve"> </w:t>
      </w:r>
      <w:r>
        <w:rPr>
          <w:sz w:val="24"/>
        </w:rPr>
        <w:t>bar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spacing w:before="2"/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</w:p>
    <w:p w:rsidR="001202FA" w:rsidRDefault="001202FA" w:rsidP="001202FA">
      <w:pPr>
        <w:pStyle w:val="ListParagraph"/>
        <w:numPr>
          <w:ilvl w:val="0"/>
          <w:numId w:val="1"/>
        </w:numPr>
        <w:tabs>
          <w:tab w:val="left" w:pos="1129"/>
        </w:tabs>
        <w:spacing w:after="19"/>
        <w:ind w:right="413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Default="00171EE0"/>
    <w:sectPr w:rsidR="00171EE0" w:rsidSect="001202FA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1E4B"/>
    <w:multiLevelType w:val="hybridMultilevel"/>
    <w:tmpl w:val="C518D076"/>
    <w:lvl w:ilvl="0" w:tplc="F8B6F402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A36859B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C5D2977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31ACFB86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B68FB3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9D4E29C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97DC628A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E0B8847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4E8239F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C3C4D78"/>
    <w:multiLevelType w:val="hybridMultilevel"/>
    <w:tmpl w:val="80BC49C0"/>
    <w:lvl w:ilvl="0" w:tplc="C9986E70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4FF2712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DB583AB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7B4233D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5DE69FB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BEB0D766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B8C188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1908C92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AF96B58C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A"/>
    <w:rsid w:val="001202FA"/>
    <w:rsid w:val="001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67BF"/>
  <w15:chartTrackingRefBased/>
  <w15:docId w15:val="{653A70E5-A346-4CAD-90BA-AE0ECB43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02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3">
    <w:name w:val="heading 3"/>
    <w:basedOn w:val="Normal"/>
    <w:link w:val="Heading3Char"/>
    <w:uiPriority w:val="1"/>
    <w:qFormat/>
    <w:rsid w:val="001202FA"/>
    <w:pPr>
      <w:spacing w:before="49"/>
      <w:ind w:left="40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202FA"/>
    <w:rPr>
      <w:rFonts w:ascii="Calibri Light" w:eastAsia="Calibri Light" w:hAnsi="Calibri Light" w:cs="Calibri Light"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1202FA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02FA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1202FA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12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2019-10-08T08:44:00Z</dcterms:created>
  <dcterms:modified xsi:type="dcterms:W3CDTF">2019-10-08T08:45:00Z</dcterms:modified>
</cp:coreProperties>
</file>