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84" w:rsidRDefault="00004F49">
      <w:pPr>
        <w:pStyle w:val="BodyText"/>
        <w:spacing w:before="24"/>
        <w:ind w:left="118"/>
      </w:pPr>
      <w:r>
        <w:t>Herewith detail of quotation and itinerary for reference group: 2020</w:t>
      </w:r>
    </w:p>
    <w:p w:rsidR="00270384" w:rsidRDefault="00270384">
      <w:pPr>
        <w:pStyle w:val="BodyText"/>
        <w:spacing w:before="5"/>
        <w:rPr>
          <w:sz w:val="32"/>
        </w:rPr>
      </w:pPr>
    </w:p>
    <w:p w:rsidR="00270384" w:rsidRDefault="00004F49">
      <w:pPr>
        <w:pStyle w:val="Heading1"/>
        <w:spacing w:before="1"/>
        <w:ind w:left="2127" w:right="2118"/>
        <w:jc w:val="center"/>
      </w:pPr>
      <w:bookmarkStart w:id="0" w:name="_GoBack"/>
      <w:r>
        <w:rPr>
          <w:color w:val="0070C0"/>
        </w:rPr>
        <w:t>5 NIGHTS ISRAEL FROM TEL AVIV TO TEL AVIV</w:t>
      </w:r>
    </w:p>
    <w:bookmarkEnd w:id="0"/>
    <w:p w:rsidR="00270384" w:rsidRDefault="00270384">
      <w:pPr>
        <w:pStyle w:val="BodyText"/>
        <w:spacing w:before="1"/>
        <w:rPr>
          <w:b/>
          <w:sz w:val="32"/>
        </w:rPr>
      </w:pPr>
    </w:p>
    <w:p w:rsidR="00270384" w:rsidRDefault="00004F49">
      <w:pPr>
        <w:ind w:left="116"/>
        <w:rPr>
          <w:b/>
          <w:sz w:val="28"/>
        </w:rPr>
      </w:pPr>
      <w:r>
        <w:rPr>
          <w:b/>
          <w:color w:val="C00000"/>
          <w:sz w:val="28"/>
        </w:rPr>
        <w:t>Hari 1, TEL AVIV – Tiberias</w:t>
      </w:r>
    </w:p>
    <w:p w:rsidR="00270384" w:rsidRDefault="00004F49">
      <w:pPr>
        <w:pStyle w:val="BodyText"/>
        <w:spacing w:before="28" w:line="247" w:lineRule="auto"/>
        <w:ind w:left="126" w:right="188" w:hanging="10"/>
      </w:pPr>
      <w:r>
        <w:t>Tiba pagi di bandara Ben Gurion, setelah prosedur transfer imigrasi ke Kaisarea, Mengunjungi saluran air, Haifa, gunung Carmel, Nazareth, gereja pemberitaan, misa di Kana, transfer Tiberias</w:t>
      </w:r>
    </w:p>
    <w:p w:rsidR="00270384" w:rsidRDefault="00270384">
      <w:pPr>
        <w:pStyle w:val="BodyText"/>
        <w:spacing w:before="7"/>
        <w:rPr>
          <w:sz w:val="31"/>
        </w:rPr>
      </w:pPr>
    </w:p>
    <w:p w:rsidR="00270384" w:rsidRDefault="00004F49">
      <w:pPr>
        <w:pStyle w:val="Heading1"/>
        <w:ind w:left="115"/>
      </w:pPr>
      <w:r>
        <w:rPr>
          <w:color w:val="C00000"/>
        </w:rPr>
        <w:t>Hari 2, Tiberias</w:t>
      </w:r>
    </w:p>
    <w:p w:rsidR="00270384" w:rsidRDefault="00004F49">
      <w:pPr>
        <w:pStyle w:val="BodyText"/>
        <w:spacing w:before="24" w:line="249" w:lineRule="auto"/>
        <w:ind w:left="112" w:right="162" w:firstLine="4"/>
      </w:pPr>
      <w:r>
        <w:t>Hari ini anda akan mengunjungi sekitar Danau Gal</w:t>
      </w:r>
      <w:r>
        <w:t>ilea, Bukit Sabda Bahagia tempat Yesus khotbah di atas bukit dan mengajarkan 8 Sabda Bahagia (Mat.5-7), Tabgha tempat Yesus menggandakan 5 roti dan 2 ekor ikan untuk memberi makan 5.000 orang (Mrk.6:30-44), Gereja Primat Petrus tempat Yesus menampakkan dir</w:t>
      </w:r>
      <w:r>
        <w:t>i kepada muridmuridNya di tepi pantai (Yoh.21:1-14), Kapernaum yang disebut juga “Kota Yesus” tempat Yesus banyak memberikan ajaran (Luk.4:31-37). Lalu anda berkesempatan untuk berlayar mengelilingi Danau Galilea dengan perahu, kemudian menikmati makan sia</w:t>
      </w:r>
      <w:r>
        <w:t xml:space="preserve">ng dengan menu Ikan Petrus. Setelah itu menuju ke Kana tempat Yesus membuat Mukjizat yang pertama yaitu mengubah air menjadi anggur pada pesta pernikahan (Yoh.2:1-11). Dari sana kita akan menuju Nazareth untuk mengunjungi Gereja Warta Gembira tempat Bunda </w:t>
      </w:r>
      <w:r>
        <w:t>Maria menerima kabar gembira dari Malaikat Gabriel bahwa dirinya tengah mengandung Yesus Kristus (Luk.1:26-38), Kemudian kita akan mengunjungi Gereja Santo Yoseph bekas tempat tinggal Keluarga Kudus (Yoseph, Maria dan Yesus), dan bila waktu memungkinkan an</w:t>
      </w:r>
      <w:r>
        <w:t>da berkesempatan untuk mengunjungi Sumur Maria. Kemudian kita akan kembali ke hotel untuk</w:t>
      </w:r>
      <w:r>
        <w:rPr>
          <w:spacing w:val="-7"/>
        </w:rPr>
        <w:t xml:space="preserve"> </w:t>
      </w:r>
      <w:r>
        <w:t>beristirahat</w:t>
      </w:r>
    </w:p>
    <w:p w:rsidR="00270384" w:rsidRDefault="00270384">
      <w:pPr>
        <w:pStyle w:val="BodyText"/>
        <w:spacing w:before="5"/>
        <w:rPr>
          <w:sz w:val="31"/>
        </w:rPr>
      </w:pPr>
    </w:p>
    <w:p w:rsidR="00270384" w:rsidRDefault="00004F49">
      <w:pPr>
        <w:pStyle w:val="Heading1"/>
      </w:pPr>
      <w:r>
        <w:rPr>
          <w:color w:val="C00000"/>
        </w:rPr>
        <w:t>Hari 3:  Tiberias -Yardenit-Jerico-Quman-Dead Sea –</w:t>
      </w:r>
      <w:r>
        <w:rPr>
          <w:color w:val="C00000"/>
          <w:spacing w:val="-35"/>
        </w:rPr>
        <w:t xml:space="preserve"> </w:t>
      </w:r>
      <w:r>
        <w:rPr>
          <w:color w:val="C00000"/>
        </w:rPr>
        <w:t>Bethlehem</w:t>
      </w:r>
    </w:p>
    <w:p w:rsidR="00270384" w:rsidRDefault="00004F49">
      <w:pPr>
        <w:pStyle w:val="BodyText"/>
        <w:spacing w:before="24" w:line="247" w:lineRule="auto"/>
        <w:ind w:left="126" w:right="149" w:hanging="10"/>
      </w:pPr>
      <w:r>
        <w:t>Setelah Sarapan, kunjungi Yardenit, pusat baptisme, daripada ke Qumran di mana ia ditemuka</w:t>
      </w:r>
      <w:r>
        <w:t>n membawa kitab-kitab suci. Kunjungi Jericho, godaan Gunung, pohon Zakaeus. Dan kesempatan untuk kembali melayang di laut mati di sisi Israel, sambil bersantai dan melepas lelah. Kemudian kembali ke hotel di Betlehem untuk</w:t>
      </w:r>
      <w:r>
        <w:rPr>
          <w:spacing w:val="-5"/>
        </w:rPr>
        <w:t xml:space="preserve"> </w:t>
      </w:r>
      <w:r>
        <w:t>beristirahat</w:t>
      </w:r>
    </w:p>
    <w:p w:rsidR="00270384" w:rsidRDefault="00270384">
      <w:pPr>
        <w:pStyle w:val="BodyText"/>
        <w:spacing w:before="10"/>
        <w:rPr>
          <w:sz w:val="20"/>
        </w:rPr>
      </w:pPr>
    </w:p>
    <w:p w:rsidR="00270384" w:rsidRDefault="00004F49">
      <w:pPr>
        <w:pStyle w:val="Heading1"/>
        <w:spacing w:before="87"/>
      </w:pPr>
      <w:r>
        <w:rPr>
          <w:color w:val="C00000"/>
        </w:rPr>
        <w:t>Hari 4: - Bethlehem – Jerusalem-Bethlehem</w:t>
      </w:r>
    </w:p>
    <w:p w:rsidR="00270384" w:rsidRDefault="00004F49">
      <w:pPr>
        <w:pStyle w:val="BodyText"/>
        <w:spacing w:before="24" w:line="249" w:lineRule="auto"/>
        <w:ind w:left="116" w:right="203"/>
      </w:pPr>
      <w:r>
        <w:t>Hari ini anda mengunjungi Bethlehem menuju Padang Gembala tempat para gembala menerima kabar kelahiran Yesus (Luk.2:8-20). Lalu mengunjungi Gereja Nativity yang didalamnya terdapat Gua Kelahiran Yesus (Luk.2:6-7), dan ke Gua Susu tempat Bunda Maria menyusu</w:t>
      </w:r>
      <w:r>
        <w:t xml:space="preserve">i bayi Yesus, kemudian makan siang. Dilanjutkan ke Jerusalem menuju Bukit Zion mengunjungi Makam Raja Daud, Ruang Perjamuan Terakhir (Mrk.14:12-55), Gereja Dormition Abbey dan Gereja Ayam Berkokok, Kemudian menuju Gereja St. Anna dan Kolam Bethesda tempat </w:t>
      </w:r>
      <w:r>
        <w:t xml:space="preserve">Yesus menyembuhkan orang lumpuh di hari Sabat (Yoh.5:1-18), dilanjutkan dengan Ibadah Jalan Salib di Via Dolorosa, dimulai dari Gereja Yesus Didera (Mat.27:27-31), </w:t>
      </w:r>
      <w:r>
        <w:lastRenderedPageBreak/>
        <w:t>sampai di Gereja Makam Suci Yesus atau Holy Sepulchre di Bukit Golgotha (Mat.27:32-66).</w:t>
      </w:r>
    </w:p>
    <w:p w:rsidR="00270384" w:rsidRDefault="00270384">
      <w:pPr>
        <w:pStyle w:val="BodyText"/>
        <w:spacing w:before="10"/>
        <w:rPr>
          <w:sz w:val="30"/>
        </w:rPr>
      </w:pPr>
    </w:p>
    <w:p w:rsidR="00270384" w:rsidRDefault="00004F49">
      <w:pPr>
        <w:pStyle w:val="Heading1"/>
        <w:spacing w:before="1"/>
        <w:ind w:left="114"/>
      </w:pPr>
      <w:r>
        <w:rPr>
          <w:color w:val="C00000"/>
        </w:rPr>
        <w:t>Har</w:t>
      </w:r>
      <w:r>
        <w:rPr>
          <w:color w:val="C00000"/>
        </w:rPr>
        <w:t>i 5: Jerusalem</w:t>
      </w:r>
    </w:p>
    <w:p w:rsidR="00270384" w:rsidRDefault="00004F49">
      <w:pPr>
        <w:pStyle w:val="BodyText"/>
        <w:spacing w:before="28" w:line="252" w:lineRule="auto"/>
        <w:ind w:left="114" w:right="116" w:hanging="1"/>
      </w:pPr>
      <w:r>
        <w:t>Pagi hari anda menuju Bukit Zaitun mengunjungi Bukit Kenaikan tempat Yesus diangkat ke Surga (Luk.24:50-53), Gereja Bapa Kami tempat Yesus mengajarkan Doa Bapa Kami (Luk.11:1-4), lalu melewati Jalan Minggu Palma (Yoh.12:12-15), sampai ke Gereja Tuhan Menan</w:t>
      </w:r>
      <w:r>
        <w:t>gis tempat Yesus menangisi dan meramalkan keruntuhan Jerusalem (Luk.19:41-44), dan ke Gereja Segala Bangsa di Getsemane tempat Yesus berdoa pada malam sebelum wafat-Nya. Lalu menuju Gereja Kelahiran Yohanes Pembaptis (Luk.1:57-66). Sebelum kembali ke hotel</w:t>
      </w:r>
      <w:r>
        <w:t>, anda akan mengunjungi Tembok Ratapan, tempat orang Yahudi berdoa dan meratapi kehancuran Bait Allah</w:t>
      </w:r>
    </w:p>
    <w:p w:rsidR="00270384" w:rsidRDefault="00270384">
      <w:pPr>
        <w:pStyle w:val="BodyText"/>
        <w:rPr>
          <w:sz w:val="30"/>
        </w:rPr>
      </w:pPr>
    </w:p>
    <w:p w:rsidR="00270384" w:rsidRDefault="00004F49">
      <w:pPr>
        <w:pStyle w:val="Heading1"/>
        <w:ind w:left="117"/>
      </w:pPr>
      <w:r>
        <w:rPr>
          <w:color w:val="C00000"/>
        </w:rPr>
        <w:t>Hari 6: Bethlehem – Tel Aviv- Old Yafo -Ben Gurion airport</w:t>
      </w:r>
    </w:p>
    <w:p w:rsidR="00270384" w:rsidRDefault="00004F49">
      <w:pPr>
        <w:pStyle w:val="BodyText"/>
        <w:spacing w:before="23" w:line="247" w:lineRule="auto"/>
        <w:ind w:left="126" w:right="654" w:hanging="10"/>
      </w:pPr>
      <w:r>
        <w:t>Setelah Sarapan, kunjungi Yad Vashem, museum holocaust, gereja-gereja Ein Karem, Old Jaffa da</w:t>
      </w:r>
      <w:r>
        <w:t>n Tel aviv setelah transfer makan siang dari bandara Ben Gurion</w:t>
      </w:r>
    </w:p>
    <w:p w:rsidR="00270384" w:rsidRDefault="00270384">
      <w:pPr>
        <w:pStyle w:val="BodyText"/>
        <w:spacing w:before="10"/>
        <w:rPr>
          <w:sz w:val="20"/>
        </w:rPr>
      </w:pPr>
    </w:p>
    <w:p w:rsidR="00270384" w:rsidRDefault="00004F49">
      <w:pPr>
        <w:pStyle w:val="BodyText"/>
        <w:spacing w:before="87" w:after="9" w:line="256" w:lineRule="auto"/>
        <w:ind w:left="3610" w:right="2540" w:hanging="730"/>
      </w:pPr>
      <w:r>
        <w:t>Rates per person on half double/triple occupancy Not valid in Jewish and Christian holidays</w:t>
      </w:r>
    </w:p>
    <w:tbl>
      <w:tblPr>
        <w:tblW w:w="0" w:type="auto"/>
        <w:tblInd w:w="4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52"/>
        <w:gridCol w:w="1248"/>
        <w:gridCol w:w="1330"/>
        <w:gridCol w:w="1244"/>
        <w:gridCol w:w="1330"/>
        <w:gridCol w:w="1244"/>
        <w:gridCol w:w="1134"/>
        <w:gridCol w:w="1134"/>
      </w:tblGrid>
      <w:tr w:rsidR="00270384">
        <w:trPr>
          <w:trHeight w:val="369"/>
        </w:trPr>
        <w:tc>
          <w:tcPr>
            <w:tcW w:w="1152" w:type="dxa"/>
          </w:tcPr>
          <w:p w:rsidR="00270384" w:rsidRDefault="00004F49">
            <w:pPr>
              <w:pStyle w:val="TableParagraph"/>
              <w:ind w:right="156"/>
              <w:rPr>
                <w:sz w:val="28"/>
              </w:rPr>
            </w:pPr>
            <w:r>
              <w:rPr>
                <w:sz w:val="28"/>
              </w:rPr>
              <w:t>45+3.5</w:t>
            </w:r>
          </w:p>
        </w:tc>
        <w:tc>
          <w:tcPr>
            <w:tcW w:w="1248" w:type="dxa"/>
          </w:tcPr>
          <w:p w:rsidR="00270384" w:rsidRDefault="00004F49">
            <w:pPr>
              <w:pStyle w:val="TableParagraph"/>
              <w:ind w:left="0" w:right="219"/>
              <w:jc w:val="right"/>
              <w:rPr>
                <w:sz w:val="28"/>
              </w:rPr>
            </w:pPr>
            <w:r>
              <w:rPr>
                <w:w w:val="95"/>
                <w:sz w:val="28"/>
              </w:rPr>
              <w:t>40+2.5</w:t>
            </w:r>
          </w:p>
        </w:tc>
        <w:tc>
          <w:tcPr>
            <w:tcW w:w="1330" w:type="dxa"/>
          </w:tcPr>
          <w:p w:rsidR="00270384" w:rsidRDefault="00004F49">
            <w:pPr>
              <w:pStyle w:val="TableParagraph"/>
              <w:ind w:left="251" w:right="243"/>
              <w:rPr>
                <w:sz w:val="28"/>
              </w:rPr>
            </w:pPr>
            <w:r>
              <w:rPr>
                <w:sz w:val="28"/>
              </w:rPr>
              <w:t>35+2.5</w:t>
            </w:r>
          </w:p>
        </w:tc>
        <w:tc>
          <w:tcPr>
            <w:tcW w:w="1244" w:type="dxa"/>
          </w:tcPr>
          <w:p w:rsidR="00270384" w:rsidRDefault="00004F49">
            <w:pPr>
              <w:pStyle w:val="TableParagraph"/>
              <w:ind w:left="208" w:right="199"/>
              <w:rPr>
                <w:sz w:val="28"/>
              </w:rPr>
            </w:pPr>
            <w:r>
              <w:rPr>
                <w:sz w:val="28"/>
              </w:rPr>
              <w:t>30+2.5</w:t>
            </w:r>
          </w:p>
        </w:tc>
        <w:tc>
          <w:tcPr>
            <w:tcW w:w="1330" w:type="dxa"/>
          </w:tcPr>
          <w:p w:rsidR="00270384" w:rsidRDefault="00004F49">
            <w:pPr>
              <w:pStyle w:val="TableParagraph"/>
              <w:ind w:left="249" w:right="244"/>
              <w:rPr>
                <w:sz w:val="28"/>
              </w:rPr>
            </w:pPr>
            <w:r>
              <w:rPr>
                <w:sz w:val="28"/>
              </w:rPr>
              <w:t>25+1.5</w:t>
            </w:r>
          </w:p>
        </w:tc>
        <w:tc>
          <w:tcPr>
            <w:tcW w:w="1244" w:type="dxa"/>
          </w:tcPr>
          <w:p w:rsidR="00270384" w:rsidRDefault="00004F49">
            <w:pPr>
              <w:pStyle w:val="TableParagraph"/>
              <w:ind w:left="207" w:right="201"/>
              <w:rPr>
                <w:sz w:val="28"/>
              </w:rPr>
            </w:pPr>
            <w:r>
              <w:rPr>
                <w:sz w:val="28"/>
              </w:rPr>
              <w:t>20+1.5</w:t>
            </w:r>
          </w:p>
        </w:tc>
        <w:tc>
          <w:tcPr>
            <w:tcW w:w="1134" w:type="dxa"/>
          </w:tcPr>
          <w:p w:rsidR="00270384" w:rsidRDefault="00004F49">
            <w:pPr>
              <w:pStyle w:val="TableParagraph"/>
              <w:ind w:left="152"/>
              <w:rPr>
                <w:sz w:val="28"/>
              </w:rPr>
            </w:pPr>
            <w:r>
              <w:rPr>
                <w:sz w:val="28"/>
              </w:rPr>
              <w:t>15+1.5</w:t>
            </w:r>
          </w:p>
        </w:tc>
        <w:tc>
          <w:tcPr>
            <w:tcW w:w="1134" w:type="dxa"/>
          </w:tcPr>
          <w:p w:rsidR="00270384" w:rsidRDefault="00004F49">
            <w:pPr>
              <w:pStyle w:val="TableParagraph"/>
              <w:ind w:left="146"/>
              <w:rPr>
                <w:sz w:val="28"/>
              </w:rPr>
            </w:pPr>
            <w:r>
              <w:rPr>
                <w:sz w:val="28"/>
              </w:rPr>
              <w:t>s/s</w:t>
            </w:r>
          </w:p>
        </w:tc>
      </w:tr>
      <w:tr w:rsidR="00270384">
        <w:trPr>
          <w:trHeight w:val="364"/>
        </w:trPr>
        <w:tc>
          <w:tcPr>
            <w:tcW w:w="1152" w:type="dxa"/>
          </w:tcPr>
          <w:p w:rsidR="00270384" w:rsidRDefault="00004F49">
            <w:pPr>
              <w:pStyle w:val="TableParagraph"/>
              <w:ind w:right="151"/>
              <w:rPr>
                <w:sz w:val="28"/>
              </w:rPr>
            </w:pPr>
            <w:r>
              <w:rPr>
                <w:sz w:val="28"/>
              </w:rPr>
              <w:t>$ 503</w:t>
            </w:r>
          </w:p>
        </w:tc>
        <w:tc>
          <w:tcPr>
            <w:tcW w:w="1248" w:type="dxa"/>
          </w:tcPr>
          <w:p w:rsidR="00270384" w:rsidRDefault="00004F49">
            <w:pPr>
              <w:pStyle w:val="TableParagraph"/>
              <w:ind w:left="0" w:right="295"/>
              <w:jc w:val="right"/>
              <w:rPr>
                <w:sz w:val="28"/>
              </w:rPr>
            </w:pPr>
            <w:r>
              <w:rPr>
                <w:sz w:val="28"/>
              </w:rPr>
              <w:t>$ 506</w:t>
            </w:r>
          </w:p>
        </w:tc>
        <w:tc>
          <w:tcPr>
            <w:tcW w:w="1330" w:type="dxa"/>
          </w:tcPr>
          <w:p w:rsidR="00270384" w:rsidRDefault="00004F49">
            <w:pPr>
              <w:pStyle w:val="TableParagraph"/>
              <w:ind w:left="251" w:right="241"/>
              <w:rPr>
                <w:sz w:val="28"/>
              </w:rPr>
            </w:pPr>
            <w:r>
              <w:rPr>
                <w:sz w:val="28"/>
              </w:rPr>
              <w:t>$ 527</w:t>
            </w:r>
          </w:p>
        </w:tc>
        <w:tc>
          <w:tcPr>
            <w:tcW w:w="1244" w:type="dxa"/>
          </w:tcPr>
          <w:p w:rsidR="00270384" w:rsidRDefault="00004F49">
            <w:pPr>
              <w:pStyle w:val="TableParagraph"/>
              <w:ind w:left="206" w:right="201"/>
              <w:rPr>
                <w:sz w:val="28"/>
              </w:rPr>
            </w:pPr>
            <w:r>
              <w:rPr>
                <w:sz w:val="28"/>
              </w:rPr>
              <w:t>$ 547</w:t>
            </w:r>
          </w:p>
        </w:tc>
        <w:tc>
          <w:tcPr>
            <w:tcW w:w="1330" w:type="dxa"/>
          </w:tcPr>
          <w:p w:rsidR="00270384" w:rsidRDefault="00004F49">
            <w:pPr>
              <w:pStyle w:val="TableParagraph"/>
              <w:ind w:left="250" w:right="244"/>
              <w:rPr>
                <w:sz w:val="28"/>
              </w:rPr>
            </w:pPr>
            <w:r>
              <w:rPr>
                <w:sz w:val="28"/>
              </w:rPr>
              <w:t>$ 558</w:t>
            </w:r>
          </w:p>
        </w:tc>
        <w:tc>
          <w:tcPr>
            <w:tcW w:w="1244" w:type="dxa"/>
          </w:tcPr>
          <w:p w:rsidR="00270384" w:rsidRDefault="00004F49">
            <w:pPr>
              <w:pStyle w:val="TableParagraph"/>
              <w:ind w:left="204" w:right="201"/>
              <w:rPr>
                <w:sz w:val="28"/>
              </w:rPr>
            </w:pPr>
            <w:r>
              <w:rPr>
                <w:sz w:val="28"/>
              </w:rPr>
              <w:t>$ 595</w:t>
            </w:r>
          </w:p>
        </w:tc>
        <w:tc>
          <w:tcPr>
            <w:tcW w:w="1134" w:type="dxa"/>
          </w:tcPr>
          <w:p w:rsidR="00270384" w:rsidRDefault="00004F49">
            <w:pPr>
              <w:pStyle w:val="TableParagraph"/>
              <w:ind w:left="149"/>
              <w:rPr>
                <w:sz w:val="28"/>
              </w:rPr>
            </w:pPr>
            <w:r>
              <w:rPr>
                <w:sz w:val="28"/>
              </w:rPr>
              <w:t>$ 652</w:t>
            </w:r>
          </w:p>
        </w:tc>
        <w:tc>
          <w:tcPr>
            <w:tcW w:w="1134" w:type="dxa"/>
          </w:tcPr>
          <w:p w:rsidR="00270384" w:rsidRDefault="00004F49">
            <w:pPr>
              <w:pStyle w:val="TableParagraph"/>
              <w:ind w:left="148"/>
              <w:rPr>
                <w:sz w:val="28"/>
              </w:rPr>
            </w:pPr>
            <w:r>
              <w:rPr>
                <w:sz w:val="28"/>
              </w:rPr>
              <w:t>$ 185</w:t>
            </w:r>
          </w:p>
        </w:tc>
      </w:tr>
    </w:tbl>
    <w:p w:rsidR="00270384" w:rsidRDefault="00270384">
      <w:pPr>
        <w:pStyle w:val="BodyText"/>
        <w:rPr>
          <w:sz w:val="20"/>
        </w:rPr>
      </w:pPr>
    </w:p>
    <w:p w:rsidR="00270384" w:rsidRDefault="00270384">
      <w:pPr>
        <w:pStyle w:val="BodyText"/>
        <w:rPr>
          <w:sz w:val="20"/>
        </w:rPr>
      </w:pPr>
    </w:p>
    <w:p w:rsidR="00270384" w:rsidRDefault="00270384">
      <w:pPr>
        <w:pStyle w:val="BodyText"/>
        <w:spacing w:before="5"/>
        <w:rPr>
          <w:sz w:val="23"/>
        </w:rPr>
      </w:pPr>
    </w:p>
    <w:tbl>
      <w:tblPr>
        <w:tblW w:w="0" w:type="auto"/>
        <w:tblInd w:w="4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52"/>
        <w:gridCol w:w="1248"/>
        <w:gridCol w:w="1330"/>
        <w:gridCol w:w="1244"/>
        <w:gridCol w:w="1330"/>
        <w:gridCol w:w="1244"/>
        <w:gridCol w:w="1134"/>
        <w:gridCol w:w="1134"/>
      </w:tblGrid>
      <w:tr w:rsidR="00270384">
        <w:trPr>
          <w:trHeight w:val="369"/>
        </w:trPr>
        <w:tc>
          <w:tcPr>
            <w:tcW w:w="1152" w:type="dxa"/>
          </w:tcPr>
          <w:p w:rsidR="00270384" w:rsidRDefault="00004F49">
            <w:pPr>
              <w:pStyle w:val="TableParagraph"/>
              <w:spacing w:before="17"/>
              <w:ind w:right="148"/>
              <w:rPr>
                <w:sz w:val="28"/>
              </w:rPr>
            </w:pPr>
            <w:r>
              <w:rPr>
                <w:sz w:val="28"/>
              </w:rPr>
              <w:t>45+2</w:t>
            </w:r>
          </w:p>
        </w:tc>
        <w:tc>
          <w:tcPr>
            <w:tcW w:w="1248" w:type="dxa"/>
          </w:tcPr>
          <w:p w:rsidR="00270384" w:rsidRDefault="00004F49">
            <w:pPr>
              <w:pStyle w:val="TableParagraph"/>
              <w:spacing w:before="17"/>
              <w:ind w:left="296" w:right="273"/>
              <w:rPr>
                <w:sz w:val="28"/>
              </w:rPr>
            </w:pPr>
            <w:r>
              <w:rPr>
                <w:sz w:val="28"/>
              </w:rPr>
              <w:t>40+2</w:t>
            </w:r>
          </w:p>
        </w:tc>
        <w:tc>
          <w:tcPr>
            <w:tcW w:w="1330" w:type="dxa"/>
          </w:tcPr>
          <w:p w:rsidR="00270384" w:rsidRDefault="00004F49">
            <w:pPr>
              <w:pStyle w:val="TableParagraph"/>
              <w:spacing w:before="17"/>
              <w:ind w:left="251" w:right="237"/>
              <w:rPr>
                <w:sz w:val="28"/>
              </w:rPr>
            </w:pPr>
            <w:r>
              <w:rPr>
                <w:sz w:val="28"/>
              </w:rPr>
              <w:t>35+2</w:t>
            </w:r>
          </w:p>
        </w:tc>
        <w:tc>
          <w:tcPr>
            <w:tcW w:w="1244" w:type="dxa"/>
          </w:tcPr>
          <w:p w:rsidR="00270384" w:rsidRDefault="00004F49">
            <w:pPr>
              <w:pStyle w:val="TableParagraph"/>
              <w:spacing w:before="17"/>
              <w:ind w:left="208" w:right="198"/>
              <w:rPr>
                <w:sz w:val="28"/>
              </w:rPr>
            </w:pPr>
            <w:r>
              <w:rPr>
                <w:sz w:val="28"/>
              </w:rPr>
              <w:t>30+2</w:t>
            </w:r>
          </w:p>
        </w:tc>
        <w:tc>
          <w:tcPr>
            <w:tcW w:w="1330" w:type="dxa"/>
          </w:tcPr>
          <w:p w:rsidR="00270384" w:rsidRDefault="00004F49">
            <w:pPr>
              <w:pStyle w:val="TableParagraph"/>
              <w:spacing w:before="17"/>
              <w:ind w:left="378" w:right="0"/>
              <w:jc w:val="left"/>
              <w:rPr>
                <w:sz w:val="28"/>
              </w:rPr>
            </w:pPr>
            <w:r>
              <w:rPr>
                <w:sz w:val="28"/>
              </w:rPr>
              <w:t>25+2</w:t>
            </w:r>
          </w:p>
        </w:tc>
        <w:tc>
          <w:tcPr>
            <w:tcW w:w="1244" w:type="dxa"/>
          </w:tcPr>
          <w:p w:rsidR="00270384" w:rsidRDefault="00004F49">
            <w:pPr>
              <w:pStyle w:val="TableParagraph"/>
              <w:spacing w:before="17"/>
              <w:ind w:left="334" w:right="0"/>
              <w:jc w:val="left"/>
              <w:rPr>
                <w:sz w:val="28"/>
              </w:rPr>
            </w:pPr>
            <w:r>
              <w:rPr>
                <w:sz w:val="28"/>
              </w:rPr>
              <w:t>20+2</w:t>
            </w:r>
          </w:p>
        </w:tc>
        <w:tc>
          <w:tcPr>
            <w:tcW w:w="1134" w:type="dxa"/>
          </w:tcPr>
          <w:p w:rsidR="00270384" w:rsidRDefault="00004F49">
            <w:pPr>
              <w:pStyle w:val="TableParagraph"/>
              <w:spacing w:before="17"/>
              <w:ind w:left="152" w:right="148"/>
              <w:rPr>
                <w:sz w:val="28"/>
              </w:rPr>
            </w:pPr>
            <w:r>
              <w:rPr>
                <w:sz w:val="28"/>
              </w:rPr>
              <w:t>15+2</w:t>
            </w:r>
          </w:p>
        </w:tc>
        <w:tc>
          <w:tcPr>
            <w:tcW w:w="1134" w:type="dxa"/>
          </w:tcPr>
          <w:p w:rsidR="00270384" w:rsidRDefault="00004F49">
            <w:pPr>
              <w:pStyle w:val="TableParagraph"/>
              <w:spacing w:before="17"/>
              <w:ind w:left="146"/>
              <w:rPr>
                <w:sz w:val="28"/>
              </w:rPr>
            </w:pPr>
            <w:r>
              <w:rPr>
                <w:sz w:val="28"/>
              </w:rPr>
              <w:t>s/s</w:t>
            </w:r>
          </w:p>
        </w:tc>
      </w:tr>
      <w:tr w:rsidR="00270384">
        <w:trPr>
          <w:trHeight w:val="369"/>
        </w:trPr>
        <w:tc>
          <w:tcPr>
            <w:tcW w:w="1152" w:type="dxa"/>
          </w:tcPr>
          <w:p w:rsidR="00270384" w:rsidRDefault="00004F49">
            <w:pPr>
              <w:pStyle w:val="TableParagraph"/>
              <w:spacing w:before="17"/>
              <w:ind w:right="151"/>
              <w:rPr>
                <w:sz w:val="28"/>
              </w:rPr>
            </w:pPr>
            <w:r>
              <w:rPr>
                <w:sz w:val="28"/>
              </w:rPr>
              <w:t>$ 490</w:t>
            </w:r>
          </w:p>
        </w:tc>
        <w:tc>
          <w:tcPr>
            <w:tcW w:w="1248" w:type="dxa"/>
          </w:tcPr>
          <w:p w:rsidR="00270384" w:rsidRDefault="00004F49">
            <w:pPr>
              <w:pStyle w:val="TableParagraph"/>
              <w:spacing w:before="17"/>
              <w:ind w:left="296" w:right="277"/>
              <w:rPr>
                <w:sz w:val="28"/>
              </w:rPr>
            </w:pPr>
            <w:r>
              <w:rPr>
                <w:sz w:val="28"/>
              </w:rPr>
              <w:t>$ 501</w:t>
            </w:r>
          </w:p>
        </w:tc>
        <w:tc>
          <w:tcPr>
            <w:tcW w:w="1330" w:type="dxa"/>
          </w:tcPr>
          <w:p w:rsidR="00270384" w:rsidRDefault="00004F49">
            <w:pPr>
              <w:pStyle w:val="TableParagraph"/>
              <w:spacing w:before="17"/>
              <w:ind w:left="251" w:right="240"/>
              <w:rPr>
                <w:sz w:val="28"/>
              </w:rPr>
            </w:pPr>
            <w:r>
              <w:rPr>
                <w:sz w:val="28"/>
              </w:rPr>
              <w:t>$ 521</w:t>
            </w:r>
          </w:p>
        </w:tc>
        <w:tc>
          <w:tcPr>
            <w:tcW w:w="1244" w:type="dxa"/>
          </w:tcPr>
          <w:p w:rsidR="00270384" w:rsidRDefault="00004F49">
            <w:pPr>
              <w:pStyle w:val="TableParagraph"/>
              <w:spacing w:before="17"/>
              <w:ind w:left="206" w:right="201"/>
              <w:rPr>
                <w:sz w:val="28"/>
              </w:rPr>
            </w:pPr>
            <w:r>
              <w:rPr>
                <w:sz w:val="28"/>
              </w:rPr>
              <w:t>$ 540</w:t>
            </w:r>
          </w:p>
        </w:tc>
        <w:tc>
          <w:tcPr>
            <w:tcW w:w="1330" w:type="dxa"/>
          </w:tcPr>
          <w:p w:rsidR="00270384" w:rsidRDefault="00004F49">
            <w:pPr>
              <w:pStyle w:val="TableParagraph"/>
              <w:spacing w:before="17"/>
              <w:ind w:left="350" w:right="0"/>
              <w:jc w:val="left"/>
              <w:rPr>
                <w:sz w:val="28"/>
              </w:rPr>
            </w:pPr>
            <w:r>
              <w:rPr>
                <w:sz w:val="28"/>
              </w:rPr>
              <w:t>$ 567</w:t>
            </w:r>
          </w:p>
        </w:tc>
        <w:tc>
          <w:tcPr>
            <w:tcW w:w="1244" w:type="dxa"/>
          </w:tcPr>
          <w:p w:rsidR="00270384" w:rsidRDefault="00004F49">
            <w:pPr>
              <w:pStyle w:val="TableParagraph"/>
              <w:spacing w:before="17"/>
              <w:ind w:left="306" w:right="0"/>
              <w:jc w:val="left"/>
              <w:rPr>
                <w:sz w:val="28"/>
              </w:rPr>
            </w:pPr>
            <w:r>
              <w:rPr>
                <w:sz w:val="28"/>
              </w:rPr>
              <w:t>$ 607</w:t>
            </w:r>
          </w:p>
        </w:tc>
        <w:tc>
          <w:tcPr>
            <w:tcW w:w="1134" w:type="dxa"/>
          </w:tcPr>
          <w:p w:rsidR="00270384" w:rsidRDefault="00004F49">
            <w:pPr>
              <w:pStyle w:val="TableParagraph"/>
              <w:spacing w:before="17"/>
              <w:ind w:left="149"/>
              <w:rPr>
                <w:sz w:val="28"/>
              </w:rPr>
            </w:pPr>
            <w:r>
              <w:rPr>
                <w:sz w:val="28"/>
              </w:rPr>
              <w:t>$ 670</w:t>
            </w:r>
          </w:p>
        </w:tc>
        <w:tc>
          <w:tcPr>
            <w:tcW w:w="1134" w:type="dxa"/>
          </w:tcPr>
          <w:p w:rsidR="00270384" w:rsidRDefault="00004F49">
            <w:pPr>
              <w:pStyle w:val="TableParagraph"/>
              <w:spacing w:before="17"/>
              <w:ind w:left="148"/>
              <w:rPr>
                <w:sz w:val="28"/>
              </w:rPr>
            </w:pPr>
            <w:r>
              <w:rPr>
                <w:sz w:val="28"/>
              </w:rPr>
              <w:t>$ 185</w:t>
            </w:r>
          </w:p>
        </w:tc>
      </w:tr>
    </w:tbl>
    <w:p w:rsidR="00270384" w:rsidRDefault="00270384">
      <w:pPr>
        <w:pStyle w:val="BodyText"/>
        <w:rPr>
          <w:sz w:val="30"/>
        </w:rPr>
      </w:pPr>
    </w:p>
    <w:p w:rsidR="00270384" w:rsidRPr="00E73EED" w:rsidRDefault="00004F49">
      <w:pPr>
        <w:pStyle w:val="BodyText"/>
        <w:spacing w:before="1"/>
        <w:ind w:left="311"/>
        <w:rPr>
          <w:b/>
        </w:rPr>
      </w:pPr>
      <w:r w:rsidRPr="00E73EED">
        <w:rPr>
          <w:b/>
          <w:u w:val="single"/>
        </w:rPr>
        <w:t>Prices Included:</w:t>
      </w:r>
    </w:p>
    <w:p w:rsidR="00270384" w:rsidRDefault="00004F49">
      <w:pPr>
        <w:pStyle w:val="ListParagraph"/>
        <w:numPr>
          <w:ilvl w:val="0"/>
          <w:numId w:val="2"/>
        </w:numPr>
        <w:tabs>
          <w:tab w:val="left" w:pos="822"/>
          <w:tab w:val="left" w:pos="823"/>
        </w:tabs>
        <w:spacing w:before="90"/>
        <w:ind w:hanging="361"/>
        <w:rPr>
          <w:sz w:val="28"/>
        </w:rPr>
      </w:pPr>
      <w:r>
        <w:rPr>
          <w:sz w:val="28"/>
        </w:rPr>
        <w:t>Pick up Ben Gurion airport and end of services Ben Gurion</w:t>
      </w:r>
      <w:r>
        <w:rPr>
          <w:spacing w:val="-34"/>
          <w:sz w:val="28"/>
        </w:rPr>
        <w:t xml:space="preserve"> </w:t>
      </w:r>
      <w:r>
        <w:rPr>
          <w:sz w:val="28"/>
        </w:rPr>
        <w:t>Airport</w:t>
      </w:r>
    </w:p>
    <w:p w:rsidR="00270384" w:rsidRDefault="00004F49">
      <w:pPr>
        <w:pStyle w:val="ListParagraph"/>
        <w:numPr>
          <w:ilvl w:val="0"/>
          <w:numId w:val="2"/>
        </w:numPr>
        <w:tabs>
          <w:tab w:val="left" w:pos="822"/>
          <w:tab w:val="left" w:pos="823"/>
        </w:tabs>
        <w:spacing w:before="22"/>
        <w:ind w:hanging="361"/>
        <w:rPr>
          <w:sz w:val="28"/>
        </w:rPr>
      </w:pPr>
      <w:r>
        <w:rPr>
          <w:sz w:val="28"/>
        </w:rPr>
        <w:t>2 Nights Tiberias/Nazareth: Nazareth Plaza or Club hotel or</w:t>
      </w:r>
      <w:r>
        <w:rPr>
          <w:spacing w:val="-29"/>
          <w:sz w:val="28"/>
        </w:rPr>
        <w:t xml:space="preserve"> </w:t>
      </w:r>
      <w:r>
        <w:rPr>
          <w:sz w:val="28"/>
        </w:rPr>
        <w:t>similar</w:t>
      </w:r>
    </w:p>
    <w:p w:rsidR="00270384" w:rsidRDefault="00004F49">
      <w:pPr>
        <w:pStyle w:val="ListParagraph"/>
        <w:numPr>
          <w:ilvl w:val="0"/>
          <w:numId w:val="2"/>
        </w:numPr>
        <w:tabs>
          <w:tab w:val="left" w:pos="822"/>
          <w:tab w:val="left" w:pos="823"/>
        </w:tabs>
        <w:ind w:hanging="361"/>
        <w:rPr>
          <w:sz w:val="28"/>
        </w:rPr>
      </w:pPr>
      <w:r>
        <w:rPr>
          <w:sz w:val="28"/>
        </w:rPr>
        <w:t>3 Nights Bethlehem: Oriental Palace or</w:t>
      </w:r>
      <w:r>
        <w:rPr>
          <w:spacing w:val="-2"/>
          <w:sz w:val="28"/>
        </w:rPr>
        <w:t xml:space="preserve"> </w:t>
      </w:r>
      <w:r>
        <w:rPr>
          <w:sz w:val="28"/>
        </w:rPr>
        <w:t>similar</w:t>
      </w:r>
    </w:p>
    <w:p w:rsidR="00270384" w:rsidRDefault="00004F49">
      <w:pPr>
        <w:pStyle w:val="ListParagraph"/>
        <w:numPr>
          <w:ilvl w:val="0"/>
          <w:numId w:val="2"/>
        </w:numPr>
        <w:tabs>
          <w:tab w:val="left" w:pos="822"/>
          <w:tab w:val="left" w:pos="823"/>
        </w:tabs>
        <w:spacing w:before="23"/>
        <w:ind w:hanging="361"/>
        <w:rPr>
          <w:sz w:val="28"/>
        </w:rPr>
      </w:pPr>
      <w:r>
        <w:rPr>
          <w:sz w:val="28"/>
        </w:rPr>
        <w:t>6 Lunches and 5 dinners in</w:t>
      </w:r>
      <w:r>
        <w:rPr>
          <w:spacing w:val="-2"/>
          <w:sz w:val="28"/>
        </w:rPr>
        <w:t xml:space="preserve"> </w:t>
      </w:r>
      <w:r>
        <w:rPr>
          <w:sz w:val="28"/>
        </w:rPr>
        <w:t>Israel</w:t>
      </w:r>
    </w:p>
    <w:p w:rsidR="00270384" w:rsidRDefault="00004F49">
      <w:pPr>
        <w:pStyle w:val="ListParagraph"/>
        <w:numPr>
          <w:ilvl w:val="0"/>
          <w:numId w:val="2"/>
        </w:numPr>
        <w:tabs>
          <w:tab w:val="left" w:pos="822"/>
          <w:tab w:val="left" w:pos="823"/>
        </w:tabs>
        <w:ind w:hanging="361"/>
        <w:rPr>
          <w:sz w:val="28"/>
        </w:rPr>
      </w:pPr>
      <w:r>
        <w:rPr>
          <w:sz w:val="28"/>
        </w:rPr>
        <w:t>Wifi A/C Bus with professional licensed Indonesian speak guide based on</w:t>
      </w:r>
      <w:r>
        <w:rPr>
          <w:spacing w:val="-29"/>
          <w:sz w:val="28"/>
        </w:rPr>
        <w:t xml:space="preserve"> </w:t>
      </w:r>
      <w:r>
        <w:rPr>
          <w:sz w:val="28"/>
        </w:rPr>
        <w:t>availability</w:t>
      </w:r>
    </w:p>
    <w:p w:rsidR="00270384" w:rsidRDefault="00004F49">
      <w:pPr>
        <w:pStyle w:val="ListParagraph"/>
        <w:numPr>
          <w:ilvl w:val="0"/>
          <w:numId w:val="2"/>
        </w:numPr>
        <w:tabs>
          <w:tab w:val="left" w:pos="822"/>
          <w:tab w:val="left" w:pos="823"/>
        </w:tabs>
        <w:spacing w:before="22"/>
        <w:ind w:hanging="361"/>
        <w:rPr>
          <w:sz w:val="28"/>
        </w:rPr>
      </w:pPr>
      <w:r>
        <w:rPr>
          <w:sz w:val="28"/>
        </w:rPr>
        <w:t>On arrival, hat and ma</w:t>
      </w:r>
      <w:r>
        <w:rPr>
          <w:sz w:val="28"/>
        </w:rPr>
        <w:t>p of Holy land, Pilgrims certificate,2 mineral water per</w:t>
      </w:r>
      <w:r>
        <w:rPr>
          <w:spacing w:val="-21"/>
          <w:sz w:val="28"/>
        </w:rPr>
        <w:t xml:space="preserve"> </w:t>
      </w:r>
      <w:r>
        <w:rPr>
          <w:sz w:val="28"/>
        </w:rPr>
        <w:t>day,</w:t>
      </w:r>
    </w:p>
    <w:p w:rsidR="00270384" w:rsidRDefault="00004F49">
      <w:pPr>
        <w:pStyle w:val="ListParagraph"/>
        <w:numPr>
          <w:ilvl w:val="0"/>
          <w:numId w:val="2"/>
        </w:numPr>
        <w:tabs>
          <w:tab w:val="left" w:pos="822"/>
          <w:tab w:val="left" w:pos="823"/>
        </w:tabs>
        <w:ind w:hanging="361"/>
        <w:rPr>
          <w:sz w:val="28"/>
        </w:rPr>
      </w:pPr>
      <w:r>
        <w:rPr>
          <w:sz w:val="28"/>
          <w:shd w:val="clear" w:color="auto" w:fill="00FF00"/>
        </w:rPr>
        <w:t>1 Magnetic picture per</w:t>
      </w:r>
      <w:r>
        <w:rPr>
          <w:spacing w:val="-1"/>
          <w:sz w:val="28"/>
          <w:shd w:val="clear" w:color="auto" w:fill="00FF00"/>
        </w:rPr>
        <w:t xml:space="preserve"> </w:t>
      </w:r>
      <w:r>
        <w:rPr>
          <w:sz w:val="28"/>
          <w:shd w:val="clear" w:color="auto" w:fill="00FF00"/>
        </w:rPr>
        <w:t>person</w:t>
      </w:r>
    </w:p>
    <w:p w:rsidR="00270384" w:rsidRDefault="00004F49">
      <w:pPr>
        <w:pStyle w:val="ListParagraph"/>
        <w:numPr>
          <w:ilvl w:val="0"/>
          <w:numId w:val="2"/>
        </w:numPr>
        <w:tabs>
          <w:tab w:val="left" w:pos="822"/>
          <w:tab w:val="left" w:pos="823"/>
        </w:tabs>
        <w:spacing w:before="23" w:line="247" w:lineRule="auto"/>
        <w:ind w:right="139"/>
        <w:rPr>
          <w:sz w:val="28"/>
        </w:rPr>
      </w:pPr>
      <w:r>
        <w:rPr>
          <w:sz w:val="28"/>
        </w:rPr>
        <w:t>Regular entrances Main churches, Boat ride, Mt Tabor, Boat ride, Aqueduct in Caesarea, Qumran, Garden</w:t>
      </w:r>
      <w:r>
        <w:rPr>
          <w:spacing w:val="-1"/>
          <w:sz w:val="28"/>
        </w:rPr>
        <w:t xml:space="preserve"> </w:t>
      </w:r>
      <w:r>
        <w:rPr>
          <w:sz w:val="28"/>
        </w:rPr>
        <w:t>Tomb</w:t>
      </w:r>
    </w:p>
    <w:p w:rsidR="00270384" w:rsidRDefault="00270384">
      <w:pPr>
        <w:pStyle w:val="BodyText"/>
        <w:rPr>
          <w:sz w:val="30"/>
        </w:rPr>
      </w:pPr>
    </w:p>
    <w:p w:rsidR="00270384" w:rsidRPr="00E73EED" w:rsidRDefault="00004F49">
      <w:pPr>
        <w:pStyle w:val="BodyText"/>
        <w:ind w:left="101"/>
        <w:rPr>
          <w:b/>
        </w:rPr>
      </w:pPr>
      <w:r w:rsidRPr="00E73EED">
        <w:rPr>
          <w:b/>
          <w:u w:val="single"/>
        </w:rPr>
        <w:t>Prices excluded:</w:t>
      </w:r>
    </w:p>
    <w:p w:rsidR="00270384" w:rsidRDefault="00004F49">
      <w:pPr>
        <w:pStyle w:val="ListParagraph"/>
        <w:numPr>
          <w:ilvl w:val="0"/>
          <w:numId w:val="2"/>
        </w:numPr>
        <w:tabs>
          <w:tab w:val="left" w:pos="822"/>
          <w:tab w:val="left" w:pos="823"/>
        </w:tabs>
        <w:spacing w:before="90"/>
        <w:ind w:hanging="361"/>
        <w:rPr>
          <w:sz w:val="28"/>
        </w:rPr>
      </w:pPr>
      <w:r>
        <w:rPr>
          <w:sz w:val="28"/>
        </w:rPr>
        <w:t>Visa for Israel: us 12</w:t>
      </w:r>
      <w:r>
        <w:rPr>
          <w:spacing w:val="-1"/>
          <w:sz w:val="28"/>
        </w:rPr>
        <w:t xml:space="preserve"> </w:t>
      </w:r>
      <w:r>
        <w:rPr>
          <w:sz w:val="28"/>
        </w:rPr>
        <w:t>pp</w:t>
      </w:r>
    </w:p>
    <w:p w:rsidR="00270384" w:rsidRDefault="00004F49">
      <w:pPr>
        <w:pStyle w:val="ListParagraph"/>
        <w:numPr>
          <w:ilvl w:val="0"/>
          <w:numId w:val="2"/>
        </w:numPr>
        <w:tabs>
          <w:tab w:val="left" w:pos="822"/>
          <w:tab w:val="left" w:pos="823"/>
        </w:tabs>
        <w:spacing w:before="22" w:line="247" w:lineRule="auto"/>
        <w:ind w:right="651"/>
        <w:rPr>
          <w:sz w:val="28"/>
        </w:rPr>
      </w:pPr>
      <w:r>
        <w:rPr>
          <w:sz w:val="28"/>
        </w:rPr>
        <w:lastRenderedPageBreak/>
        <w:t>Tips to guide, driver, restaurants, and porters. Personal items and extra beverages on meals</w:t>
      </w:r>
    </w:p>
    <w:p w:rsidR="00270384" w:rsidRDefault="00004F49">
      <w:pPr>
        <w:pStyle w:val="ListParagraph"/>
        <w:numPr>
          <w:ilvl w:val="0"/>
          <w:numId w:val="2"/>
        </w:numPr>
        <w:tabs>
          <w:tab w:val="left" w:pos="822"/>
          <w:tab w:val="left" w:pos="823"/>
        </w:tabs>
        <w:spacing w:before="18" w:line="247" w:lineRule="auto"/>
        <w:ind w:right="788"/>
        <w:rPr>
          <w:sz w:val="28"/>
        </w:rPr>
      </w:pPr>
      <w:r>
        <w:rPr>
          <w:sz w:val="28"/>
        </w:rPr>
        <w:t>Cable Jericho, Caesarea park, Masada, Western Tunnel, Temple institute, Nazareth Village, Mt</w:t>
      </w:r>
      <w:r>
        <w:rPr>
          <w:spacing w:val="-1"/>
          <w:sz w:val="28"/>
        </w:rPr>
        <w:t xml:space="preserve"> </w:t>
      </w:r>
      <w:r>
        <w:rPr>
          <w:sz w:val="28"/>
        </w:rPr>
        <w:t>Hermon</w:t>
      </w:r>
    </w:p>
    <w:p w:rsidR="00270384" w:rsidRDefault="00004F49">
      <w:pPr>
        <w:pStyle w:val="ListParagraph"/>
        <w:numPr>
          <w:ilvl w:val="0"/>
          <w:numId w:val="2"/>
        </w:numPr>
        <w:tabs>
          <w:tab w:val="left" w:pos="822"/>
          <w:tab w:val="left" w:pos="823"/>
        </w:tabs>
        <w:spacing w:before="17"/>
        <w:ind w:hanging="361"/>
        <w:rPr>
          <w:sz w:val="28"/>
        </w:rPr>
      </w:pPr>
      <w:r>
        <w:rPr>
          <w:sz w:val="28"/>
        </w:rPr>
        <w:t>If need dinner before flight departure supplement us 20 per</w:t>
      </w:r>
      <w:r>
        <w:rPr>
          <w:spacing w:val="-8"/>
          <w:sz w:val="28"/>
        </w:rPr>
        <w:t xml:space="preserve"> </w:t>
      </w:r>
      <w:r>
        <w:rPr>
          <w:sz w:val="28"/>
        </w:rPr>
        <w:t>per</w:t>
      </w:r>
      <w:r>
        <w:rPr>
          <w:sz w:val="28"/>
        </w:rPr>
        <w:t>son</w:t>
      </w:r>
    </w:p>
    <w:p w:rsidR="00270384" w:rsidRDefault="00270384">
      <w:pPr>
        <w:pStyle w:val="BodyText"/>
        <w:rPr>
          <w:sz w:val="20"/>
        </w:rPr>
      </w:pPr>
    </w:p>
    <w:p w:rsidR="00270384" w:rsidRDefault="00004F49">
      <w:pPr>
        <w:spacing w:before="213"/>
        <w:ind w:left="117"/>
        <w:rPr>
          <w:b/>
          <w:sz w:val="28"/>
        </w:rPr>
      </w:pPr>
      <w:r>
        <w:rPr>
          <w:b/>
          <w:sz w:val="28"/>
          <w:u w:val="thick"/>
        </w:rPr>
        <w:t>Payments and Deposit</w:t>
      </w:r>
    </w:p>
    <w:p w:rsidR="00270384" w:rsidRDefault="00004F49">
      <w:pPr>
        <w:pStyle w:val="ListParagraph"/>
        <w:numPr>
          <w:ilvl w:val="0"/>
          <w:numId w:val="2"/>
        </w:numPr>
        <w:tabs>
          <w:tab w:val="left" w:pos="822"/>
          <w:tab w:val="left" w:pos="823"/>
        </w:tabs>
        <w:spacing w:before="90" w:line="247" w:lineRule="auto"/>
        <w:ind w:right="314"/>
        <w:rPr>
          <w:sz w:val="28"/>
        </w:rPr>
      </w:pPr>
      <w:r>
        <w:rPr>
          <w:sz w:val="28"/>
        </w:rPr>
        <w:t>free of charge (foc) are based on half twin (In case stay in single, the supplement single will apply by the</w:t>
      </w:r>
      <w:r>
        <w:rPr>
          <w:spacing w:val="-1"/>
          <w:sz w:val="28"/>
        </w:rPr>
        <w:t xml:space="preserve"> </w:t>
      </w:r>
      <w:r>
        <w:rPr>
          <w:sz w:val="28"/>
        </w:rPr>
        <w:t>hotels)</w:t>
      </w:r>
    </w:p>
    <w:p w:rsidR="00270384" w:rsidRDefault="00004F49">
      <w:pPr>
        <w:pStyle w:val="ListParagraph"/>
        <w:numPr>
          <w:ilvl w:val="0"/>
          <w:numId w:val="2"/>
        </w:numPr>
        <w:tabs>
          <w:tab w:val="left" w:pos="822"/>
          <w:tab w:val="left" w:pos="823"/>
        </w:tabs>
        <w:spacing w:before="17" w:line="242" w:lineRule="auto"/>
        <w:ind w:right="551"/>
        <w:rPr>
          <w:sz w:val="28"/>
        </w:rPr>
      </w:pPr>
      <w:r>
        <w:rPr>
          <w:sz w:val="28"/>
        </w:rPr>
        <w:t>2 Children in same rooms without parents or 1 adult and 1 child is same room will</w:t>
      </w:r>
      <w:r>
        <w:rPr>
          <w:spacing w:val="-41"/>
          <w:sz w:val="28"/>
        </w:rPr>
        <w:t xml:space="preserve"> </w:t>
      </w:r>
      <w:r>
        <w:rPr>
          <w:sz w:val="28"/>
        </w:rPr>
        <w:t>be charge a</w:t>
      </w:r>
      <w:r>
        <w:rPr>
          <w:sz w:val="28"/>
        </w:rPr>
        <w:t>s per 1</w:t>
      </w:r>
      <w:r>
        <w:rPr>
          <w:spacing w:val="-1"/>
          <w:sz w:val="28"/>
        </w:rPr>
        <w:t xml:space="preserve"> </w:t>
      </w:r>
      <w:r>
        <w:rPr>
          <w:sz w:val="28"/>
        </w:rPr>
        <w:t>double</w:t>
      </w:r>
    </w:p>
    <w:p w:rsidR="00270384" w:rsidRDefault="00004F49">
      <w:pPr>
        <w:pStyle w:val="ListParagraph"/>
        <w:numPr>
          <w:ilvl w:val="0"/>
          <w:numId w:val="2"/>
        </w:numPr>
        <w:tabs>
          <w:tab w:val="left" w:pos="822"/>
          <w:tab w:val="left" w:pos="823"/>
        </w:tabs>
        <w:spacing w:before="30"/>
        <w:ind w:hanging="361"/>
        <w:rPr>
          <w:sz w:val="28"/>
        </w:rPr>
      </w:pPr>
      <w:r>
        <w:rPr>
          <w:sz w:val="28"/>
        </w:rPr>
        <w:t>FULL PAYEMENT should be settled before arrival</w:t>
      </w:r>
      <w:r>
        <w:rPr>
          <w:spacing w:val="-4"/>
          <w:sz w:val="28"/>
        </w:rPr>
        <w:t xml:space="preserve"> </w:t>
      </w:r>
      <w:r>
        <w:rPr>
          <w:sz w:val="28"/>
        </w:rPr>
        <w:t>group</w:t>
      </w:r>
    </w:p>
    <w:p w:rsidR="00270384" w:rsidRDefault="00004F49">
      <w:pPr>
        <w:pStyle w:val="ListParagraph"/>
        <w:numPr>
          <w:ilvl w:val="0"/>
          <w:numId w:val="2"/>
        </w:numPr>
        <w:tabs>
          <w:tab w:val="left" w:pos="822"/>
          <w:tab w:val="left" w:pos="823"/>
        </w:tabs>
        <w:spacing w:before="22"/>
        <w:ind w:hanging="361"/>
        <w:rPr>
          <w:sz w:val="28"/>
        </w:rPr>
      </w:pPr>
      <w:r>
        <w:rPr>
          <w:sz w:val="28"/>
        </w:rPr>
        <w:t>In high season the hotels can ask deposit to secure your</w:t>
      </w:r>
      <w:r>
        <w:rPr>
          <w:spacing w:val="-8"/>
          <w:sz w:val="28"/>
        </w:rPr>
        <w:t xml:space="preserve"> </w:t>
      </w:r>
      <w:r>
        <w:rPr>
          <w:sz w:val="28"/>
        </w:rPr>
        <w:t>booking</w:t>
      </w:r>
    </w:p>
    <w:p w:rsidR="00270384" w:rsidRDefault="00004F49">
      <w:pPr>
        <w:pStyle w:val="ListParagraph"/>
        <w:numPr>
          <w:ilvl w:val="0"/>
          <w:numId w:val="2"/>
        </w:numPr>
        <w:tabs>
          <w:tab w:val="left" w:pos="822"/>
          <w:tab w:val="left" w:pos="823"/>
        </w:tabs>
        <w:spacing w:line="242" w:lineRule="auto"/>
        <w:ind w:right="291"/>
        <w:rPr>
          <w:sz w:val="28"/>
        </w:rPr>
      </w:pPr>
      <w:r>
        <w:rPr>
          <w:sz w:val="28"/>
        </w:rPr>
        <w:t>If any member of the group cancels, we will charge the group as per the new number of participants</w:t>
      </w:r>
    </w:p>
    <w:p w:rsidR="00270384" w:rsidRDefault="00004F49">
      <w:pPr>
        <w:pStyle w:val="ListParagraph"/>
        <w:numPr>
          <w:ilvl w:val="0"/>
          <w:numId w:val="2"/>
        </w:numPr>
        <w:tabs>
          <w:tab w:val="left" w:pos="822"/>
          <w:tab w:val="left" w:pos="823"/>
        </w:tabs>
        <w:spacing w:before="26" w:line="247" w:lineRule="auto"/>
        <w:ind w:right="289"/>
        <w:rPr>
          <w:sz w:val="28"/>
        </w:rPr>
      </w:pPr>
      <w:r>
        <w:rPr>
          <w:sz w:val="28"/>
        </w:rPr>
        <w:t>In case of not full payment invoice before departure, all services will be cancelling, and full cancelation fees will be</w:t>
      </w:r>
      <w:r>
        <w:rPr>
          <w:spacing w:val="-2"/>
          <w:sz w:val="28"/>
        </w:rPr>
        <w:t xml:space="preserve"> </w:t>
      </w:r>
      <w:r>
        <w:rPr>
          <w:sz w:val="28"/>
        </w:rPr>
        <w:t>charged</w:t>
      </w:r>
    </w:p>
    <w:p w:rsidR="00270384" w:rsidRDefault="00270384">
      <w:pPr>
        <w:pStyle w:val="BodyText"/>
        <w:spacing w:before="7"/>
        <w:rPr>
          <w:sz w:val="31"/>
        </w:rPr>
      </w:pPr>
    </w:p>
    <w:p w:rsidR="00270384" w:rsidRDefault="00004F49">
      <w:pPr>
        <w:ind w:left="116"/>
        <w:rPr>
          <w:b/>
          <w:sz w:val="28"/>
        </w:rPr>
      </w:pPr>
      <w:r>
        <w:rPr>
          <w:b/>
          <w:sz w:val="28"/>
          <w:u w:val="thick"/>
        </w:rPr>
        <w:t>VISA ISRAEL APPLICATION</w:t>
      </w:r>
    </w:p>
    <w:p w:rsidR="00270384" w:rsidRDefault="00004F49">
      <w:pPr>
        <w:pStyle w:val="ListParagraph"/>
        <w:numPr>
          <w:ilvl w:val="0"/>
          <w:numId w:val="1"/>
        </w:numPr>
        <w:tabs>
          <w:tab w:val="left" w:pos="836"/>
          <w:tab w:val="left" w:pos="837"/>
        </w:tabs>
        <w:spacing w:before="90"/>
        <w:ind w:left="836" w:hanging="460"/>
        <w:rPr>
          <w:sz w:val="28"/>
        </w:rPr>
      </w:pPr>
      <w:r>
        <w:rPr>
          <w:sz w:val="28"/>
        </w:rPr>
        <w:t>Visa need to be applied 35 days before arrival in</w:t>
      </w:r>
      <w:r>
        <w:rPr>
          <w:spacing w:val="-5"/>
          <w:sz w:val="28"/>
        </w:rPr>
        <w:t xml:space="preserve"> </w:t>
      </w:r>
      <w:r>
        <w:rPr>
          <w:sz w:val="28"/>
        </w:rPr>
        <w:t>Israel</w:t>
      </w:r>
    </w:p>
    <w:p w:rsidR="00270384" w:rsidRDefault="00004F49">
      <w:pPr>
        <w:pStyle w:val="ListParagraph"/>
        <w:numPr>
          <w:ilvl w:val="0"/>
          <w:numId w:val="1"/>
        </w:numPr>
        <w:tabs>
          <w:tab w:val="left" w:pos="836"/>
          <w:tab w:val="left" w:pos="837"/>
        </w:tabs>
        <w:spacing w:line="235" w:lineRule="auto"/>
        <w:ind w:right="277" w:firstLine="0"/>
        <w:rPr>
          <w:sz w:val="28"/>
        </w:rPr>
      </w:pPr>
      <w:r>
        <w:rPr>
          <w:sz w:val="28"/>
        </w:rPr>
        <w:t>(When the visa is applying, we cannot update</w:t>
      </w:r>
      <w:r>
        <w:rPr>
          <w:sz w:val="28"/>
        </w:rPr>
        <w:t xml:space="preserve"> any modification, so be careful when you file all details) </w:t>
      </w:r>
      <w:r>
        <w:rPr>
          <w:sz w:val="28"/>
          <w:shd w:val="clear" w:color="auto" w:fill="FFFF00"/>
        </w:rPr>
        <w:t>Children under 18 years need to be accompanied by mother or</w:t>
      </w:r>
      <w:r>
        <w:rPr>
          <w:spacing w:val="-23"/>
          <w:sz w:val="28"/>
          <w:shd w:val="clear" w:color="auto" w:fill="FFFF00"/>
        </w:rPr>
        <w:t xml:space="preserve"> </w:t>
      </w:r>
      <w:r>
        <w:rPr>
          <w:sz w:val="28"/>
          <w:shd w:val="clear" w:color="auto" w:fill="FFFF00"/>
        </w:rPr>
        <w:t>father</w:t>
      </w:r>
    </w:p>
    <w:sectPr w:rsidR="00270384" w:rsidSect="00E73EED">
      <w:headerReference w:type="default" r:id="rId7"/>
      <w:pgSz w:w="11910" w:h="16840"/>
      <w:pgMar w:top="1418" w:right="120" w:bottom="1900" w:left="860" w:header="750" w:footer="171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F49" w:rsidRDefault="00004F49">
      <w:r>
        <w:separator/>
      </w:r>
    </w:p>
  </w:endnote>
  <w:endnote w:type="continuationSeparator" w:id="0">
    <w:p w:rsidR="00004F49" w:rsidRDefault="0000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F49" w:rsidRDefault="00004F49">
      <w:r>
        <w:separator/>
      </w:r>
    </w:p>
  </w:footnote>
  <w:footnote w:type="continuationSeparator" w:id="0">
    <w:p w:rsidR="00004F49" w:rsidRDefault="00004F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384" w:rsidRDefault="0027038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67F73"/>
    <w:multiLevelType w:val="hybridMultilevel"/>
    <w:tmpl w:val="7938E2CC"/>
    <w:lvl w:ilvl="0" w:tplc="550ADAAC">
      <w:numFmt w:val="bullet"/>
      <w:lvlText w:val="•"/>
      <w:lvlJc w:val="left"/>
      <w:pPr>
        <w:ind w:left="377" w:hanging="459"/>
      </w:pPr>
      <w:rPr>
        <w:rFonts w:ascii="Arial" w:eastAsia="Arial" w:hAnsi="Arial" w:cs="Arial" w:hint="default"/>
        <w:w w:val="99"/>
        <w:sz w:val="28"/>
        <w:szCs w:val="28"/>
        <w:lang w:val="en-US" w:eastAsia="en-US" w:bidi="en-US"/>
      </w:rPr>
    </w:lvl>
    <w:lvl w:ilvl="1" w:tplc="A40833E6">
      <w:numFmt w:val="bullet"/>
      <w:lvlText w:val="•"/>
      <w:lvlJc w:val="left"/>
      <w:pPr>
        <w:ind w:left="1434" w:hanging="459"/>
      </w:pPr>
      <w:rPr>
        <w:rFonts w:hint="default"/>
        <w:lang w:val="en-US" w:eastAsia="en-US" w:bidi="en-US"/>
      </w:rPr>
    </w:lvl>
    <w:lvl w:ilvl="2" w:tplc="8A44EFE6">
      <w:numFmt w:val="bullet"/>
      <w:lvlText w:val="•"/>
      <w:lvlJc w:val="left"/>
      <w:pPr>
        <w:ind w:left="2489" w:hanging="459"/>
      </w:pPr>
      <w:rPr>
        <w:rFonts w:hint="default"/>
        <w:lang w:val="en-US" w:eastAsia="en-US" w:bidi="en-US"/>
      </w:rPr>
    </w:lvl>
    <w:lvl w:ilvl="3" w:tplc="CA74448A">
      <w:numFmt w:val="bullet"/>
      <w:lvlText w:val="•"/>
      <w:lvlJc w:val="left"/>
      <w:pPr>
        <w:ind w:left="3543" w:hanging="459"/>
      </w:pPr>
      <w:rPr>
        <w:rFonts w:hint="default"/>
        <w:lang w:val="en-US" w:eastAsia="en-US" w:bidi="en-US"/>
      </w:rPr>
    </w:lvl>
    <w:lvl w:ilvl="4" w:tplc="E9E81710">
      <w:numFmt w:val="bullet"/>
      <w:lvlText w:val="•"/>
      <w:lvlJc w:val="left"/>
      <w:pPr>
        <w:ind w:left="4598" w:hanging="459"/>
      </w:pPr>
      <w:rPr>
        <w:rFonts w:hint="default"/>
        <w:lang w:val="en-US" w:eastAsia="en-US" w:bidi="en-US"/>
      </w:rPr>
    </w:lvl>
    <w:lvl w:ilvl="5" w:tplc="42E6FE74">
      <w:numFmt w:val="bullet"/>
      <w:lvlText w:val="•"/>
      <w:lvlJc w:val="left"/>
      <w:pPr>
        <w:ind w:left="5652" w:hanging="459"/>
      </w:pPr>
      <w:rPr>
        <w:rFonts w:hint="default"/>
        <w:lang w:val="en-US" w:eastAsia="en-US" w:bidi="en-US"/>
      </w:rPr>
    </w:lvl>
    <w:lvl w:ilvl="6" w:tplc="6E74AFAC">
      <w:numFmt w:val="bullet"/>
      <w:lvlText w:val="•"/>
      <w:lvlJc w:val="left"/>
      <w:pPr>
        <w:ind w:left="6707" w:hanging="459"/>
      </w:pPr>
      <w:rPr>
        <w:rFonts w:hint="default"/>
        <w:lang w:val="en-US" w:eastAsia="en-US" w:bidi="en-US"/>
      </w:rPr>
    </w:lvl>
    <w:lvl w:ilvl="7" w:tplc="C652D544">
      <w:numFmt w:val="bullet"/>
      <w:lvlText w:val="•"/>
      <w:lvlJc w:val="left"/>
      <w:pPr>
        <w:ind w:left="7761" w:hanging="459"/>
      </w:pPr>
      <w:rPr>
        <w:rFonts w:hint="default"/>
        <w:lang w:val="en-US" w:eastAsia="en-US" w:bidi="en-US"/>
      </w:rPr>
    </w:lvl>
    <w:lvl w:ilvl="8" w:tplc="1B5CFD8E">
      <w:numFmt w:val="bullet"/>
      <w:lvlText w:val="•"/>
      <w:lvlJc w:val="left"/>
      <w:pPr>
        <w:ind w:left="8816" w:hanging="459"/>
      </w:pPr>
      <w:rPr>
        <w:rFonts w:hint="default"/>
        <w:lang w:val="en-US" w:eastAsia="en-US" w:bidi="en-US"/>
      </w:rPr>
    </w:lvl>
  </w:abstractNum>
  <w:abstractNum w:abstractNumId="1" w15:restartNumberingAfterBreak="0">
    <w:nsid w:val="7C995AA4"/>
    <w:multiLevelType w:val="hybridMultilevel"/>
    <w:tmpl w:val="343890C6"/>
    <w:lvl w:ilvl="0" w:tplc="8C82DB60">
      <w:numFmt w:val="bullet"/>
      <w:lvlText w:val="•"/>
      <w:lvlJc w:val="left"/>
      <w:pPr>
        <w:ind w:left="822" w:hanging="360"/>
      </w:pPr>
      <w:rPr>
        <w:rFonts w:ascii="Arial" w:eastAsia="Arial" w:hAnsi="Arial" w:cs="Arial" w:hint="default"/>
        <w:w w:val="99"/>
        <w:sz w:val="28"/>
        <w:szCs w:val="28"/>
        <w:lang w:val="en-US" w:eastAsia="en-US" w:bidi="en-US"/>
      </w:rPr>
    </w:lvl>
    <w:lvl w:ilvl="1" w:tplc="B64E5846">
      <w:numFmt w:val="bullet"/>
      <w:lvlText w:val="•"/>
      <w:lvlJc w:val="left"/>
      <w:pPr>
        <w:ind w:left="1830" w:hanging="360"/>
      </w:pPr>
      <w:rPr>
        <w:rFonts w:hint="default"/>
        <w:lang w:val="en-US" w:eastAsia="en-US" w:bidi="en-US"/>
      </w:rPr>
    </w:lvl>
    <w:lvl w:ilvl="2" w:tplc="FBA8EAB4">
      <w:numFmt w:val="bullet"/>
      <w:lvlText w:val="•"/>
      <w:lvlJc w:val="left"/>
      <w:pPr>
        <w:ind w:left="2841" w:hanging="360"/>
      </w:pPr>
      <w:rPr>
        <w:rFonts w:hint="default"/>
        <w:lang w:val="en-US" w:eastAsia="en-US" w:bidi="en-US"/>
      </w:rPr>
    </w:lvl>
    <w:lvl w:ilvl="3" w:tplc="9FC26D4A">
      <w:numFmt w:val="bullet"/>
      <w:lvlText w:val="•"/>
      <w:lvlJc w:val="left"/>
      <w:pPr>
        <w:ind w:left="3851" w:hanging="360"/>
      </w:pPr>
      <w:rPr>
        <w:rFonts w:hint="default"/>
        <w:lang w:val="en-US" w:eastAsia="en-US" w:bidi="en-US"/>
      </w:rPr>
    </w:lvl>
    <w:lvl w:ilvl="4" w:tplc="302EBE3C">
      <w:numFmt w:val="bullet"/>
      <w:lvlText w:val="•"/>
      <w:lvlJc w:val="left"/>
      <w:pPr>
        <w:ind w:left="4862" w:hanging="360"/>
      </w:pPr>
      <w:rPr>
        <w:rFonts w:hint="default"/>
        <w:lang w:val="en-US" w:eastAsia="en-US" w:bidi="en-US"/>
      </w:rPr>
    </w:lvl>
    <w:lvl w:ilvl="5" w:tplc="8AB827D2">
      <w:numFmt w:val="bullet"/>
      <w:lvlText w:val="•"/>
      <w:lvlJc w:val="left"/>
      <w:pPr>
        <w:ind w:left="5872" w:hanging="360"/>
      </w:pPr>
      <w:rPr>
        <w:rFonts w:hint="default"/>
        <w:lang w:val="en-US" w:eastAsia="en-US" w:bidi="en-US"/>
      </w:rPr>
    </w:lvl>
    <w:lvl w:ilvl="6" w:tplc="2208D7F6">
      <w:numFmt w:val="bullet"/>
      <w:lvlText w:val="•"/>
      <w:lvlJc w:val="left"/>
      <w:pPr>
        <w:ind w:left="6883" w:hanging="360"/>
      </w:pPr>
      <w:rPr>
        <w:rFonts w:hint="default"/>
        <w:lang w:val="en-US" w:eastAsia="en-US" w:bidi="en-US"/>
      </w:rPr>
    </w:lvl>
    <w:lvl w:ilvl="7" w:tplc="B1CC8B48">
      <w:numFmt w:val="bullet"/>
      <w:lvlText w:val="•"/>
      <w:lvlJc w:val="left"/>
      <w:pPr>
        <w:ind w:left="7893" w:hanging="360"/>
      </w:pPr>
      <w:rPr>
        <w:rFonts w:hint="default"/>
        <w:lang w:val="en-US" w:eastAsia="en-US" w:bidi="en-US"/>
      </w:rPr>
    </w:lvl>
    <w:lvl w:ilvl="8" w:tplc="AD5E7A46">
      <w:numFmt w:val="bullet"/>
      <w:lvlText w:val="•"/>
      <w:lvlJc w:val="left"/>
      <w:pPr>
        <w:ind w:left="8904"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84"/>
    <w:rsid w:val="00004F49"/>
    <w:rsid w:val="00270384"/>
    <w:rsid w:val="00E73EE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BBF22A-43C6-4AD2-9461-89BB3BD7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7"/>
      <w:ind w:left="822" w:hanging="361"/>
    </w:pPr>
  </w:style>
  <w:style w:type="paragraph" w:customStyle="1" w:styleId="TableParagraph">
    <w:name w:val="Table Paragraph"/>
    <w:basedOn w:val="Normal"/>
    <w:uiPriority w:val="1"/>
    <w:qFormat/>
    <w:pPr>
      <w:spacing w:before="12"/>
      <w:ind w:left="162" w:right="149"/>
      <w:jc w:val="center"/>
    </w:pPr>
  </w:style>
  <w:style w:type="paragraph" w:styleId="Header">
    <w:name w:val="header"/>
    <w:basedOn w:val="Normal"/>
    <w:link w:val="HeaderChar"/>
    <w:uiPriority w:val="99"/>
    <w:unhideWhenUsed/>
    <w:rsid w:val="00E73EED"/>
    <w:pPr>
      <w:tabs>
        <w:tab w:val="center" w:pos="4513"/>
        <w:tab w:val="right" w:pos="9026"/>
      </w:tabs>
    </w:pPr>
  </w:style>
  <w:style w:type="character" w:customStyle="1" w:styleId="HeaderChar">
    <w:name w:val="Header Char"/>
    <w:basedOn w:val="DefaultParagraphFont"/>
    <w:link w:val="Header"/>
    <w:uiPriority w:val="99"/>
    <w:rsid w:val="00E73EED"/>
    <w:rPr>
      <w:rFonts w:ascii="Times New Roman" w:eastAsia="Times New Roman" w:hAnsi="Times New Roman" w:cs="Times New Roman"/>
      <w:lang w:bidi="en-US"/>
    </w:rPr>
  </w:style>
  <w:style w:type="paragraph" w:styleId="Footer">
    <w:name w:val="footer"/>
    <w:basedOn w:val="Normal"/>
    <w:link w:val="FooterChar"/>
    <w:uiPriority w:val="99"/>
    <w:unhideWhenUsed/>
    <w:rsid w:val="00E73EED"/>
    <w:pPr>
      <w:tabs>
        <w:tab w:val="center" w:pos="4513"/>
        <w:tab w:val="right" w:pos="9026"/>
      </w:tabs>
    </w:pPr>
  </w:style>
  <w:style w:type="character" w:customStyle="1" w:styleId="FooterChar">
    <w:name w:val="Footer Char"/>
    <w:basedOn w:val="DefaultParagraphFont"/>
    <w:link w:val="Footer"/>
    <w:uiPriority w:val="99"/>
    <w:rsid w:val="00E73EE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2019-11-03T06:49:00Z</dcterms:created>
  <dcterms:modified xsi:type="dcterms:W3CDTF">2019-11-03T06:49:00Z</dcterms:modified>
</cp:coreProperties>
</file>