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2C" w:rsidRDefault="00313653">
      <w:pPr>
        <w:pStyle w:val="BodyText"/>
        <w:spacing w:before="24"/>
        <w:ind w:left="162"/>
      </w:pPr>
      <w:r>
        <w:t>Herewith detail of quotation and itinerary for reference group: Rates 2020</w:t>
      </w:r>
      <w:bookmarkStart w:id="0" w:name="_GoBack"/>
      <w:bookmarkEnd w:id="0"/>
    </w:p>
    <w:p w:rsidR="00654D2C" w:rsidRDefault="004A74B5">
      <w:pPr>
        <w:pStyle w:val="BodyText"/>
        <w:ind w:left="0"/>
        <w:rPr>
          <w:sz w:val="20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8240" behindDoc="0" locked="0" layoutInCell="1" allowOverlap="1" wp14:anchorId="3365DFEF" wp14:editId="664CA891">
            <wp:simplePos x="0" y="0"/>
            <wp:positionH relativeFrom="page">
              <wp:posOffset>304800</wp:posOffset>
            </wp:positionH>
            <wp:positionV relativeFrom="paragraph">
              <wp:posOffset>194310</wp:posOffset>
            </wp:positionV>
            <wp:extent cx="7063105" cy="80575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D2C" w:rsidRDefault="00654D2C">
      <w:pPr>
        <w:pStyle w:val="BodyText"/>
        <w:spacing w:before="6"/>
        <w:ind w:left="0"/>
        <w:rPr>
          <w:sz w:val="10"/>
        </w:rPr>
      </w:pPr>
    </w:p>
    <w:p w:rsidR="00654D2C" w:rsidRDefault="00654D2C">
      <w:pPr>
        <w:rPr>
          <w:sz w:val="10"/>
        </w:rPr>
        <w:sectPr w:rsidR="00654D2C" w:rsidSect="004A74B5">
          <w:headerReference w:type="default" r:id="rId8"/>
          <w:type w:val="continuous"/>
          <w:pgSz w:w="11910" w:h="16840"/>
          <w:pgMar w:top="1418" w:right="300" w:bottom="1720" w:left="780" w:header="750" w:footer="1521" w:gutter="0"/>
          <w:cols w:space="720"/>
        </w:sectPr>
      </w:pPr>
    </w:p>
    <w:p w:rsidR="00654D2C" w:rsidRDefault="00313653">
      <w:pPr>
        <w:pStyle w:val="BodyText"/>
        <w:spacing w:before="86" w:line="261" w:lineRule="auto"/>
        <w:ind w:left="2797" w:right="2682" w:hanging="159"/>
      </w:pPr>
      <w:r>
        <w:lastRenderedPageBreak/>
        <w:t>Rates per person on half double/triple occupancy Not valid in Jewish and Christian Holidays</w:t>
      </w:r>
    </w:p>
    <w:p w:rsidR="00654D2C" w:rsidRDefault="00654D2C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248"/>
        <w:gridCol w:w="1330"/>
        <w:gridCol w:w="1244"/>
        <w:gridCol w:w="1330"/>
        <w:gridCol w:w="1244"/>
        <w:gridCol w:w="1134"/>
        <w:gridCol w:w="1134"/>
      </w:tblGrid>
      <w:tr w:rsidR="00654D2C">
        <w:trPr>
          <w:trHeight w:val="359"/>
        </w:trPr>
        <w:tc>
          <w:tcPr>
            <w:tcW w:w="1147" w:type="dxa"/>
          </w:tcPr>
          <w:p w:rsidR="00654D2C" w:rsidRDefault="00313653">
            <w:pPr>
              <w:pStyle w:val="TableParagraph"/>
              <w:ind w:left="221"/>
              <w:jc w:val="left"/>
              <w:rPr>
                <w:sz w:val="28"/>
              </w:rPr>
            </w:pPr>
            <w:r>
              <w:rPr>
                <w:sz w:val="28"/>
              </w:rPr>
              <w:t>45+3.5</w:t>
            </w:r>
          </w:p>
        </w:tc>
        <w:tc>
          <w:tcPr>
            <w:tcW w:w="1248" w:type="dxa"/>
          </w:tcPr>
          <w:p w:rsidR="00654D2C" w:rsidRDefault="00313653">
            <w:pPr>
              <w:pStyle w:val="TableParagraph"/>
              <w:ind w:left="296"/>
              <w:jc w:val="left"/>
              <w:rPr>
                <w:sz w:val="28"/>
              </w:rPr>
            </w:pPr>
            <w:r>
              <w:rPr>
                <w:sz w:val="28"/>
              </w:rPr>
              <w:t>40+3.5</w:t>
            </w:r>
          </w:p>
        </w:tc>
        <w:tc>
          <w:tcPr>
            <w:tcW w:w="1330" w:type="dxa"/>
          </w:tcPr>
          <w:p w:rsidR="00654D2C" w:rsidRDefault="00313653">
            <w:pPr>
              <w:pStyle w:val="TableParagraph"/>
              <w:ind w:left="249" w:right="239"/>
              <w:rPr>
                <w:sz w:val="28"/>
              </w:rPr>
            </w:pPr>
            <w:r>
              <w:rPr>
                <w:sz w:val="28"/>
              </w:rPr>
              <w:t>35+2.5</w:t>
            </w:r>
          </w:p>
        </w:tc>
        <w:tc>
          <w:tcPr>
            <w:tcW w:w="1244" w:type="dxa"/>
          </w:tcPr>
          <w:p w:rsidR="00654D2C" w:rsidRDefault="00313653">
            <w:pPr>
              <w:pStyle w:val="TableParagraph"/>
              <w:ind w:left="289"/>
              <w:jc w:val="left"/>
              <w:rPr>
                <w:sz w:val="28"/>
              </w:rPr>
            </w:pPr>
            <w:r>
              <w:rPr>
                <w:sz w:val="28"/>
              </w:rPr>
              <w:t>30+2.5</w:t>
            </w:r>
          </w:p>
        </w:tc>
        <w:tc>
          <w:tcPr>
            <w:tcW w:w="1330" w:type="dxa"/>
          </w:tcPr>
          <w:p w:rsidR="00654D2C" w:rsidRDefault="00313653">
            <w:pPr>
              <w:pStyle w:val="TableParagraph"/>
              <w:ind w:left="247" w:right="241"/>
              <w:rPr>
                <w:sz w:val="28"/>
              </w:rPr>
            </w:pPr>
            <w:r>
              <w:rPr>
                <w:sz w:val="28"/>
              </w:rPr>
              <w:t>25+1.5</w:t>
            </w:r>
          </w:p>
        </w:tc>
        <w:tc>
          <w:tcPr>
            <w:tcW w:w="1244" w:type="dxa"/>
          </w:tcPr>
          <w:p w:rsidR="00654D2C" w:rsidRDefault="00313653">
            <w:pPr>
              <w:pStyle w:val="TableParagraph"/>
              <w:ind w:left="288"/>
              <w:jc w:val="left"/>
              <w:rPr>
                <w:sz w:val="28"/>
              </w:rPr>
            </w:pPr>
            <w:r>
              <w:rPr>
                <w:sz w:val="28"/>
              </w:rPr>
              <w:t>20+1.5</w:t>
            </w:r>
          </w:p>
        </w:tc>
        <w:tc>
          <w:tcPr>
            <w:tcW w:w="1134" w:type="dxa"/>
          </w:tcPr>
          <w:p w:rsidR="00654D2C" w:rsidRDefault="00313653">
            <w:pPr>
              <w:pStyle w:val="TableParagraph"/>
              <w:ind w:left="204"/>
              <w:jc w:val="left"/>
              <w:rPr>
                <w:sz w:val="28"/>
              </w:rPr>
            </w:pPr>
            <w:r>
              <w:rPr>
                <w:sz w:val="28"/>
              </w:rPr>
              <w:t>15+1.5</w:t>
            </w:r>
          </w:p>
        </w:tc>
        <w:tc>
          <w:tcPr>
            <w:tcW w:w="1134" w:type="dxa"/>
          </w:tcPr>
          <w:p w:rsidR="00654D2C" w:rsidRDefault="00313653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s/s</w:t>
            </w:r>
          </w:p>
        </w:tc>
      </w:tr>
      <w:tr w:rsidR="00654D2C">
        <w:trPr>
          <w:trHeight w:val="354"/>
        </w:trPr>
        <w:tc>
          <w:tcPr>
            <w:tcW w:w="1147" w:type="dxa"/>
          </w:tcPr>
          <w:p w:rsidR="00654D2C" w:rsidRDefault="00313653">
            <w:pPr>
              <w:pStyle w:val="TableParagraph"/>
              <w:ind w:left="259"/>
              <w:jc w:val="left"/>
              <w:rPr>
                <w:sz w:val="28"/>
              </w:rPr>
            </w:pPr>
            <w:r>
              <w:rPr>
                <w:sz w:val="28"/>
              </w:rPr>
              <w:t>$ 607</w:t>
            </w:r>
          </w:p>
        </w:tc>
        <w:tc>
          <w:tcPr>
            <w:tcW w:w="1248" w:type="dxa"/>
          </w:tcPr>
          <w:p w:rsidR="00654D2C" w:rsidRDefault="00313653">
            <w:pPr>
              <w:pStyle w:val="TableParagraph"/>
              <w:ind w:left="312"/>
              <w:jc w:val="left"/>
              <w:rPr>
                <w:sz w:val="28"/>
              </w:rPr>
            </w:pPr>
            <w:r>
              <w:rPr>
                <w:sz w:val="28"/>
              </w:rPr>
              <w:t>$ 612</w:t>
            </w:r>
          </w:p>
        </w:tc>
        <w:tc>
          <w:tcPr>
            <w:tcW w:w="1330" w:type="dxa"/>
          </w:tcPr>
          <w:p w:rsidR="00654D2C" w:rsidRDefault="00313653">
            <w:pPr>
              <w:pStyle w:val="TableParagraph"/>
              <w:ind w:left="248" w:right="241"/>
              <w:rPr>
                <w:sz w:val="28"/>
              </w:rPr>
            </w:pPr>
            <w:r>
              <w:rPr>
                <w:sz w:val="28"/>
              </w:rPr>
              <w:t>$ 635</w:t>
            </w:r>
          </w:p>
        </w:tc>
        <w:tc>
          <w:tcPr>
            <w:tcW w:w="1244" w:type="dxa"/>
          </w:tcPr>
          <w:p w:rsidR="00654D2C" w:rsidRDefault="00313653">
            <w:pPr>
              <w:pStyle w:val="TableParagraph"/>
              <w:ind w:left="305"/>
              <w:jc w:val="left"/>
              <w:rPr>
                <w:sz w:val="28"/>
              </w:rPr>
            </w:pPr>
            <w:r>
              <w:rPr>
                <w:sz w:val="28"/>
              </w:rPr>
              <w:t>$ 657</w:t>
            </w:r>
          </w:p>
        </w:tc>
        <w:tc>
          <w:tcPr>
            <w:tcW w:w="1330" w:type="dxa"/>
          </w:tcPr>
          <w:p w:rsidR="00654D2C" w:rsidRDefault="00313653">
            <w:pPr>
              <w:pStyle w:val="TableParagraph"/>
              <w:ind w:left="245" w:right="241"/>
              <w:rPr>
                <w:sz w:val="28"/>
              </w:rPr>
            </w:pPr>
            <w:r>
              <w:rPr>
                <w:sz w:val="28"/>
              </w:rPr>
              <w:t>$ 678</w:t>
            </w:r>
          </w:p>
        </w:tc>
        <w:tc>
          <w:tcPr>
            <w:tcW w:w="1244" w:type="dxa"/>
          </w:tcPr>
          <w:p w:rsidR="00654D2C" w:rsidRDefault="00313653">
            <w:pPr>
              <w:pStyle w:val="TableParagraph"/>
              <w:ind w:left="304"/>
              <w:jc w:val="left"/>
              <w:rPr>
                <w:sz w:val="28"/>
              </w:rPr>
            </w:pPr>
            <w:r>
              <w:rPr>
                <w:sz w:val="28"/>
              </w:rPr>
              <w:t>$ 720</w:t>
            </w:r>
          </w:p>
        </w:tc>
        <w:tc>
          <w:tcPr>
            <w:tcW w:w="1134" w:type="dxa"/>
          </w:tcPr>
          <w:p w:rsidR="00654D2C" w:rsidRDefault="00313653">
            <w:pPr>
              <w:pStyle w:val="TableParagraph"/>
              <w:ind w:left="248"/>
              <w:jc w:val="left"/>
              <w:rPr>
                <w:sz w:val="28"/>
              </w:rPr>
            </w:pPr>
            <w:r>
              <w:rPr>
                <w:sz w:val="28"/>
              </w:rPr>
              <w:t>$ 780</w:t>
            </w:r>
          </w:p>
        </w:tc>
        <w:tc>
          <w:tcPr>
            <w:tcW w:w="1134" w:type="dxa"/>
          </w:tcPr>
          <w:p w:rsidR="00654D2C" w:rsidRDefault="00313653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$ 185</w:t>
            </w:r>
          </w:p>
        </w:tc>
      </w:tr>
    </w:tbl>
    <w:p w:rsidR="00654D2C" w:rsidRDefault="00654D2C">
      <w:pPr>
        <w:pStyle w:val="BodyText"/>
        <w:ind w:left="0"/>
        <w:rPr>
          <w:sz w:val="20"/>
        </w:rPr>
      </w:pPr>
    </w:p>
    <w:p w:rsidR="00654D2C" w:rsidRDefault="00654D2C">
      <w:pPr>
        <w:pStyle w:val="BodyText"/>
        <w:ind w:left="0"/>
        <w:rPr>
          <w:sz w:val="10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248"/>
        <w:gridCol w:w="1330"/>
        <w:gridCol w:w="1244"/>
        <w:gridCol w:w="1330"/>
        <w:gridCol w:w="1244"/>
        <w:gridCol w:w="1134"/>
        <w:gridCol w:w="1134"/>
      </w:tblGrid>
      <w:tr w:rsidR="00654D2C">
        <w:trPr>
          <w:trHeight w:val="359"/>
        </w:trPr>
        <w:tc>
          <w:tcPr>
            <w:tcW w:w="1147" w:type="dxa"/>
          </w:tcPr>
          <w:p w:rsidR="00654D2C" w:rsidRDefault="00313653">
            <w:pPr>
              <w:pStyle w:val="TableParagraph"/>
              <w:ind w:left="239" w:right="146"/>
              <w:rPr>
                <w:sz w:val="28"/>
              </w:rPr>
            </w:pPr>
            <w:r>
              <w:rPr>
                <w:sz w:val="28"/>
              </w:rPr>
              <w:t>45+2</w:t>
            </w:r>
          </w:p>
        </w:tc>
        <w:tc>
          <w:tcPr>
            <w:tcW w:w="1248" w:type="dxa"/>
          </w:tcPr>
          <w:p w:rsidR="00654D2C" w:rsidRDefault="00313653">
            <w:pPr>
              <w:pStyle w:val="TableParagraph"/>
              <w:ind w:left="292" w:right="150"/>
              <w:rPr>
                <w:sz w:val="28"/>
              </w:rPr>
            </w:pPr>
            <w:r>
              <w:rPr>
                <w:sz w:val="28"/>
              </w:rPr>
              <w:t>40+2</w:t>
            </w:r>
          </w:p>
        </w:tc>
        <w:tc>
          <w:tcPr>
            <w:tcW w:w="1330" w:type="dxa"/>
          </w:tcPr>
          <w:p w:rsidR="00654D2C" w:rsidRDefault="00313653">
            <w:pPr>
              <w:pStyle w:val="TableParagraph"/>
              <w:ind w:left="249" w:right="239"/>
              <w:rPr>
                <w:sz w:val="28"/>
              </w:rPr>
            </w:pPr>
            <w:r>
              <w:rPr>
                <w:sz w:val="28"/>
              </w:rPr>
              <w:t>35+2</w:t>
            </w:r>
          </w:p>
        </w:tc>
        <w:tc>
          <w:tcPr>
            <w:tcW w:w="1244" w:type="dxa"/>
          </w:tcPr>
          <w:p w:rsidR="00654D2C" w:rsidRDefault="00313653">
            <w:pPr>
              <w:pStyle w:val="TableParagraph"/>
              <w:ind w:left="285" w:right="152"/>
              <w:rPr>
                <w:sz w:val="28"/>
              </w:rPr>
            </w:pPr>
            <w:r>
              <w:rPr>
                <w:sz w:val="28"/>
              </w:rPr>
              <w:t>30+2</w:t>
            </w:r>
          </w:p>
        </w:tc>
        <w:tc>
          <w:tcPr>
            <w:tcW w:w="1330" w:type="dxa"/>
          </w:tcPr>
          <w:p w:rsidR="00654D2C" w:rsidRDefault="00313653">
            <w:pPr>
              <w:pStyle w:val="TableParagraph"/>
              <w:ind w:left="374"/>
              <w:jc w:val="left"/>
              <w:rPr>
                <w:sz w:val="28"/>
              </w:rPr>
            </w:pPr>
            <w:r>
              <w:rPr>
                <w:sz w:val="28"/>
              </w:rPr>
              <w:t>25+2</w:t>
            </w:r>
          </w:p>
        </w:tc>
        <w:tc>
          <w:tcPr>
            <w:tcW w:w="1244" w:type="dxa"/>
          </w:tcPr>
          <w:p w:rsidR="00654D2C" w:rsidRDefault="00313653">
            <w:pPr>
              <w:pStyle w:val="TableParagraph"/>
              <w:ind w:left="0" w:right="260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20+2</w:t>
            </w:r>
          </w:p>
        </w:tc>
        <w:tc>
          <w:tcPr>
            <w:tcW w:w="1134" w:type="dxa"/>
          </w:tcPr>
          <w:p w:rsidR="00654D2C" w:rsidRDefault="00313653">
            <w:pPr>
              <w:pStyle w:val="TableParagraph"/>
              <w:ind w:left="227" w:right="154"/>
              <w:rPr>
                <w:sz w:val="28"/>
              </w:rPr>
            </w:pPr>
            <w:r>
              <w:rPr>
                <w:sz w:val="28"/>
              </w:rPr>
              <w:t>15+2</w:t>
            </w:r>
          </w:p>
        </w:tc>
        <w:tc>
          <w:tcPr>
            <w:tcW w:w="1134" w:type="dxa"/>
          </w:tcPr>
          <w:p w:rsidR="00654D2C" w:rsidRDefault="00313653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s/s</w:t>
            </w:r>
          </w:p>
        </w:tc>
      </w:tr>
      <w:tr w:rsidR="00654D2C">
        <w:trPr>
          <w:trHeight w:val="354"/>
        </w:trPr>
        <w:tc>
          <w:tcPr>
            <w:tcW w:w="1147" w:type="dxa"/>
          </w:tcPr>
          <w:p w:rsidR="00654D2C" w:rsidRDefault="00313653">
            <w:pPr>
              <w:pStyle w:val="TableParagraph"/>
              <w:ind w:left="225" w:right="213"/>
              <w:rPr>
                <w:sz w:val="28"/>
              </w:rPr>
            </w:pPr>
            <w:r>
              <w:rPr>
                <w:sz w:val="28"/>
              </w:rPr>
              <w:t>$ 593</w:t>
            </w:r>
          </w:p>
        </w:tc>
        <w:tc>
          <w:tcPr>
            <w:tcW w:w="1248" w:type="dxa"/>
          </w:tcPr>
          <w:p w:rsidR="00654D2C" w:rsidRDefault="00313653">
            <w:pPr>
              <w:pStyle w:val="TableParagraph"/>
              <w:ind w:left="256" w:right="239"/>
              <w:rPr>
                <w:sz w:val="28"/>
              </w:rPr>
            </w:pPr>
            <w:r>
              <w:rPr>
                <w:sz w:val="28"/>
              </w:rPr>
              <w:t>$ 605</w:t>
            </w:r>
          </w:p>
        </w:tc>
        <w:tc>
          <w:tcPr>
            <w:tcW w:w="1330" w:type="dxa"/>
          </w:tcPr>
          <w:p w:rsidR="00654D2C" w:rsidRDefault="00313653">
            <w:pPr>
              <w:pStyle w:val="TableParagraph"/>
              <w:ind w:left="249" w:right="241"/>
              <w:rPr>
                <w:sz w:val="28"/>
              </w:rPr>
            </w:pPr>
            <w:r>
              <w:rPr>
                <w:sz w:val="28"/>
              </w:rPr>
              <w:t>$ 727</w:t>
            </w:r>
          </w:p>
        </w:tc>
        <w:tc>
          <w:tcPr>
            <w:tcW w:w="1244" w:type="dxa"/>
          </w:tcPr>
          <w:p w:rsidR="00654D2C" w:rsidRDefault="00313653">
            <w:pPr>
              <w:pStyle w:val="TableParagraph"/>
              <w:ind w:left="247" w:right="241"/>
              <w:rPr>
                <w:sz w:val="28"/>
              </w:rPr>
            </w:pPr>
            <w:r>
              <w:rPr>
                <w:sz w:val="28"/>
              </w:rPr>
              <w:t>$ 648</w:t>
            </w:r>
          </w:p>
        </w:tc>
        <w:tc>
          <w:tcPr>
            <w:tcW w:w="1330" w:type="dxa"/>
          </w:tcPr>
          <w:p w:rsidR="00654D2C" w:rsidRDefault="00313653">
            <w:pPr>
              <w:pStyle w:val="TableParagraph"/>
              <w:ind w:left="347"/>
              <w:jc w:val="left"/>
              <w:rPr>
                <w:sz w:val="28"/>
              </w:rPr>
            </w:pPr>
            <w:r>
              <w:rPr>
                <w:sz w:val="28"/>
              </w:rPr>
              <w:t>$ 690</w:t>
            </w:r>
          </w:p>
        </w:tc>
        <w:tc>
          <w:tcPr>
            <w:tcW w:w="1244" w:type="dxa"/>
          </w:tcPr>
          <w:p w:rsidR="00654D2C" w:rsidRDefault="00313653">
            <w:pPr>
              <w:pStyle w:val="TableParagraph"/>
              <w:ind w:left="0" w:right="297"/>
              <w:jc w:val="right"/>
              <w:rPr>
                <w:sz w:val="28"/>
              </w:rPr>
            </w:pPr>
            <w:r>
              <w:rPr>
                <w:sz w:val="28"/>
              </w:rPr>
              <w:t>$ 733</w:t>
            </w:r>
          </w:p>
        </w:tc>
        <w:tc>
          <w:tcPr>
            <w:tcW w:w="1134" w:type="dxa"/>
          </w:tcPr>
          <w:p w:rsidR="00654D2C" w:rsidRDefault="00313653">
            <w:pPr>
              <w:pStyle w:val="TableParagraph"/>
              <w:ind w:left="218" w:right="216"/>
              <w:rPr>
                <w:sz w:val="28"/>
              </w:rPr>
            </w:pPr>
            <w:r>
              <w:rPr>
                <w:sz w:val="28"/>
              </w:rPr>
              <w:t>$ 797</w:t>
            </w:r>
          </w:p>
        </w:tc>
        <w:tc>
          <w:tcPr>
            <w:tcW w:w="1134" w:type="dxa"/>
          </w:tcPr>
          <w:p w:rsidR="00654D2C" w:rsidRDefault="00313653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$ 185</w:t>
            </w:r>
          </w:p>
        </w:tc>
      </w:tr>
    </w:tbl>
    <w:p w:rsidR="00654D2C" w:rsidRDefault="00654D2C">
      <w:pPr>
        <w:pStyle w:val="BodyText"/>
        <w:spacing w:before="3"/>
        <w:ind w:left="0"/>
        <w:rPr>
          <w:sz w:val="30"/>
        </w:rPr>
      </w:pPr>
    </w:p>
    <w:p w:rsidR="00654D2C" w:rsidRDefault="00313653">
      <w:pPr>
        <w:pStyle w:val="BodyText"/>
        <w:ind w:left="476"/>
      </w:pPr>
      <w:r>
        <w:rPr>
          <w:u w:val="single"/>
        </w:rPr>
        <w:t>Prices included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90"/>
        <w:ind w:hanging="361"/>
        <w:rPr>
          <w:sz w:val="28"/>
        </w:rPr>
      </w:pPr>
      <w:r>
        <w:rPr>
          <w:sz w:val="28"/>
        </w:rPr>
        <w:t>Pick up Cairo Airport and end of services Amman</w:t>
      </w:r>
      <w:r>
        <w:rPr>
          <w:spacing w:val="-5"/>
          <w:sz w:val="28"/>
        </w:rPr>
        <w:t xml:space="preserve"> </w:t>
      </w:r>
      <w:r>
        <w:rPr>
          <w:sz w:val="28"/>
        </w:rPr>
        <w:t>Airport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1 Night Cairo:</w:t>
      </w:r>
      <w:r>
        <w:rPr>
          <w:spacing w:val="-1"/>
          <w:sz w:val="28"/>
        </w:rPr>
        <w:t xml:space="preserve"> </w:t>
      </w:r>
      <w:r>
        <w:rPr>
          <w:sz w:val="28"/>
        </w:rPr>
        <w:t>Intercontinental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7"/>
        <w:ind w:hanging="361"/>
        <w:rPr>
          <w:sz w:val="28"/>
        </w:rPr>
      </w:pPr>
      <w:r>
        <w:rPr>
          <w:sz w:val="28"/>
        </w:rPr>
        <w:t>1 Night Dahab or St Catherine: Le Meridien or Morgen</w:t>
      </w:r>
      <w:r>
        <w:rPr>
          <w:spacing w:val="-5"/>
          <w:sz w:val="28"/>
        </w:rPr>
        <w:t xml:space="preserve"> </w:t>
      </w:r>
      <w:r>
        <w:rPr>
          <w:sz w:val="28"/>
        </w:rPr>
        <w:t>land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/>
        <w:ind w:hanging="361"/>
        <w:rPr>
          <w:sz w:val="28"/>
        </w:rPr>
      </w:pPr>
      <w:r>
        <w:rPr>
          <w:sz w:val="28"/>
        </w:rPr>
        <w:t>3 Lunches and 3 dinners in</w:t>
      </w:r>
      <w:r>
        <w:rPr>
          <w:spacing w:val="-1"/>
          <w:sz w:val="28"/>
        </w:rPr>
        <w:t xml:space="preserve"> </w:t>
      </w:r>
      <w:r>
        <w:rPr>
          <w:sz w:val="28"/>
        </w:rPr>
        <w:t>Egypt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3 Nights Bethlehem: Oriental Palace or similar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7"/>
        <w:ind w:hanging="361"/>
        <w:rPr>
          <w:sz w:val="28"/>
        </w:rPr>
      </w:pPr>
      <w:r>
        <w:rPr>
          <w:sz w:val="28"/>
        </w:rPr>
        <w:t>2 Night Nazareth: Nazareth Plaza or Bali or</w:t>
      </w:r>
      <w:r>
        <w:rPr>
          <w:spacing w:val="-3"/>
          <w:sz w:val="28"/>
        </w:rPr>
        <w:t xml:space="preserve"> </w:t>
      </w:r>
      <w:r>
        <w:rPr>
          <w:sz w:val="28"/>
        </w:rPr>
        <w:t>Club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/>
        <w:ind w:hanging="361"/>
        <w:rPr>
          <w:sz w:val="28"/>
        </w:rPr>
      </w:pPr>
      <w:r>
        <w:rPr>
          <w:sz w:val="28"/>
        </w:rPr>
        <w:t>4 Lunches and 5 dinner in</w:t>
      </w:r>
      <w:r>
        <w:rPr>
          <w:spacing w:val="-1"/>
          <w:sz w:val="28"/>
        </w:rPr>
        <w:t xml:space="preserve"> </w:t>
      </w:r>
      <w:r>
        <w:rPr>
          <w:sz w:val="28"/>
        </w:rPr>
        <w:t>Israel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1 Lunch in Jordan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7"/>
        <w:ind w:hanging="361"/>
        <w:rPr>
          <w:sz w:val="28"/>
        </w:rPr>
      </w:pPr>
      <w:r>
        <w:rPr>
          <w:sz w:val="28"/>
        </w:rPr>
        <w:t>Wifi A/C Bus with professional licensed Indonesian speak guide based on</w:t>
      </w:r>
      <w:r>
        <w:rPr>
          <w:spacing w:val="-33"/>
          <w:sz w:val="28"/>
        </w:rPr>
        <w:t xml:space="preserve"> </w:t>
      </w:r>
      <w:r>
        <w:rPr>
          <w:sz w:val="28"/>
        </w:rPr>
        <w:t>availability</w:t>
      </w:r>
    </w:p>
    <w:p w:rsidR="00654D2C" w:rsidRDefault="00313653">
      <w:pPr>
        <w:pStyle w:val="BodyText"/>
        <w:spacing w:before="8"/>
      </w:pPr>
      <w:r>
        <w:rPr>
          <w:rFonts w:ascii="Arial"/>
        </w:rPr>
        <w:t xml:space="preserve">On </w:t>
      </w:r>
      <w:r>
        <w:t xml:space="preserve">arrival, hat and map </w:t>
      </w:r>
      <w:r>
        <w:t>of Holy land, Pilgrims certificate,2 mineral water per day,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8"/>
        <w:ind w:hanging="361"/>
        <w:rPr>
          <w:sz w:val="28"/>
        </w:rPr>
      </w:pPr>
      <w:r>
        <w:rPr>
          <w:sz w:val="28"/>
          <w:shd w:val="clear" w:color="auto" w:fill="00FF00"/>
        </w:rPr>
        <w:t>1 Magnetic picture per</w:t>
      </w:r>
      <w:r>
        <w:rPr>
          <w:spacing w:val="-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person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7" w:line="249" w:lineRule="auto"/>
        <w:ind w:right="1042"/>
        <w:rPr>
          <w:sz w:val="28"/>
        </w:rPr>
      </w:pPr>
      <w:r>
        <w:rPr>
          <w:sz w:val="28"/>
        </w:rPr>
        <w:t>Regular entrances Main churches, Boat ride Tiberias, Mt Tabor, Garden Tomb, Aqueduct in Caesarea, Qumran, Mt Nebo, Pyramids and</w:t>
      </w:r>
      <w:r>
        <w:rPr>
          <w:spacing w:val="-8"/>
          <w:sz w:val="28"/>
        </w:rPr>
        <w:t xml:space="preserve"> </w:t>
      </w:r>
      <w:r>
        <w:rPr>
          <w:sz w:val="28"/>
        </w:rPr>
        <w:t>Sphinx</w:t>
      </w:r>
    </w:p>
    <w:p w:rsidR="00654D2C" w:rsidRDefault="00654D2C">
      <w:pPr>
        <w:pStyle w:val="BodyText"/>
        <w:spacing w:before="1"/>
        <w:ind w:left="0"/>
        <w:rPr>
          <w:sz w:val="31"/>
        </w:rPr>
      </w:pPr>
    </w:p>
    <w:p w:rsidR="00654D2C" w:rsidRDefault="00313653">
      <w:pPr>
        <w:pStyle w:val="BodyText"/>
        <w:ind w:left="336"/>
      </w:pPr>
      <w:r>
        <w:rPr>
          <w:u w:val="single"/>
        </w:rPr>
        <w:t>Prices excluded: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90"/>
        <w:ind w:hanging="361"/>
        <w:rPr>
          <w:sz w:val="28"/>
        </w:rPr>
      </w:pPr>
      <w:r>
        <w:rPr>
          <w:sz w:val="28"/>
        </w:rPr>
        <w:t>Visa Egypt u</w:t>
      </w:r>
      <w:r>
        <w:rPr>
          <w:sz w:val="28"/>
        </w:rPr>
        <w:t>s 25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Sinai Tax us 5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/>
        <w:ind w:hanging="361"/>
        <w:rPr>
          <w:sz w:val="28"/>
        </w:rPr>
      </w:pPr>
      <w:r>
        <w:rPr>
          <w:sz w:val="28"/>
        </w:rPr>
        <w:t>Visa Israel: Us 12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7"/>
        <w:ind w:hanging="361"/>
        <w:rPr>
          <w:sz w:val="28"/>
        </w:rPr>
      </w:pPr>
      <w:r>
        <w:rPr>
          <w:sz w:val="28"/>
        </w:rPr>
        <w:t>Sheik Hussein Border us 30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Visa Jordan: us 58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654D2C" w:rsidRDefault="00654D2C">
      <w:pPr>
        <w:rPr>
          <w:sz w:val="28"/>
        </w:rPr>
        <w:sectPr w:rsidR="00654D2C" w:rsidSect="004A74B5">
          <w:pgSz w:w="11910" w:h="16840"/>
          <w:pgMar w:top="1276" w:right="300" w:bottom="1720" w:left="780" w:header="750" w:footer="1521" w:gutter="0"/>
          <w:cols w:space="720"/>
        </w:sectPr>
      </w:pP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90" w:line="249" w:lineRule="auto"/>
        <w:ind w:right="472"/>
        <w:rPr>
          <w:sz w:val="28"/>
        </w:rPr>
      </w:pPr>
      <w:r>
        <w:rPr>
          <w:sz w:val="28"/>
        </w:rPr>
        <w:lastRenderedPageBreak/>
        <w:t>Tips to guide, driver, restaurants, and porters. Personal items and extra beverages on meals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5"/>
        <w:ind w:hanging="361"/>
        <w:rPr>
          <w:sz w:val="28"/>
        </w:rPr>
      </w:pPr>
      <w:r>
        <w:rPr>
          <w:sz w:val="28"/>
        </w:rPr>
        <w:t>Cable Jericho, Caesarea park, Masada, Nazareth Village Mt Hermon</w:t>
      </w:r>
      <w:r>
        <w:rPr>
          <w:b/>
          <w:sz w:val="28"/>
        </w:rPr>
        <w:t xml:space="preserve">, </w:t>
      </w:r>
      <w:r>
        <w:rPr>
          <w:sz w:val="28"/>
        </w:rPr>
        <w:t>Western</w:t>
      </w:r>
      <w:r>
        <w:rPr>
          <w:spacing w:val="-30"/>
          <w:sz w:val="28"/>
        </w:rPr>
        <w:t xml:space="preserve"> </w:t>
      </w:r>
      <w:r>
        <w:rPr>
          <w:sz w:val="28"/>
        </w:rPr>
        <w:t>Tunnel</w:t>
      </w:r>
    </w:p>
    <w:p w:rsidR="00654D2C" w:rsidRDefault="00654D2C">
      <w:pPr>
        <w:pStyle w:val="BodyText"/>
        <w:ind w:left="0"/>
        <w:rPr>
          <w:sz w:val="30"/>
        </w:rPr>
      </w:pPr>
    </w:p>
    <w:p w:rsidR="00654D2C" w:rsidRDefault="00313653">
      <w:pPr>
        <w:pStyle w:val="Heading1"/>
        <w:rPr>
          <w:u w:val="none"/>
        </w:rPr>
      </w:pPr>
      <w:r>
        <w:rPr>
          <w:u w:val="none"/>
        </w:rPr>
        <w:t>Payments and Deposit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0" w:line="249" w:lineRule="auto"/>
        <w:ind w:right="764"/>
        <w:rPr>
          <w:sz w:val="28"/>
        </w:rPr>
      </w:pPr>
      <w:r>
        <w:rPr>
          <w:sz w:val="28"/>
        </w:rPr>
        <w:t>frees of charge (foc) are based on half twin (In case stay in single, the supplement single will apply by the</w:t>
      </w:r>
      <w:r>
        <w:rPr>
          <w:spacing w:val="-1"/>
          <w:sz w:val="28"/>
        </w:rPr>
        <w:t xml:space="preserve"> </w:t>
      </w:r>
      <w:r>
        <w:rPr>
          <w:sz w:val="28"/>
        </w:rPr>
        <w:t>hotels)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5" w:line="249" w:lineRule="auto"/>
        <w:ind w:right="372"/>
        <w:rPr>
          <w:sz w:val="28"/>
        </w:rPr>
      </w:pPr>
      <w:r>
        <w:rPr>
          <w:sz w:val="28"/>
        </w:rPr>
        <w:t>2 Children in same rooms without parents or 1 adult and 1 child is same room will</w:t>
      </w:r>
      <w:r>
        <w:rPr>
          <w:spacing w:val="-41"/>
          <w:sz w:val="28"/>
        </w:rPr>
        <w:t xml:space="preserve"> </w:t>
      </w:r>
      <w:r>
        <w:rPr>
          <w:sz w:val="28"/>
        </w:rPr>
        <w:t>be charge as per 1</w:t>
      </w:r>
      <w:r>
        <w:rPr>
          <w:spacing w:val="-1"/>
          <w:sz w:val="28"/>
        </w:rPr>
        <w:t xml:space="preserve"> </w:t>
      </w:r>
      <w:r>
        <w:rPr>
          <w:sz w:val="28"/>
        </w:rPr>
        <w:t>double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6" w:line="249" w:lineRule="auto"/>
        <w:ind w:right="108"/>
        <w:rPr>
          <w:sz w:val="28"/>
        </w:rPr>
      </w:pPr>
      <w:r>
        <w:rPr>
          <w:sz w:val="28"/>
        </w:rPr>
        <w:t>If any member of the group cancels, we will charge the group as per the new number of participants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5" w:line="249" w:lineRule="auto"/>
        <w:ind w:right="111"/>
        <w:rPr>
          <w:sz w:val="28"/>
        </w:rPr>
      </w:pPr>
      <w:r>
        <w:rPr>
          <w:sz w:val="28"/>
        </w:rPr>
        <w:t>In case of not full payment invoice before depart</w:t>
      </w:r>
      <w:r>
        <w:rPr>
          <w:sz w:val="28"/>
        </w:rPr>
        <w:t>ure, all services will be cancelling, and full cancelation fees will be</w:t>
      </w:r>
      <w:r>
        <w:rPr>
          <w:spacing w:val="-2"/>
          <w:sz w:val="28"/>
        </w:rPr>
        <w:t xml:space="preserve"> </w:t>
      </w:r>
      <w:r>
        <w:rPr>
          <w:sz w:val="28"/>
        </w:rPr>
        <w:t>charged</w:t>
      </w:r>
    </w:p>
    <w:p w:rsidR="00654D2C" w:rsidRDefault="00654D2C">
      <w:pPr>
        <w:pStyle w:val="BodyText"/>
        <w:spacing w:before="1"/>
        <w:ind w:left="0"/>
        <w:rPr>
          <w:sz w:val="31"/>
        </w:rPr>
      </w:pPr>
    </w:p>
    <w:p w:rsidR="00654D2C" w:rsidRDefault="00313653">
      <w:pPr>
        <w:pStyle w:val="Heading1"/>
        <w:ind w:left="199"/>
        <w:rPr>
          <w:u w:val="none"/>
        </w:rPr>
      </w:pPr>
      <w:r>
        <w:rPr>
          <w:u w:val="thick"/>
        </w:rPr>
        <w:t>VISA ISRAEL APPLICATION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89"/>
        <w:ind w:hanging="361"/>
        <w:rPr>
          <w:sz w:val="28"/>
        </w:rPr>
      </w:pPr>
      <w:r>
        <w:rPr>
          <w:sz w:val="28"/>
        </w:rPr>
        <w:t>Visa need to be applied 35 days before arrival in</w:t>
      </w:r>
      <w:r>
        <w:rPr>
          <w:spacing w:val="-5"/>
          <w:sz w:val="28"/>
        </w:rPr>
        <w:t xml:space="preserve"> </w:t>
      </w:r>
      <w:r>
        <w:rPr>
          <w:sz w:val="28"/>
        </w:rPr>
        <w:t>Israel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 w:line="249" w:lineRule="auto"/>
        <w:ind w:right="108"/>
        <w:rPr>
          <w:sz w:val="28"/>
        </w:rPr>
      </w:pPr>
      <w:r>
        <w:rPr>
          <w:sz w:val="28"/>
        </w:rPr>
        <w:t>(When the visa is applying, we cannot update any modification, so be careful when you file al</w:t>
      </w:r>
      <w:r>
        <w:rPr>
          <w:sz w:val="28"/>
        </w:rPr>
        <w:t xml:space="preserve">l details) </w:t>
      </w:r>
      <w:r>
        <w:rPr>
          <w:sz w:val="28"/>
          <w:shd w:val="clear" w:color="auto" w:fill="FFFF00"/>
        </w:rPr>
        <w:t>Children under 18 years need to be accompanied by mother or</w:t>
      </w:r>
      <w:r>
        <w:rPr>
          <w:spacing w:val="-30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father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5"/>
        <w:ind w:hanging="361"/>
        <w:rPr>
          <w:sz w:val="28"/>
        </w:rPr>
      </w:pPr>
      <w:r>
        <w:rPr>
          <w:sz w:val="28"/>
          <w:shd w:val="clear" w:color="auto" w:fill="00FF00"/>
        </w:rPr>
        <w:t>Need scanner passport for apply visa in</w:t>
      </w:r>
      <w:r>
        <w:rPr>
          <w:spacing w:val="-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Egypt</w:t>
      </w:r>
    </w:p>
    <w:p w:rsidR="00654D2C" w:rsidRDefault="00313653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/>
        <w:ind w:hanging="361"/>
        <w:rPr>
          <w:sz w:val="28"/>
        </w:rPr>
      </w:pPr>
      <w:r>
        <w:rPr>
          <w:sz w:val="28"/>
          <w:shd w:val="clear" w:color="auto" w:fill="00FF00"/>
        </w:rPr>
        <w:t>Need pnr 1 week before arrival in Egypt for apply ok on</w:t>
      </w:r>
      <w:r>
        <w:rPr>
          <w:spacing w:val="-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border</w:t>
      </w:r>
    </w:p>
    <w:sectPr w:rsidR="00654D2C" w:rsidSect="004A74B5">
      <w:pgSz w:w="11910" w:h="16840"/>
      <w:pgMar w:top="1276" w:right="300" w:bottom="1720" w:left="780" w:header="750" w:footer="15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653" w:rsidRDefault="00313653">
      <w:r>
        <w:separator/>
      </w:r>
    </w:p>
  </w:endnote>
  <w:endnote w:type="continuationSeparator" w:id="0">
    <w:p w:rsidR="00313653" w:rsidRDefault="0031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653" w:rsidRDefault="00313653">
      <w:r>
        <w:separator/>
      </w:r>
    </w:p>
  </w:footnote>
  <w:footnote w:type="continuationSeparator" w:id="0">
    <w:p w:rsidR="00313653" w:rsidRDefault="00313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D2C" w:rsidRDefault="00654D2C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87734"/>
    <w:multiLevelType w:val="hybridMultilevel"/>
    <w:tmpl w:val="CC1CDBD6"/>
    <w:lvl w:ilvl="0" w:tplc="5BD43D30">
      <w:numFmt w:val="bullet"/>
      <w:lvlText w:val="•"/>
      <w:lvlJc w:val="left"/>
      <w:pPr>
        <w:ind w:left="901" w:hanging="360"/>
      </w:pPr>
      <w:rPr>
        <w:rFonts w:ascii="Arial" w:eastAsia="Arial" w:hAnsi="Arial" w:cs="Arial" w:hint="default"/>
        <w:w w:val="99"/>
        <w:sz w:val="28"/>
        <w:szCs w:val="28"/>
        <w:lang w:val="en-US" w:eastAsia="en-US" w:bidi="en-US"/>
      </w:rPr>
    </w:lvl>
    <w:lvl w:ilvl="1" w:tplc="EC62FEEE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en-US"/>
      </w:rPr>
    </w:lvl>
    <w:lvl w:ilvl="2" w:tplc="B3B0076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3" w:tplc="EAC8C016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en-US"/>
      </w:rPr>
    </w:lvl>
    <w:lvl w:ilvl="4" w:tplc="842043CA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31F2692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en-US"/>
      </w:rPr>
    </w:lvl>
    <w:lvl w:ilvl="6" w:tplc="FF2E1720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97400F6A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en-US"/>
      </w:rPr>
    </w:lvl>
    <w:lvl w:ilvl="8" w:tplc="A77EFEBC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2C"/>
    <w:rsid w:val="00313653"/>
    <w:rsid w:val="004A74B5"/>
    <w:rsid w:val="0065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DBDA6"/>
  <w15:docId w15:val="{27A4F3C8-999E-4066-AC2A-3386BA84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9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9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21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A7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4B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7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4B5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2019-11-03T06:37:00Z</dcterms:created>
  <dcterms:modified xsi:type="dcterms:W3CDTF">2019-11-03T06:37:00Z</dcterms:modified>
</cp:coreProperties>
</file>