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E2D" w:rsidRPr="00EF5E2D" w:rsidRDefault="00EF5E2D" w:rsidP="00EF5E2D">
      <w:pPr>
        <w:pStyle w:val="Heading1"/>
        <w:rPr>
          <w:rFonts w:ascii="Arial" w:hAnsi="Arial" w:cs="Arial"/>
          <w:b/>
          <w:color w:val="auto"/>
          <w:sz w:val="22"/>
          <w:szCs w:val="22"/>
        </w:rPr>
      </w:pPr>
      <w:r w:rsidRPr="00EF5E2D">
        <w:rPr>
          <w:rFonts w:ascii="Arial" w:hAnsi="Arial" w:cs="Arial"/>
          <w:b/>
          <w:color w:val="auto"/>
          <w:sz w:val="22"/>
          <w:szCs w:val="22"/>
        </w:rPr>
        <w:t>4 DAYS / 3 NIGHTS – AUCKLAND</w:t>
      </w:r>
    </w:p>
    <w:p w:rsidR="00EF5E2D" w:rsidRPr="00EF5E2D" w:rsidRDefault="00EF5E2D" w:rsidP="00EF5E2D">
      <w:pPr>
        <w:jc w:val="both"/>
        <w:rPr>
          <w:rFonts w:ascii="Arial" w:hAnsi="Arial" w:cs="Arial"/>
          <w:b/>
        </w:rPr>
      </w:pPr>
    </w:p>
    <w:p w:rsidR="00EF5E2D" w:rsidRPr="00456CD0" w:rsidRDefault="00EF5E2D" w:rsidP="00EF5E2D">
      <w:pPr>
        <w:pStyle w:val="Heading6"/>
        <w:rPr>
          <w:rFonts w:ascii="Arial" w:hAnsi="Arial" w:cs="Arial"/>
          <w:b w:val="0"/>
        </w:rPr>
      </w:pPr>
      <w:r w:rsidRPr="00456CD0">
        <w:rPr>
          <w:rFonts w:ascii="Arial" w:hAnsi="Arial" w:cs="Arial"/>
        </w:rPr>
        <w:t>DAY 1: Arrive Auckland</w:t>
      </w:r>
    </w:p>
    <w:p w:rsidR="00EF5E2D" w:rsidRPr="00456CD0" w:rsidRDefault="00EF5E2D" w:rsidP="00EF5E2D">
      <w:pPr>
        <w:rPr>
          <w:rFonts w:ascii="Arial" w:hAnsi="Arial" w:cs="Arial"/>
        </w:rPr>
      </w:pPr>
      <w:r w:rsidRPr="00456CD0">
        <w:rPr>
          <w:rFonts w:ascii="Arial" w:hAnsi="Arial" w:cs="Arial"/>
        </w:rPr>
        <w:t xml:space="preserve">Meet and greet on arrival and </w:t>
      </w:r>
      <w:r w:rsidRPr="00456CD0">
        <w:rPr>
          <w:rFonts w:ascii="Arial" w:hAnsi="Arial" w:cs="Arial"/>
          <w:b/>
          <w:u w:val="single"/>
          <w:lang w:val="id-ID"/>
        </w:rPr>
        <w:t>private</w:t>
      </w:r>
      <w:r w:rsidRPr="00456CD0">
        <w:rPr>
          <w:rFonts w:ascii="Arial" w:hAnsi="Arial" w:cs="Arial"/>
          <w:lang w:val="id-ID"/>
        </w:rPr>
        <w:t xml:space="preserve"> </w:t>
      </w:r>
      <w:r w:rsidRPr="00456CD0">
        <w:rPr>
          <w:rFonts w:ascii="Arial" w:hAnsi="Arial" w:cs="Arial"/>
        </w:rPr>
        <w:t>transfer to your hotel. The rest of the day free at leisure.</w:t>
      </w:r>
    </w:p>
    <w:p w:rsidR="00EF5E2D" w:rsidRPr="00456CD0" w:rsidRDefault="00EF5E2D" w:rsidP="00EF5E2D">
      <w:pPr>
        <w:jc w:val="both"/>
        <w:rPr>
          <w:rFonts w:ascii="Arial" w:hAnsi="Arial" w:cs="Arial"/>
        </w:rPr>
      </w:pPr>
    </w:p>
    <w:p w:rsidR="00EF5E2D" w:rsidRPr="00456CD0" w:rsidRDefault="00EF5E2D" w:rsidP="00EF5E2D">
      <w:pPr>
        <w:jc w:val="both"/>
        <w:rPr>
          <w:rFonts w:ascii="Arial" w:hAnsi="Arial" w:cs="Arial"/>
          <w:b/>
        </w:rPr>
      </w:pPr>
      <w:r w:rsidRPr="00456CD0">
        <w:rPr>
          <w:rFonts w:ascii="Arial" w:hAnsi="Arial" w:cs="Arial"/>
          <w:b/>
        </w:rPr>
        <w:t xml:space="preserve">DAY 2: Auckland – Waitomo - </w:t>
      </w:r>
      <w:proofErr w:type="spellStart"/>
      <w:r w:rsidRPr="00456CD0">
        <w:rPr>
          <w:rFonts w:ascii="Arial" w:hAnsi="Arial" w:cs="Arial"/>
          <w:b/>
        </w:rPr>
        <w:t>Rotorua</w:t>
      </w:r>
      <w:proofErr w:type="spellEnd"/>
      <w:r w:rsidRPr="00456CD0">
        <w:rPr>
          <w:rFonts w:ascii="Arial" w:hAnsi="Arial" w:cs="Arial"/>
          <w:b/>
        </w:rPr>
        <w:t xml:space="preserve"> - Auckland (B)</w:t>
      </w:r>
    </w:p>
    <w:p w:rsidR="00EF5E2D" w:rsidRPr="00456CD0" w:rsidRDefault="00EF5E2D" w:rsidP="00EF5E2D">
      <w:pPr>
        <w:jc w:val="both"/>
        <w:rPr>
          <w:rFonts w:ascii="Arial" w:hAnsi="Arial" w:cs="Arial"/>
        </w:rPr>
      </w:pPr>
      <w:r w:rsidRPr="00456CD0">
        <w:rPr>
          <w:rFonts w:ascii="Arial" w:hAnsi="Arial" w:cs="Arial"/>
        </w:rPr>
        <w:t xml:space="preserve">Join the </w:t>
      </w:r>
      <w:r>
        <w:rPr>
          <w:rFonts w:ascii="Arial" w:hAnsi="Arial" w:cs="Arial"/>
          <w:lang w:val="id-ID"/>
        </w:rPr>
        <w:t>Great Sights</w:t>
      </w:r>
      <w:r w:rsidRPr="00456CD0">
        <w:rPr>
          <w:rFonts w:ascii="Arial" w:hAnsi="Arial" w:cs="Arial"/>
        </w:rPr>
        <w:t xml:space="preserve"> coach to Waitomo to tour the famous Glow-worm Caves.  Upon arrival at </w:t>
      </w:r>
      <w:proofErr w:type="spellStart"/>
      <w:r w:rsidRPr="00456CD0">
        <w:rPr>
          <w:rFonts w:ascii="Arial" w:hAnsi="Arial" w:cs="Arial"/>
        </w:rPr>
        <w:t>Rotorua</w:t>
      </w:r>
      <w:proofErr w:type="spellEnd"/>
      <w:r w:rsidRPr="00456CD0">
        <w:rPr>
          <w:rFonts w:ascii="Arial" w:hAnsi="Arial" w:cs="Arial"/>
        </w:rPr>
        <w:t xml:space="preserve">, you will enjoy a farm tour at </w:t>
      </w:r>
      <w:proofErr w:type="spellStart"/>
      <w:r w:rsidRPr="00456CD0">
        <w:rPr>
          <w:rFonts w:ascii="Arial" w:hAnsi="Arial" w:cs="Arial"/>
        </w:rPr>
        <w:t>Agrodome</w:t>
      </w:r>
      <w:proofErr w:type="spellEnd"/>
      <w:r w:rsidRPr="00456CD0">
        <w:rPr>
          <w:rFonts w:ascii="Arial" w:hAnsi="Arial" w:cs="Arial"/>
        </w:rPr>
        <w:t xml:space="preserve"> followed by an energetic Maori Cultural Performance.  Take a guided tour of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Reserves to see the boiling mud pools and geysers.  Return to Auckland.</w:t>
      </w:r>
    </w:p>
    <w:p w:rsidR="00EF5E2D" w:rsidRPr="00456CD0" w:rsidRDefault="00EF5E2D" w:rsidP="00EF5E2D">
      <w:pPr>
        <w:jc w:val="both"/>
        <w:rPr>
          <w:rFonts w:ascii="Arial" w:hAnsi="Arial" w:cs="Arial"/>
        </w:rPr>
      </w:pPr>
    </w:p>
    <w:p w:rsidR="00EF5E2D" w:rsidRPr="00456CD0" w:rsidRDefault="00EF5E2D" w:rsidP="00EF5E2D">
      <w:pPr>
        <w:jc w:val="both"/>
        <w:rPr>
          <w:rFonts w:ascii="Arial" w:hAnsi="Arial" w:cs="Arial"/>
          <w:b/>
        </w:rPr>
      </w:pPr>
      <w:r w:rsidRPr="00456CD0">
        <w:rPr>
          <w:rFonts w:ascii="Arial" w:hAnsi="Arial" w:cs="Arial"/>
          <w:b/>
        </w:rPr>
        <w:t xml:space="preserve">DAY 3: Auckland </w:t>
      </w:r>
      <w:r>
        <w:rPr>
          <w:rFonts w:ascii="Arial" w:hAnsi="Arial" w:cs="Arial"/>
          <w:b/>
        </w:rPr>
        <w:tab/>
      </w:r>
      <w:r w:rsidRPr="00456CD0">
        <w:rPr>
          <w:rFonts w:ascii="Arial" w:hAnsi="Arial" w:cs="Arial"/>
          <w:b/>
        </w:rPr>
        <w:t>(B)</w:t>
      </w:r>
    </w:p>
    <w:p w:rsidR="00EF5E2D" w:rsidRPr="00456CD0" w:rsidRDefault="00EF5E2D" w:rsidP="00EF5E2D">
      <w:pPr>
        <w:jc w:val="both"/>
        <w:rPr>
          <w:rFonts w:ascii="Arial" w:hAnsi="Arial" w:cs="Arial"/>
        </w:rPr>
      </w:pPr>
      <w:r w:rsidRPr="00456CD0">
        <w:rPr>
          <w:rFonts w:ascii="Arial" w:hAnsi="Arial" w:cs="Arial"/>
        </w:rPr>
        <w:t xml:space="preserve">Pick up by Great Sights coach for morning city tour featuring Viaduct Basin, Waterfront Drive, Savage Memorial, Parnell Village and </w:t>
      </w:r>
      <w:r w:rsidRPr="00456CD0">
        <w:rPr>
          <w:rFonts w:ascii="Arial" w:hAnsi="Arial" w:cs="Arial"/>
          <w:lang w:val="id-ID"/>
        </w:rPr>
        <w:t>Michael Joseph Savage Memorial Garden</w:t>
      </w:r>
      <w:r w:rsidRPr="00456CD0">
        <w:rPr>
          <w:rFonts w:ascii="Arial" w:hAnsi="Arial" w:cs="Arial"/>
        </w:rPr>
        <w:t xml:space="preserve">. Includes entrance to Kelly </w:t>
      </w:r>
      <w:proofErr w:type="spellStart"/>
      <w:r w:rsidRPr="00456CD0">
        <w:rPr>
          <w:rFonts w:ascii="Arial" w:hAnsi="Arial" w:cs="Arial"/>
        </w:rPr>
        <w:t>Tarlton’s</w:t>
      </w:r>
      <w:proofErr w:type="spellEnd"/>
      <w:r w:rsidRPr="00456CD0">
        <w:rPr>
          <w:rFonts w:ascii="Arial" w:hAnsi="Arial" w:cs="Arial"/>
        </w:rPr>
        <w:t xml:space="preserve"> Underwater World</w:t>
      </w:r>
    </w:p>
    <w:p w:rsidR="00EF5E2D" w:rsidRPr="00456CD0" w:rsidRDefault="00EF5E2D" w:rsidP="00EF5E2D">
      <w:pPr>
        <w:jc w:val="both"/>
        <w:rPr>
          <w:rFonts w:ascii="Arial" w:hAnsi="Arial" w:cs="Arial"/>
        </w:rPr>
      </w:pPr>
    </w:p>
    <w:p w:rsidR="00EF5E2D" w:rsidRPr="00456CD0" w:rsidRDefault="00EF5E2D" w:rsidP="00EF5E2D">
      <w:pPr>
        <w:jc w:val="both"/>
        <w:rPr>
          <w:rFonts w:ascii="Arial" w:hAnsi="Arial" w:cs="Arial"/>
          <w:b/>
        </w:rPr>
      </w:pPr>
      <w:r w:rsidRPr="00456CD0">
        <w:rPr>
          <w:rFonts w:ascii="Arial" w:hAnsi="Arial" w:cs="Arial"/>
          <w:b/>
        </w:rPr>
        <w:t>DAY 4: Depart Auckland (B)</w:t>
      </w:r>
    </w:p>
    <w:p w:rsidR="00EF5E2D" w:rsidRPr="00456CD0" w:rsidRDefault="00EF5E2D" w:rsidP="00EF5E2D">
      <w:pPr>
        <w:jc w:val="both"/>
        <w:rPr>
          <w:rFonts w:ascii="Arial" w:hAnsi="Arial" w:cs="Arial"/>
        </w:rPr>
      </w:pPr>
      <w:r w:rsidRPr="00456CD0">
        <w:rPr>
          <w:rFonts w:ascii="Arial" w:hAnsi="Arial" w:cs="Arial"/>
        </w:rPr>
        <w:t>Pick-up and transfer to the airport by shuttle service</w:t>
      </w:r>
    </w:p>
    <w:p w:rsidR="00EF5E2D" w:rsidRPr="00456CD0" w:rsidRDefault="00EF5E2D" w:rsidP="00EF5E2D">
      <w:pPr>
        <w:jc w:val="both"/>
        <w:rPr>
          <w:rFonts w:ascii="Arial" w:hAnsi="Arial" w:cs="Arial"/>
        </w:rPr>
      </w:pPr>
    </w:p>
    <w:p w:rsidR="00EF5E2D" w:rsidRPr="00456CD0" w:rsidRDefault="00EF5E2D" w:rsidP="00EF5E2D">
      <w:pPr>
        <w:jc w:val="both"/>
        <w:rPr>
          <w:rFonts w:ascii="Arial" w:hAnsi="Arial" w:cs="Arial"/>
        </w:rPr>
      </w:pPr>
    </w:p>
    <w:p w:rsidR="00EF5E2D" w:rsidRPr="00456CD0" w:rsidRDefault="00EF5E2D" w:rsidP="00EF5E2D">
      <w:pPr>
        <w:rPr>
          <w:rFonts w:ascii="Arial" w:hAnsi="Arial" w:cs="Arial"/>
          <w:b/>
          <w:highlight w:val="lightGray"/>
        </w:rPr>
      </w:pPr>
      <w:r w:rsidRPr="00456CD0">
        <w:rPr>
          <w:rFonts w:ascii="Arial" w:hAnsi="Arial" w:cs="Arial"/>
          <w:b/>
          <w:highlight w:val="lightGray"/>
        </w:rPr>
        <w:t xml:space="preserve">NETT PRICE per person in New Zealand Dollars </w:t>
      </w:r>
    </w:p>
    <w:p w:rsidR="00EF5E2D" w:rsidRPr="00456CD0" w:rsidRDefault="00EF5E2D" w:rsidP="00EF5E2D">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EF5E2D" w:rsidRPr="00456CD0" w:rsidRDefault="00EF5E2D" w:rsidP="00EF5E2D">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EF5E2D" w:rsidRPr="00456CD0" w:rsidTr="000D00ED">
        <w:tc>
          <w:tcPr>
            <w:tcW w:w="1275" w:type="dxa"/>
            <w:vAlign w:val="center"/>
          </w:tcPr>
          <w:p w:rsidR="00EF5E2D" w:rsidRPr="00456CD0" w:rsidRDefault="00EF5E2D" w:rsidP="000D00ED">
            <w:pPr>
              <w:rPr>
                <w:rFonts w:ascii="Arial" w:hAnsi="Arial" w:cs="Arial"/>
                <w:b/>
              </w:rPr>
            </w:pPr>
            <w:r w:rsidRPr="00456CD0">
              <w:rPr>
                <w:rFonts w:ascii="Arial" w:hAnsi="Arial" w:cs="Arial"/>
                <w:b/>
              </w:rPr>
              <w:t>Hotel</w:t>
            </w:r>
          </w:p>
        </w:tc>
        <w:tc>
          <w:tcPr>
            <w:tcW w:w="1207" w:type="dxa"/>
            <w:vAlign w:val="center"/>
          </w:tcPr>
          <w:p w:rsidR="00EF5E2D" w:rsidRPr="00456CD0" w:rsidRDefault="00EF5E2D" w:rsidP="000D00ED">
            <w:pPr>
              <w:rPr>
                <w:rFonts w:ascii="Arial" w:hAnsi="Arial" w:cs="Arial"/>
                <w:b/>
              </w:rPr>
            </w:pPr>
            <w:r w:rsidRPr="00456CD0">
              <w:rPr>
                <w:rFonts w:ascii="Arial" w:hAnsi="Arial" w:cs="Arial"/>
                <w:b/>
              </w:rPr>
              <w:t>Single</w:t>
            </w:r>
          </w:p>
        </w:tc>
        <w:tc>
          <w:tcPr>
            <w:tcW w:w="1187" w:type="dxa"/>
            <w:vAlign w:val="center"/>
          </w:tcPr>
          <w:p w:rsidR="00EF5E2D" w:rsidRPr="00456CD0" w:rsidRDefault="00EF5E2D"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EF5E2D" w:rsidRPr="00456CD0" w:rsidRDefault="00EF5E2D" w:rsidP="000D00ED">
            <w:pPr>
              <w:rPr>
                <w:rFonts w:ascii="Arial" w:hAnsi="Arial" w:cs="Arial"/>
                <w:b/>
              </w:rPr>
            </w:pPr>
            <w:r w:rsidRPr="00456CD0">
              <w:rPr>
                <w:rFonts w:ascii="Arial" w:hAnsi="Arial" w:cs="Arial"/>
                <w:b/>
              </w:rPr>
              <w:t>Triple</w:t>
            </w:r>
          </w:p>
        </w:tc>
      </w:tr>
      <w:tr w:rsidR="00EF5E2D" w:rsidRPr="00456CD0" w:rsidTr="000D00ED">
        <w:tc>
          <w:tcPr>
            <w:tcW w:w="1275" w:type="dxa"/>
            <w:vAlign w:val="center"/>
          </w:tcPr>
          <w:p w:rsidR="00EF5E2D" w:rsidRPr="00901326" w:rsidRDefault="00EF5E2D" w:rsidP="000D00ED">
            <w:pPr>
              <w:rPr>
                <w:rFonts w:ascii="Arial" w:hAnsi="Arial" w:cs="Arial"/>
                <w:b/>
              </w:rPr>
            </w:pPr>
            <w:r w:rsidRPr="00901326">
              <w:rPr>
                <w:rFonts w:ascii="Arial" w:hAnsi="Arial" w:cs="Arial"/>
                <w:b/>
              </w:rPr>
              <w:t>Standard</w:t>
            </w:r>
          </w:p>
        </w:tc>
        <w:tc>
          <w:tcPr>
            <w:tcW w:w="1207" w:type="dxa"/>
            <w:vAlign w:val="center"/>
          </w:tcPr>
          <w:p w:rsidR="00EF5E2D" w:rsidRPr="00901326" w:rsidRDefault="00EF5E2D" w:rsidP="000D00ED">
            <w:pPr>
              <w:rPr>
                <w:rFonts w:ascii="Arial" w:hAnsi="Arial" w:cs="Arial"/>
              </w:rPr>
            </w:pPr>
            <w:r>
              <w:rPr>
                <w:rFonts w:ascii="Arial" w:hAnsi="Arial" w:cs="Arial"/>
              </w:rPr>
              <w:t>1010.00</w:t>
            </w:r>
          </w:p>
        </w:tc>
        <w:tc>
          <w:tcPr>
            <w:tcW w:w="1187" w:type="dxa"/>
            <w:vAlign w:val="center"/>
          </w:tcPr>
          <w:p w:rsidR="00EF5E2D" w:rsidRPr="00901326" w:rsidRDefault="00EF5E2D" w:rsidP="000D00ED">
            <w:pPr>
              <w:rPr>
                <w:rFonts w:ascii="Arial" w:hAnsi="Arial" w:cs="Arial"/>
              </w:rPr>
            </w:pPr>
            <w:r>
              <w:rPr>
                <w:rFonts w:ascii="Arial" w:hAnsi="Arial" w:cs="Arial"/>
                <w:lang w:val="en-GB"/>
              </w:rPr>
              <w:t>790</w:t>
            </w:r>
            <w:r w:rsidRPr="00901326">
              <w:rPr>
                <w:rFonts w:ascii="Arial" w:hAnsi="Arial" w:cs="Arial"/>
              </w:rPr>
              <w:t>.00</w:t>
            </w:r>
          </w:p>
        </w:tc>
        <w:tc>
          <w:tcPr>
            <w:tcW w:w="1210" w:type="dxa"/>
            <w:tcBorders>
              <w:right w:val="single" w:sz="4" w:space="0" w:color="auto"/>
            </w:tcBorders>
            <w:vAlign w:val="center"/>
          </w:tcPr>
          <w:p w:rsidR="00EF5E2D" w:rsidRPr="009E5830" w:rsidRDefault="00EF5E2D" w:rsidP="000D00ED">
            <w:pPr>
              <w:rPr>
                <w:rFonts w:ascii="Arial" w:hAnsi="Arial" w:cs="Arial"/>
                <w:lang w:val="id-ID"/>
              </w:rPr>
            </w:pPr>
            <w:r>
              <w:rPr>
                <w:rFonts w:ascii="Arial" w:hAnsi="Arial" w:cs="Arial"/>
                <w:lang w:val="en-GB"/>
              </w:rPr>
              <w:t>750</w:t>
            </w:r>
            <w:r>
              <w:rPr>
                <w:rFonts w:ascii="Arial" w:hAnsi="Arial" w:cs="Arial"/>
                <w:lang w:val="id-ID"/>
              </w:rPr>
              <w:t>.00</w:t>
            </w:r>
          </w:p>
        </w:tc>
      </w:tr>
      <w:tr w:rsidR="00EF5E2D" w:rsidRPr="00456CD0" w:rsidTr="000D00ED">
        <w:tc>
          <w:tcPr>
            <w:tcW w:w="1275" w:type="dxa"/>
            <w:vAlign w:val="center"/>
          </w:tcPr>
          <w:p w:rsidR="00EF5E2D" w:rsidRPr="00456CD0" w:rsidRDefault="00EF5E2D" w:rsidP="000D00ED">
            <w:pPr>
              <w:rPr>
                <w:rFonts w:ascii="Arial" w:hAnsi="Arial" w:cs="Arial"/>
                <w:b/>
              </w:rPr>
            </w:pPr>
            <w:r w:rsidRPr="00456CD0">
              <w:rPr>
                <w:rFonts w:ascii="Arial" w:hAnsi="Arial" w:cs="Arial"/>
                <w:b/>
              </w:rPr>
              <w:t>Premium</w:t>
            </w:r>
          </w:p>
        </w:tc>
        <w:tc>
          <w:tcPr>
            <w:tcW w:w="1207" w:type="dxa"/>
            <w:vAlign w:val="center"/>
          </w:tcPr>
          <w:p w:rsidR="00EF5E2D" w:rsidRPr="00D8574B" w:rsidRDefault="00EF5E2D" w:rsidP="000D00ED">
            <w:pPr>
              <w:rPr>
                <w:rFonts w:ascii="Arial" w:hAnsi="Arial" w:cs="Arial"/>
                <w:lang w:val="id-ID"/>
              </w:rPr>
            </w:pPr>
            <w:r>
              <w:rPr>
                <w:rFonts w:ascii="Arial" w:hAnsi="Arial" w:cs="Arial"/>
                <w:lang w:val="en-GB"/>
              </w:rPr>
              <w:t>1180</w:t>
            </w:r>
            <w:r>
              <w:rPr>
                <w:rFonts w:ascii="Arial" w:hAnsi="Arial" w:cs="Arial"/>
                <w:lang w:val="id-ID"/>
              </w:rPr>
              <w:t>.00</w:t>
            </w:r>
          </w:p>
        </w:tc>
        <w:tc>
          <w:tcPr>
            <w:tcW w:w="1187" w:type="dxa"/>
            <w:vAlign w:val="center"/>
          </w:tcPr>
          <w:p w:rsidR="00EF5E2D" w:rsidRPr="00456CD0" w:rsidRDefault="00EF5E2D" w:rsidP="000D00ED">
            <w:pPr>
              <w:rPr>
                <w:rFonts w:ascii="Arial" w:hAnsi="Arial" w:cs="Arial"/>
              </w:rPr>
            </w:pPr>
            <w:r>
              <w:rPr>
                <w:rFonts w:ascii="Arial" w:hAnsi="Arial" w:cs="Arial"/>
                <w:lang w:val="en-NZ"/>
              </w:rPr>
              <w:t>875</w:t>
            </w:r>
            <w:r>
              <w:rPr>
                <w:rFonts w:ascii="Arial" w:hAnsi="Arial" w:cs="Arial"/>
                <w:lang w:val="id-ID"/>
              </w:rPr>
              <w:t>.00</w:t>
            </w:r>
          </w:p>
        </w:tc>
        <w:tc>
          <w:tcPr>
            <w:tcW w:w="1210" w:type="dxa"/>
            <w:tcBorders>
              <w:right w:val="single" w:sz="4" w:space="0" w:color="auto"/>
            </w:tcBorders>
            <w:vAlign w:val="center"/>
          </w:tcPr>
          <w:p w:rsidR="00EF5E2D" w:rsidRPr="00FD1E39" w:rsidRDefault="00EF5E2D" w:rsidP="000D00ED">
            <w:pPr>
              <w:rPr>
                <w:rFonts w:ascii="Arial" w:hAnsi="Arial" w:cs="Arial"/>
                <w:lang w:val="en-GB"/>
              </w:rPr>
            </w:pPr>
            <w:r>
              <w:rPr>
                <w:rFonts w:ascii="Arial" w:hAnsi="Arial" w:cs="Arial"/>
                <w:lang w:val="en-GB"/>
              </w:rPr>
              <w:t>840.00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bookmarkStart w:id="0" w:name="_GoBack"/>
      <w:bookmarkEnd w:id="0"/>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5A29B2">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7F1842"/>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2020-03-22T07:48:00Z</dcterms:created>
  <dcterms:modified xsi:type="dcterms:W3CDTF">2020-03-22T07:48:00Z</dcterms:modified>
</cp:coreProperties>
</file>