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C10" w:rsidRPr="00A06D3C" w:rsidRDefault="006B0C10" w:rsidP="006B0C10">
      <w:pPr>
        <w:shd w:val="pct20" w:color="auto" w:fill="auto"/>
        <w:jc w:val="both"/>
        <w:rPr>
          <w:rFonts w:ascii="Arial" w:hAnsi="Arial" w:cs="Arial"/>
          <w:b/>
          <w:sz w:val="22"/>
          <w:szCs w:val="22"/>
        </w:rPr>
      </w:pPr>
      <w:bookmarkStart w:id="0" w:name="_GoBack"/>
      <w:r w:rsidRPr="00A06D3C">
        <w:rPr>
          <w:rFonts w:ascii="Arial" w:hAnsi="Arial" w:cs="Arial"/>
          <w:b/>
          <w:sz w:val="22"/>
          <w:szCs w:val="22"/>
        </w:rPr>
        <w:t xml:space="preserve">7 DAYS / 6 NIGHTS - DUNEDIN </w:t>
      </w:r>
      <w:r>
        <w:rPr>
          <w:rFonts w:ascii="Arial" w:hAnsi="Arial" w:cs="Arial"/>
          <w:b/>
          <w:sz w:val="22"/>
          <w:szCs w:val="22"/>
        </w:rPr>
        <w:t>–</w:t>
      </w:r>
      <w:r w:rsidRPr="00A06D3C">
        <w:rPr>
          <w:rFonts w:ascii="Arial" w:hAnsi="Arial" w:cs="Arial"/>
          <w:b/>
          <w:sz w:val="22"/>
          <w:szCs w:val="22"/>
        </w:rPr>
        <w:t xml:space="preserve"> QUEENSTOWN</w:t>
      </w:r>
      <w:r>
        <w:rPr>
          <w:rFonts w:ascii="Arial" w:hAnsi="Arial" w:cs="Arial"/>
          <w:b/>
          <w:sz w:val="22"/>
          <w:szCs w:val="22"/>
        </w:rPr>
        <w:tab/>
      </w:r>
    </w:p>
    <w:bookmarkEnd w:id="0"/>
    <w:p w:rsidR="006B0C10" w:rsidRPr="00456CD0" w:rsidRDefault="006B0C10" w:rsidP="006B0C10">
      <w:pPr>
        <w:jc w:val="both"/>
        <w:rPr>
          <w:rFonts w:ascii="Arial" w:hAnsi="Arial" w:cs="Arial"/>
        </w:rPr>
      </w:pPr>
      <w:r w:rsidRPr="00456CD0">
        <w:rPr>
          <w:rFonts w:ascii="Arial" w:hAnsi="Arial" w:cs="Arial"/>
        </w:rPr>
        <w:tab/>
      </w:r>
    </w:p>
    <w:p w:rsidR="006B0C10" w:rsidRPr="00456CD0" w:rsidRDefault="006B0C10" w:rsidP="006B0C10">
      <w:pPr>
        <w:pStyle w:val="Heading6"/>
        <w:rPr>
          <w:rFonts w:ascii="Arial" w:hAnsi="Arial" w:cs="Arial"/>
          <w:b w:val="0"/>
        </w:rPr>
      </w:pPr>
      <w:r w:rsidRPr="00456CD0">
        <w:rPr>
          <w:rFonts w:ascii="Arial" w:hAnsi="Arial" w:cs="Arial"/>
        </w:rPr>
        <w:t>DAY 1: Arrive Christchurch</w:t>
      </w:r>
    </w:p>
    <w:p w:rsidR="006B0C10" w:rsidRPr="00456CD0" w:rsidRDefault="006B0C10" w:rsidP="006B0C10">
      <w:pPr>
        <w:rPr>
          <w:rFonts w:ascii="Arial" w:hAnsi="Arial" w:cs="Arial"/>
        </w:rPr>
      </w:pPr>
      <w:r w:rsidRPr="00456CD0">
        <w:rPr>
          <w:rFonts w:ascii="Arial" w:hAnsi="Arial" w:cs="Arial"/>
        </w:rPr>
        <w:t xml:space="preserve">Meet and greet on arrival and </w:t>
      </w:r>
      <w:r w:rsidRPr="00456CD0">
        <w:rPr>
          <w:rFonts w:ascii="Arial" w:hAnsi="Arial" w:cs="Arial"/>
          <w:b/>
          <w:u w:val="single"/>
          <w:lang w:val="id-ID"/>
        </w:rPr>
        <w:t>private</w:t>
      </w:r>
      <w:r w:rsidRPr="00456CD0">
        <w:rPr>
          <w:rFonts w:ascii="Arial" w:hAnsi="Arial" w:cs="Arial"/>
        </w:rPr>
        <w:t xml:space="preserve"> transfer</w:t>
      </w:r>
      <w:r w:rsidRPr="00456CD0">
        <w:rPr>
          <w:rFonts w:ascii="Arial" w:hAnsi="Arial" w:cs="Arial"/>
          <w:lang w:val="id-ID"/>
        </w:rPr>
        <w:t xml:space="preserve"> </w:t>
      </w:r>
      <w:r w:rsidRPr="00456CD0">
        <w:rPr>
          <w:rFonts w:ascii="Arial" w:hAnsi="Arial" w:cs="Arial"/>
        </w:rPr>
        <w:t>to your hotel.  Rest of the day free at leisure.</w:t>
      </w:r>
    </w:p>
    <w:p w:rsidR="006B0C10" w:rsidRPr="00031D4A" w:rsidRDefault="006B0C10" w:rsidP="006B0C10">
      <w:pPr>
        <w:rPr>
          <w:rFonts w:ascii="Arial" w:hAnsi="Arial" w:cs="Arial"/>
          <w:b/>
          <w:i/>
        </w:rPr>
      </w:pPr>
      <w:r w:rsidRPr="00031D4A">
        <w:rPr>
          <w:rFonts w:ascii="Arial" w:hAnsi="Arial" w:cs="Arial"/>
          <w:b/>
          <w:i/>
        </w:rPr>
        <w:t xml:space="preserve"># Please check on surcharge if </w:t>
      </w:r>
      <w:proofErr w:type="spellStart"/>
      <w:r w:rsidRPr="00031D4A">
        <w:rPr>
          <w:rFonts w:ascii="Arial" w:hAnsi="Arial" w:cs="Arial"/>
          <w:b/>
          <w:i/>
        </w:rPr>
        <w:t>pax</w:t>
      </w:r>
      <w:proofErr w:type="spellEnd"/>
      <w:r w:rsidRPr="00031D4A">
        <w:rPr>
          <w:rFonts w:ascii="Arial" w:hAnsi="Arial" w:cs="Arial"/>
          <w:b/>
          <w:i/>
        </w:rPr>
        <w:t xml:space="preserve"> require a </w:t>
      </w:r>
      <w:proofErr w:type="gramStart"/>
      <w:r w:rsidRPr="00031D4A">
        <w:rPr>
          <w:rFonts w:ascii="Arial" w:hAnsi="Arial" w:cs="Arial"/>
          <w:b/>
          <w:i/>
        </w:rPr>
        <w:t>2 hour</w:t>
      </w:r>
      <w:proofErr w:type="gramEnd"/>
      <w:r w:rsidRPr="00031D4A">
        <w:rPr>
          <w:rFonts w:ascii="Arial" w:hAnsi="Arial" w:cs="Arial"/>
          <w:b/>
          <w:i/>
        </w:rPr>
        <w:t xml:space="preserve"> panoramic tour along with the transfer.</w:t>
      </w:r>
    </w:p>
    <w:p w:rsidR="006B0C10" w:rsidRPr="00456CD0" w:rsidRDefault="006B0C10" w:rsidP="006B0C10">
      <w:pPr>
        <w:jc w:val="both"/>
        <w:rPr>
          <w:rFonts w:ascii="Arial" w:hAnsi="Arial" w:cs="Arial"/>
          <w:b/>
        </w:rPr>
      </w:pPr>
    </w:p>
    <w:p w:rsidR="006B0C10" w:rsidRPr="00456CD0" w:rsidRDefault="006B0C10" w:rsidP="006B0C10">
      <w:pPr>
        <w:jc w:val="both"/>
        <w:rPr>
          <w:rFonts w:ascii="Arial" w:hAnsi="Arial" w:cs="Arial"/>
          <w:b/>
        </w:rPr>
      </w:pPr>
      <w:r w:rsidRPr="00456CD0">
        <w:rPr>
          <w:rFonts w:ascii="Arial" w:hAnsi="Arial" w:cs="Arial"/>
          <w:b/>
        </w:rPr>
        <w:t xml:space="preserve">DAY 2: Christchurch - Dunedin (B) </w:t>
      </w:r>
    </w:p>
    <w:p w:rsidR="006B0C10" w:rsidRPr="00456CD0" w:rsidRDefault="006B0C10" w:rsidP="006B0C10">
      <w:pPr>
        <w:jc w:val="both"/>
        <w:rPr>
          <w:rFonts w:ascii="Arial" w:hAnsi="Arial" w:cs="Arial"/>
          <w:color w:val="FF0000"/>
        </w:rPr>
      </w:pPr>
      <w:r w:rsidRPr="00456CD0">
        <w:rPr>
          <w:rFonts w:ascii="Arial" w:hAnsi="Arial" w:cs="Arial"/>
        </w:rPr>
        <w:t xml:space="preserve">Join Intercity coach service for journey across the Canterbury Plains to </w:t>
      </w:r>
      <w:proofErr w:type="spellStart"/>
      <w:r w:rsidRPr="00456CD0">
        <w:rPr>
          <w:rFonts w:ascii="Arial" w:hAnsi="Arial" w:cs="Arial"/>
        </w:rPr>
        <w:t>Ashburton</w:t>
      </w:r>
      <w:proofErr w:type="spellEnd"/>
      <w:r w:rsidRPr="00456CD0">
        <w:rPr>
          <w:rFonts w:ascii="Arial" w:hAnsi="Arial" w:cs="Arial"/>
        </w:rPr>
        <w:t xml:space="preserve">. Then follow the coastal road to the port city of </w:t>
      </w:r>
      <w:proofErr w:type="spellStart"/>
      <w:r w:rsidRPr="00456CD0">
        <w:rPr>
          <w:rFonts w:ascii="Arial" w:hAnsi="Arial" w:cs="Arial"/>
        </w:rPr>
        <w:t>Timaru</w:t>
      </w:r>
      <w:proofErr w:type="spellEnd"/>
      <w:r w:rsidRPr="00456CD0">
        <w:rPr>
          <w:rFonts w:ascii="Arial" w:hAnsi="Arial" w:cs="Arial"/>
        </w:rPr>
        <w:t xml:space="preserve">. Continue southward to historic Oamaru with its impressive stone buildings. Arrive into the Scottish influenced city of Dunedin approximately 2pm. </w:t>
      </w:r>
      <w:r w:rsidRPr="00456CD0">
        <w:rPr>
          <w:rFonts w:ascii="Arial" w:hAnsi="Arial" w:cs="Arial"/>
          <w:color w:val="FF0000"/>
        </w:rPr>
        <w:t>(Note: This coach service does not include commentaries)</w:t>
      </w:r>
    </w:p>
    <w:p w:rsidR="006B0C10" w:rsidRPr="00456CD0" w:rsidRDefault="006B0C10" w:rsidP="006B0C10">
      <w:pPr>
        <w:jc w:val="both"/>
        <w:rPr>
          <w:rFonts w:ascii="Arial" w:hAnsi="Arial" w:cs="Arial"/>
        </w:rPr>
      </w:pPr>
      <w:r w:rsidRPr="00456CD0">
        <w:rPr>
          <w:rFonts w:ascii="Arial" w:hAnsi="Arial" w:cs="Arial"/>
        </w:rPr>
        <w:t xml:space="preserve">Rest of the day free at leisure for you to explore Dunedin on your own.  </w:t>
      </w:r>
    </w:p>
    <w:p w:rsidR="006B0C10" w:rsidRPr="00456CD0" w:rsidRDefault="006B0C10" w:rsidP="006B0C10">
      <w:pPr>
        <w:jc w:val="both"/>
        <w:rPr>
          <w:rFonts w:ascii="Arial" w:hAnsi="Arial" w:cs="Arial"/>
        </w:rPr>
      </w:pPr>
    </w:p>
    <w:p w:rsidR="006B0C10" w:rsidRPr="00456CD0" w:rsidRDefault="006B0C10" w:rsidP="006B0C10">
      <w:pPr>
        <w:jc w:val="both"/>
        <w:rPr>
          <w:rFonts w:ascii="Arial" w:hAnsi="Arial" w:cs="Arial"/>
          <w:b/>
        </w:rPr>
      </w:pPr>
      <w:r w:rsidRPr="00456CD0">
        <w:rPr>
          <w:rFonts w:ascii="Arial" w:hAnsi="Arial" w:cs="Arial"/>
          <w:b/>
        </w:rPr>
        <w:t>DAY 3: Dunedin - Queenstown (B)</w:t>
      </w:r>
    </w:p>
    <w:p w:rsidR="006B0C10" w:rsidRPr="00456CD0" w:rsidRDefault="006B0C10" w:rsidP="006B0C10">
      <w:pPr>
        <w:jc w:val="both"/>
        <w:rPr>
          <w:rFonts w:ascii="Arial" w:hAnsi="Arial" w:cs="Arial"/>
        </w:rPr>
      </w:pPr>
      <w:r>
        <w:rPr>
          <w:rFonts w:ascii="Arial" w:hAnsi="Arial" w:cs="Arial"/>
        </w:rPr>
        <w:t xml:space="preserve">In the morning, join a sightseeing tour to explore Dunedin City, including a </w:t>
      </w:r>
      <w:r w:rsidRPr="00C93B47">
        <w:rPr>
          <w:rFonts w:ascii="Arial" w:hAnsi="Arial" w:cs="Arial"/>
        </w:rPr>
        <w:t>walk through New Zealand's oldest University</w:t>
      </w:r>
      <w:r>
        <w:rPr>
          <w:rFonts w:ascii="Arial" w:hAnsi="Arial" w:cs="Arial"/>
        </w:rPr>
        <w:t xml:space="preserve">, </w:t>
      </w:r>
      <w:r w:rsidRPr="00C93B47">
        <w:rPr>
          <w:rFonts w:ascii="Arial" w:hAnsi="Arial" w:cs="Arial"/>
        </w:rPr>
        <w:t>see Baldwin Street the World's steepest street</w:t>
      </w:r>
      <w:r>
        <w:rPr>
          <w:rFonts w:ascii="Arial" w:hAnsi="Arial" w:cs="Arial"/>
        </w:rPr>
        <w:t xml:space="preserve">, </w:t>
      </w:r>
      <w:r w:rsidRPr="00C93B47">
        <w:rPr>
          <w:rFonts w:ascii="Arial" w:hAnsi="Arial" w:cs="Arial"/>
        </w:rPr>
        <w:t>visit spectacular lookouts and gardens</w:t>
      </w:r>
      <w:r>
        <w:rPr>
          <w:rFonts w:ascii="Arial" w:hAnsi="Arial" w:cs="Arial"/>
        </w:rPr>
        <w:t xml:space="preserve">, </w:t>
      </w:r>
      <w:r w:rsidRPr="00C93B47">
        <w:rPr>
          <w:rFonts w:ascii="Arial" w:hAnsi="Arial" w:cs="Arial"/>
        </w:rPr>
        <w:t>take in stunning architecture and local history</w:t>
      </w:r>
      <w:r>
        <w:rPr>
          <w:rFonts w:ascii="Arial" w:hAnsi="Arial" w:cs="Arial"/>
        </w:rPr>
        <w:t xml:space="preserve">, also </w:t>
      </w:r>
      <w:r w:rsidRPr="00C93B47">
        <w:rPr>
          <w:rFonts w:ascii="Arial" w:hAnsi="Arial" w:cs="Arial"/>
        </w:rPr>
        <w:t>discover Dunedin's unique place in NZ</w:t>
      </w:r>
      <w:r>
        <w:rPr>
          <w:rFonts w:ascii="Arial" w:hAnsi="Arial" w:cs="Arial"/>
        </w:rPr>
        <w:t xml:space="preserve">. In the afternoon, join Intercity coach service from Dunedin to Queenstown </w:t>
      </w:r>
      <w:r w:rsidRPr="001F2D0C">
        <w:rPr>
          <w:rFonts w:ascii="Arial" w:hAnsi="Arial" w:cs="Arial"/>
          <w:color w:val="FF0000"/>
        </w:rPr>
        <w:t>(Note: This coach service does not include commentaries)</w:t>
      </w:r>
      <w:r>
        <w:rPr>
          <w:rFonts w:ascii="Arial" w:hAnsi="Arial" w:cs="Arial"/>
        </w:rPr>
        <w:t>. Arrive</w:t>
      </w:r>
      <w:r w:rsidRPr="00456CD0">
        <w:rPr>
          <w:rFonts w:ascii="Arial" w:hAnsi="Arial" w:cs="Arial"/>
        </w:rPr>
        <w:t xml:space="preserve"> Queenstown in the evening</w:t>
      </w:r>
      <w:r>
        <w:rPr>
          <w:rFonts w:ascii="Arial" w:hAnsi="Arial" w:cs="Arial"/>
        </w:rPr>
        <w:t>.</w:t>
      </w:r>
    </w:p>
    <w:p w:rsidR="006B0C10" w:rsidRPr="00456CD0" w:rsidRDefault="006B0C10" w:rsidP="006B0C10">
      <w:pPr>
        <w:jc w:val="both"/>
        <w:rPr>
          <w:rFonts w:ascii="Arial" w:hAnsi="Arial" w:cs="Arial"/>
          <w:b/>
        </w:rPr>
      </w:pPr>
    </w:p>
    <w:p w:rsidR="006B0C10" w:rsidRPr="00456CD0" w:rsidRDefault="006B0C10" w:rsidP="006B0C10">
      <w:pPr>
        <w:jc w:val="both"/>
        <w:rPr>
          <w:rFonts w:ascii="Arial" w:hAnsi="Arial" w:cs="Arial"/>
          <w:b/>
        </w:rPr>
      </w:pPr>
      <w:r w:rsidRPr="00456CD0">
        <w:rPr>
          <w:rFonts w:ascii="Arial" w:hAnsi="Arial" w:cs="Arial"/>
          <w:b/>
        </w:rPr>
        <w:t>DAY 4: Queenstown (B)</w:t>
      </w:r>
    </w:p>
    <w:p w:rsidR="006B0C10" w:rsidRPr="00456CD0" w:rsidRDefault="006B0C10" w:rsidP="006B0C10">
      <w:pPr>
        <w:jc w:val="both"/>
        <w:rPr>
          <w:rFonts w:ascii="Arial" w:hAnsi="Arial" w:cs="Arial"/>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p>
    <w:p w:rsidR="006B0C10" w:rsidRPr="00456CD0" w:rsidRDefault="006B0C10" w:rsidP="006B0C10">
      <w:pPr>
        <w:jc w:val="both"/>
        <w:rPr>
          <w:rFonts w:ascii="Arial" w:hAnsi="Arial" w:cs="Arial"/>
        </w:rPr>
      </w:pPr>
    </w:p>
    <w:p w:rsidR="006B0C10" w:rsidRPr="00456CD0" w:rsidRDefault="006B0C10" w:rsidP="006B0C10">
      <w:pPr>
        <w:jc w:val="both"/>
        <w:rPr>
          <w:rFonts w:ascii="Arial" w:hAnsi="Arial" w:cs="Arial"/>
          <w:b/>
        </w:rPr>
      </w:pPr>
      <w:r w:rsidRPr="00456CD0">
        <w:rPr>
          <w:rFonts w:ascii="Arial" w:hAnsi="Arial" w:cs="Arial"/>
          <w:b/>
        </w:rPr>
        <w:t>DAY 5: Milford Sound Day Excursion (B)</w:t>
      </w:r>
    </w:p>
    <w:p w:rsidR="006B0C10" w:rsidRPr="00456CD0" w:rsidRDefault="006B0C10" w:rsidP="006B0C10">
      <w:pPr>
        <w:jc w:val="both"/>
        <w:rPr>
          <w:rFonts w:ascii="Arial" w:hAnsi="Arial" w:cs="Arial"/>
        </w:rPr>
      </w:pPr>
      <w:r w:rsidRPr="00456CD0">
        <w:rPr>
          <w:rFonts w:ascii="Arial" w:hAnsi="Arial" w:cs="Arial"/>
        </w:rPr>
        <w:t xml:space="preserve">Today enjoy a day excursion by Great Sights coach to Milford Sound. Follow the Lake Wakatipu to </w:t>
      </w:r>
      <w:proofErr w:type="spellStart"/>
      <w:r w:rsidRPr="00456CD0">
        <w:rPr>
          <w:rFonts w:ascii="Arial" w:hAnsi="Arial" w:cs="Arial"/>
        </w:rPr>
        <w:t>Lumsden</w:t>
      </w:r>
      <w:proofErr w:type="spellEnd"/>
      <w:r w:rsidRPr="00456CD0">
        <w:rPr>
          <w:rFonts w:ascii="Arial" w:hAnsi="Arial" w:cs="Arial"/>
        </w:rPr>
        <w:t xml:space="preserve"> and then onward to Lake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Anau</w:t>
      </w:r>
      <w:proofErr w:type="spellEnd"/>
      <w:r w:rsidRPr="00456CD0">
        <w:rPr>
          <w:rFonts w:ascii="Arial" w:hAnsi="Arial" w:cs="Arial"/>
        </w:rPr>
        <w:t xml:space="preserve">. Enter Fiordland National Park along Eglington Valley and travel through Homer Tunnel to reach Milford Sounds.  This is reputed as the prettiest drive in the country with amazing mountain scenery all the way. Enjoy the cruise on the spectacular world famous fiords dominated by </w:t>
      </w:r>
      <w:proofErr w:type="spellStart"/>
      <w:r w:rsidRPr="00456CD0">
        <w:rPr>
          <w:rFonts w:ascii="Arial" w:hAnsi="Arial" w:cs="Arial"/>
        </w:rPr>
        <w:t>Mitre</w:t>
      </w:r>
      <w:proofErr w:type="spellEnd"/>
      <w:r w:rsidRPr="00456CD0">
        <w:rPr>
          <w:rFonts w:ascii="Arial" w:hAnsi="Arial" w:cs="Arial"/>
        </w:rPr>
        <w:t xml:space="preserve"> Peak and Bowen Falls.  Retrace the journey back to Queenstown in the evening.</w:t>
      </w:r>
    </w:p>
    <w:p w:rsidR="006B0C10" w:rsidRPr="00456CD0" w:rsidRDefault="006B0C10" w:rsidP="006B0C10">
      <w:pPr>
        <w:jc w:val="both"/>
        <w:rPr>
          <w:rFonts w:ascii="Arial" w:hAnsi="Arial" w:cs="Arial"/>
          <w:b/>
        </w:rPr>
      </w:pPr>
    </w:p>
    <w:p w:rsidR="006B0C10" w:rsidRPr="00456CD0" w:rsidRDefault="006B0C10" w:rsidP="006B0C10">
      <w:pPr>
        <w:jc w:val="both"/>
        <w:rPr>
          <w:rFonts w:ascii="Arial" w:hAnsi="Arial" w:cs="Arial"/>
          <w:b/>
        </w:rPr>
      </w:pPr>
      <w:r w:rsidRPr="00456CD0">
        <w:rPr>
          <w:rFonts w:ascii="Arial" w:hAnsi="Arial" w:cs="Arial"/>
          <w:b/>
        </w:rPr>
        <w:t>DAY 6:</w:t>
      </w:r>
      <w:r w:rsidRPr="00456CD0">
        <w:rPr>
          <w:rFonts w:ascii="Arial" w:hAnsi="Arial" w:cs="Arial"/>
          <w:b/>
        </w:rPr>
        <w:tab/>
        <w:t>Queenstown - Mt Cook - Christchurch (B)</w:t>
      </w:r>
    </w:p>
    <w:p w:rsidR="006B0C10" w:rsidRPr="00456CD0" w:rsidRDefault="006B0C10" w:rsidP="006B0C10">
      <w:pPr>
        <w:jc w:val="both"/>
        <w:rPr>
          <w:rFonts w:ascii="Arial" w:hAnsi="Arial" w:cs="Arial"/>
          <w:lang w:val="en-MY"/>
        </w:rPr>
      </w:pPr>
      <w:r w:rsidRPr="00456CD0">
        <w:rPr>
          <w:rFonts w:ascii="Arial" w:hAnsi="Arial" w:cs="Arial"/>
          <w:lang w:val="en-MY"/>
        </w:rPr>
        <w:t xml:space="preserve">Pick up by Great Sights coach and travel through the Central Otago region and on to Twizel. Follow the shores of Lake </w:t>
      </w:r>
      <w:proofErr w:type="spellStart"/>
      <w:r w:rsidRPr="00456CD0">
        <w:rPr>
          <w:rFonts w:ascii="Arial" w:hAnsi="Arial" w:cs="Arial"/>
          <w:lang w:val="en-MY"/>
        </w:rPr>
        <w:t>Pukaki</w:t>
      </w:r>
      <w:proofErr w:type="spellEnd"/>
      <w:r w:rsidRPr="00456CD0">
        <w:rPr>
          <w:rFonts w:ascii="Arial" w:hAnsi="Arial" w:cs="Arial"/>
          <w:lang w:val="en-MY"/>
        </w:rPr>
        <w:t xml:space="preserve"> to Mount Cook National Park Village. Set at the foothill of the Southern Alps, you have a close up view of Mt Cook – New Zealand’s highest mountain. Visit the Church of the Good Shepherd at Lake </w:t>
      </w:r>
      <w:proofErr w:type="spellStart"/>
      <w:r w:rsidRPr="00456CD0">
        <w:rPr>
          <w:rFonts w:ascii="Arial" w:hAnsi="Arial" w:cs="Arial"/>
          <w:lang w:val="en-MY"/>
        </w:rPr>
        <w:t>Tekapo</w:t>
      </w:r>
      <w:proofErr w:type="spellEnd"/>
      <w:r w:rsidRPr="00456CD0">
        <w:rPr>
          <w:rFonts w:ascii="Arial" w:hAnsi="Arial" w:cs="Arial"/>
          <w:lang w:val="en-MY"/>
        </w:rPr>
        <w:t xml:space="preserve"> before travelling across the Canterbury Plains to arrive Christchurch in the evening.</w:t>
      </w:r>
    </w:p>
    <w:p w:rsidR="006B0C10" w:rsidRPr="00456CD0" w:rsidRDefault="006B0C10" w:rsidP="006B0C10">
      <w:pPr>
        <w:jc w:val="both"/>
        <w:rPr>
          <w:rFonts w:ascii="Arial" w:hAnsi="Arial" w:cs="Arial"/>
        </w:rPr>
      </w:pPr>
    </w:p>
    <w:p w:rsidR="006B0C10" w:rsidRPr="00456CD0" w:rsidRDefault="006B0C10" w:rsidP="006B0C10">
      <w:pPr>
        <w:jc w:val="both"/>
        <w:rPr>
          <w:rFonts w:ascii="Arial" w:hAnsi="Arial" w:cs="Arial"/>
          <w:b/>
        </w:rPr>
      </w:pPr>
      <w:r w:rsidRPr="00456CD0">
        <w:rPr>
          <w:rFonts w:ascii="Arial" w:hAnsi="Arial" w:cs="Arial"/>
          <w:b/>
        </w:rPr>
        <w:t>DAY 7:</w:t>
      </w:r>
      <w:r w:rsidRPr="00456CD0">
        <w:rPr>
          <w:rFonts w:ascii="Arial" w:hAnsi="Arial" w:cs="Arial"/>
          <w:b/>
        </w:rPr>
        <w:tab/>
        <w:t>Depart Christchurch (B)</w:t>
      </w:r>
    </w:p>
    <w:p w:rsidR="006B0C10" w:rsidRPr="00456CD0" w:rsidRDefault="006B0C10" w:rsidP="006B0C10">
      <w:pPr>
        <w:jc w:val="both"/>
        <w:rPr>
          <w:rFonts w:ascii="Arial" w:hAnsi="Arial" w:cs="Arial"/>
        </w:rPr>
      </w:pPr>
      <w:r w:rsidRPr="00456CD0">
        <w:rPr>
          <w:rFonts w:ascii="Arial" w:hAnsi="Arial" w:cs="Arial"/>
        </w:rPr>
        <w:t>Pick-up and transfer to the airport by shuttle service.</w:t>
      </w:r>
    </w:p>
    <w:p w:rsidR="006B0C10" w:rsidRPr="00456CD0" w:rsidRDefault="006B0C10" w:rsidP="006B0C10">
      <w:pPr>
        <w:rPr>
          <w:rFonts w:ascii="Arial" w:hAnsi="Arial" w:cs="Arial"/>
        </w:rPr>
      </w:pPr>
    </w:p>
    <w:p w:rsidR="006B0C10" w:rsidRPr="00456CD0" w:rsidRDefault="006B0C10" w:rsidP="006B0C10">
      <w:pPr>
        <w:rPr>
          <w:rFonts w:ascii="Arial" w:hAnsi="Arial" w:cs="Arial"/>
        </w:rPr>
      </w:pPr>
    </w:p>
    <w:p w:rsidR="006B0C10" w:rsidRPr="00456CD0" w:rsidRDefault="006B0C10" w:rsidP="006B0C10">
      <w:pPr>
        <w:rPr>
          <w:rFonts w:ascii="Arial" w:hAnsi="Arial" w:cs="Arial"/>
          <w:b/>
          <w:highlight w:val="lightGray"/>
        </w:rPr>
      </w:pPr>
      <w:r w:rsidRPr="00456CD0">
        <w:rPr>
          <w:rFonts w:ascii="Arial" w:hAnsi="Arial" w:cs="Arial"/>
          <w:b/>
          <w:highlight w:val="lightGray"/>
        </w:rPr>
        <w:t xml:space="preserve">NETT PRICE per person in New Zealand Dollars </w:t>
      </w:r>
    </w:p>
    <w:p w:rsidR="006B0C10" w:rsidRPr="00456CD0" w:rsidRDefault="006B0C10" w:rsidP="006B0C10">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6B0C10" w:rsidRPr="00456CD0" w:rsidRDefault="006B0C10" w:rsidP="006B0C10">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6B0C10" w:rsidRPr="00456CD0" w:rsidTr="000D00ED">
        <w:tc>
          <w:tcPr>
            <w:tcW w:w="1275" w:type="dxa"/>
            <w:vAlign w:val="center"/>
          </w:tcPr>
          <w:p w:rsidR="006B0C10" w:rsidRPr="00456CD0" w:rsidRDefault="006B0C10" w:rsidP="000D00ED">
            <w:pPr>
              <w:rPr>
                <w:rFonts w:ascii="Arial" w:hAnsi="Arial" w:cs="Arial"/>
                <w:b/>
              </w:rPr>
            </w:pPr>
            <w:r w:rsidRPr="00456CD0">
              <w:rPr>
                <w:rFonts w:ascii="Arial" w:hAnsi="Arial" w:cs="Arial"/>
                <w:b/>
              </w:rPr>
              <w:t>Hotel</w:t>
            </w:r>
          </w:p>
        </w:tc>
        <w:tc>
          <w:tcPr>
            <w:tcW w:w="1207" w:type="dxa"/>
            <w:vAlign w:val="center"/>
          </w:tcPr>
          <w:p w:rsidR="006B0C10" w:rsidRPr="00456CD0" w:rsidRDefault="006B0C10" w:rsidP="000D00ED">
            <w:pPr>
              <w:rPr>
                <w:rFonts w:ascii="Arial" w:hAnsi="Arial" w:cs="Arial"/>
                <w:b/>
              </w:rPr>
            </w:pPr>
            <w:r w:rsidRPr="00456CD0">
              <w:rPr>
                <w:rFonts w:ascii="Arial" w:hAnsi="Arial" w:cs="Arial"/>
                <w:b/>
              </w:rPr>
              <w:t>Single</w:t>
            </w:r>
          </w:p>
        </w:tc>
        <w:tc>
          <w:tcPr>
            <w:tcW w:w="1187" w:type="dxa"/>
            <w:vAlign w:val="center"/>
          </w:tcPr>
          <w:p w:rsidR="006B0C10" w:rsidRPr="00456CD0" w:rsidRDefault="006B0C10"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6B0C10" w:rsidRPr="00456CD0" w:rsidRDefault="006B0C10" w:rsidP="000D00ED">
            <w:pPr>
              <w:rPr>
                <w:rFonts w:ascii="Arial" w:hAnsi="Arial" w:cs="Arial"/>
                <w:b/>
              </w:rPr>
            </w:pPr>
            <w:r w:rsidRPr="00456CD0">
              <w:rPr>
                <w:rFonts w:ascii="Arial" w:hAnsi="Arial" w:cs="Arial"/>
                <w:b/>
              </w:rPr>
              <w:t>Triple</w:t>
            </w:r>
          </w:p>
        </w:tc>
      </w:tr>
      <w:tr w:rsidR="006B0C10" w:rsidRPr="00901326" w:rsidTr="000D00ED">
        <w:tc>
          <w:tcPr>
            <w:tcW w:w="1275" w:type="dxa"/>
            <w:vAlign w:val="center"/>
          </w:tcPr>
          <w:p w:rsidR="006B0C10" w:rsidRPr="00901326" w:rsidRDefault="006B0C10" w:rsidP="000D00ED">
            <w:pPr>
              <w:rPr>
                <w:rFonts w:ascii="Arial" w:hAnsi="Arial" w:cs="Arial"/>
                <w:b/>
              </w:rPr>
            </w:pPr>
            <w:r w:rsidRPr="00901326">
              <w:rPr>
                <w:rFonts w:ascii="Arial" w:hAnsi="Arial" w:cs="Arial"/>
                <w:b/>
              </w:rPr>
              <w:t>Standard</w:t>
            </w:r>
          </w:p>
        </w:tc>
        <w:tc>
          <w:tcPr>
            <w:tcW w:w="1207" w:type="dxa"/>
            <w:vAlign w:val="center"/>
          </w:tcPr>
          <w:p w:rsidR="006B0C10" w:rsidRPr="00901326" w:rsidRDefault="006B0C10" w:rsidP="000D00ED">
            <w:pPr>
              <w:rPr>
                <w:rFonts w:ascii="Arial" w:hAnsi="Arial" w:cs="Arial"/>
              </w:rPr>
            </w:pPr>
            <w:r>
              <w:rPr>
                <w:rFonts w:ascii="Arial" w:hAnsi="Arial" w:cs="Arial"/>
                <w:lang w:val="en-GB"/>
              </w:rPr>
              <w:t>1855</w:t>
            </w:r>
            <w:r w:rsidRPr="00901326">
              <w:rPr>
                <w:rFonts w:ascii="Arial" w:hAnsi="Arial" w:cs="Arial"/>
              </w:rPr>
              <w:t>.00</w:t>
            </w:r>
          </w:p>
        </w:tc>
        <w:tc>
          <w:tcPr>
            <w:tcW w:w="1187" w:type="dxa"/>
            <w:vAlign w:val="center"/>
          </w:tcPr>
          <w:p w:rsidR="006B0C10" w:rsidRPr="00901326" w:rsidRDefault="006B0C10" w:rsidP="000D00ED">
            <w:pPr>
              <w:rPr>
                <w:rFonts w:ascii="Arial" w:hAnsi="Arial" w:cs="Arial"/>
              </w:rPr>
            </w:pPr>
            <w:r>
              <w:rPr>
                <w:rFonts w:ascii="Arial" w:hAnsi="Arial" w:cs="Arial"/>
              </w:rPr>
              <w:t>1350</w:t>
            </w:r>
            <w:r w:rsidRPr="00901326">
              <w:rPr>
                <w:rFonts w:ascii="Arial" w:hAnsi="Arial" w:cs="Arial"/>
              </w:rPr>
              <w:t>.00</w:t>
            </w:r>
          </w:p>
        </w:tc>
        <w:tc>
          <w:tcPr>
            <w:tcW w:w="1210" w:type="dxa"/>
            <w:tcBorders>
              <w:right w:val="single" w:sz="4" w:space="0" w:color="auto"/>
            </w:tcBorders>
            <w:vAlign w:val="center"/>
          </w:tcPr>
          <w:p w:rsidR="006B0C10" w:rsidRPr="00901326" w:rsidRDefault="006B0C10" w:rsidP="000D00ED">
            <w:pPr>
              <w:rPr>
                <w:rFonts w:ascii="Arial" w:hAnsi="Arial" w:cs="Arial"/>
              </w:rPr>
            </w:pPr>
            <w:r>
              <w:rPr>
                <w:rFonts w:ascii="Arial" w:hAnsi="Arial" w:cs="Arial"/>
                <w:lang w:val="en-GB"/>
              </w:rPr>
              <w:t>1265</w:t>
            </w:r>
            <w:r>
              <w:rPr>
                <w:rFonts w:ascii="Arial" w:hAnsi="Arial" w:cs="Arial"/>
                <w:lang w:val="id-ID"/>
              </w:rPr>
              <w:t>.00</w:t>
            </w:r>
          </w:p>
        </w:tc>
      </w:tr>
      <w:tr w:rsidR="006B0C10" w:rsidRPr="00456CD0" w:rsidTr="000D00ED">
        <w:tc>
          <w:tcPr>
            <w:tcW w:w="1275" w:type="dxa"/>
            <w:vAlign w:val="center"/>
          </w:tcPr>
          <w:p w:rsidR="006B0C10" w:rsidRPr="00901326" w:rsidRDefault="006B0C10" w:rsidP="000D00ED">
            <w:pPr>
              <w:rPr>
                <w:rFonts w:ascii="Arial" w:hAnsi="Arial" w:cs="Arial"/>
                <w:b/>
              </w:rPr>
            </w:pPr>
            <w:r w:rsidRPr="00901326">
              <w:rPr>
                <w:rFonts w:ascii="Arial" w:hAnsi="Arial" w:cs="Arial"/>
                <w:b/>
              </w:rPr>
              <w:t>Premium</w:t>
            </w:r>
          </w:p>
        </w:tc>
        <w:tc>
          <w:tcPr>
            <w:tcW w:w="1207" w:type="dxa"/>
            <w:vAlign w:val="center"/>
          </w:tcPr>
          <w:p w:rsidR="006B0C10" w:rsidRPr="00901326" w:rsidRDefault="006B0C10" w:rsidP="000D00ED">
            <w:pPr>
              <w:rPr>
                <w:rFonts w:ascii="Arial" w:hAnsi="Arial" w:cs="Arial"/>
              </w:rPr>
            </w:pPr>
            <w:r>
              <w:rPr>
                <w:rFonts w:ascii="Arial" w:hAnsi="Arial" w:cs="Arial"/>
              </w:rPr>
              <w:t>2120</w:t>
            </w:r>
            <w:r w:rsidRPr="00901326">
              <w:rPr>
                <w:rFonts w:ascii="Arial" w:hAnsi="Arial" w:cs="Arial"/>
              </w:rPr>
              <w:t>.00</w:t>
            </w:r>
          </w:p>
        </w:tc>
        <w:tc>
          <w:tcPr>
            <w:tcW w:w="1187" w:type="dxa"/>
            <w:vAlign w:val="center"/>
          </w:tcPr>
          <w:p w:rsidR="006B0C10" w:rsidRPr="00901326" w:rsidRDefault="006B0C10" w:rsidP="000D00ED">
            <w:pPr>
              <w:rPr>
                <w:rFonts w:ascii="Arial" w:hAnsi="Arial" w:cs="Arial"/>
              </w:rPr>
            </w:pPr>
            <w:r>
              <w:rPr>
                <w:rFonts w:ascii="Arial" w:hAnsi="Arial" w:cs="Arial"/>
                <w:lang w:val="en-GB"/>
              </w:rPr>
              <w:t>1495</w:t>
            </w:r>
            <w:r w:rsidRPr="00901326">
              <w:rPr>
                <w:rFonts w:ascii="Arial" w:hAnsi="Arial" w:cs="Arial"/>
              </w:rPr>
              <w:t>.00</w:t>
            </w:r>
          </w:p>
        </w:tc>
        <w:tc>
          <w:tcPr>
            <w:tcW w:w="1210" w:type="dxa"/>
            <w:tcBorders>
              <w:right w:val="single" w:sz="4" w:space="0" w:color="auto"/>
            </w:tcBorders>
            <w:vAlign w:val="center"/>
          </w:tcPr>
          <w:p w:rsidR="006B0C10" w:rsidRPr="00E30E9A" w:rsidRDefault="006B0C10" w:rsidP="000D00ED">
            <w:pPr>
              <w:rPr>
                <w:rFonts w:ascii="Arial" w:hAnsi="Arial" w:cs="Arial"/>
                <w:lang w:val="id-ID"/>
              </w:rPr>
            </w:pPr>
            <w:r>
              <w:rPr>
                <w:rFonts w:ascii="Arial" w:hAnsi="Arial" w:cs="Arial"/>
                <w:lang w:val="en-GB"/>
              </w:rPr>
              <w:t>1390</w:t>
            </w:r>
            <w:r>
              <w:rPr>
                <w:rFonts w:ascii="Arial" w:hAnsi="Arial" w:cs="Arial"/>
                <w:lang w:val="id-ID"/>
              </w:rPr>
              <w:t>.00</w:t>
            </w:r>
          </w:p>
        </w:tc>
      </w:tr>
    </w:tbl>
    <w:p w:rsidR="00582B74" w:rsidRDefault="00582B74"/>
    <w:p w:rsidR="00582B74" w:rsidRDefault="00582B74">
      <w:pPr>
        <w:overflowPunct/>
        <w:autoSpaceDE/>
        <w:autoSpaceDN/>
        <w:adjustRightInd/>
        <w:spacing w:after="160" w:line="259" w:lineRule="auto"/>
        <w:textAlignment w:val="auto"/>
      </w:pPr>
      <w: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lastRenderedPageBreak/>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582B74">
      <w:footerReference w:type="default" r:id="rId5"/>
      <w:pgSz w:w="11906" w:h="16838"/>
      <w:pgMar w:top="1135"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6B0C10">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5A29B2"/>
    <w:rsid w:val="006B0C10"/>
    <w:rsid w:val="007F1842"/>
    <w:rsid w:val="00C61419"/>
    <w:rsid w:val="00D85811"/>
    <w:rsid w:val="00EF5E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2020-03-22T07:52:00Z</dcterms:created>
  <dcterms:modified xsi:type="dcterms:W3CDTF">2020-03-22T07:52:00Z</dcterms:modified>
</cp:coreProperties>
</file>