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2 Assignment: Extracting Strategic Technology Signals from Form 10-K</w:t>
      </w:r>
    </w:p>
    <w:p>
      <w:pPr>
        <w:pStyle w:val="Subtitle"/>
      </w:pPr>
      <w:r>
        <w:t xml:space="preserve">Building a Retrieval-Ready Corpus for LLM Systems</w:t>
      </w:r>
    </w:p>
    <w:p>
      <w:pPr>
        <w:pStyle w:val="Author"/>
      </w:pPr>
      <w:r>
        <w:t xml:space="preserve">Nakul R. Padalkar</w:t>
      </w:r>
    </w:p>
    <w:p>
      <w:pPr>
        <w:pStyle w:val="Date"/>
      </w:pPr>
      <w:r>
        <w:t xml:space="preserve">February 1, 2026</w:t>
      </w:r>
    </w:p>
    <w:bookmarkStart w:id="24" w:name="recommended-assignment-build-sequence"/>
    <w:p>
      <w:pPr>
        <w:pStyle w:val="Heading1"/>
      </w:pPr>
      <w:r>
        <w:t xml:space="preserve">1. Recommended assignment build sequence</w:t>
      </w:r>
    </w:p>
    <w:p>
      <w:pPr>
        <w:pStyle w:val="FirstParagraph"/>
      </w:pPr>
      <w:r>
        <w:t xml:space="preserve">In general We need to treat this problem as a data engineering task, not a modeling task. The goal is to build a clean, structured, and reusable corpus of Item 1, Item 1A, and Item 7 sections from the SEC 10-K filings. A standard approach is to build a robust Python pipeline that can handle the messy nature of SEC HTML filings and produce a clean dataset for later LLM-based analysis. We could also relate it back to the analytical pipeline or a software engineering workflow, but the core deliverable is a Python pipeline that extracts the relevant sections and saves them in a structured format.</w:t>
      </w:r>
      <w:r>
        <w:t xml:space="preserve"> </w:t>
      </w:r>
      <w:hyperlink w:anchor="fig-baysian-modeling">
        <w:r>
          <w:rPr>
            <w:rStyle w:val="Hyperlink"/>
          </w:rPr>
          <w:t xml:space="preserve">Figure 1</w:t>
        </w:r>
      </w:hyperlink>
      <w:r>
        <w:t xml:space="preserve"> </w:t>
      </w:r>
      <w:r>
        <w:t xml:space="preserve">shows a recommended build sequence for the assignment, which I think is a good approach to follow.</w:t>
      </w:r>
    </w:p>
    <w:tbl>
      <w:tblPr>
        <w:tblStyle w:val="Table"/>
        <w:tblW w:type="pct" w:w="5000"/>
        <w:tblLayout w:type="fixed"/>
        <w:tblLook w:firstRow="0" w:lastRow="0" w:firstColumn="0" w:lastColumn="0" w:noHBand="0" w:noVBand="0" w:val="0000"/>
      </w:tblPr>
      <w:tblGrid>
        <w:gridCol w:w="7920"/>
      </w:tblGrid>
      <w:tr>
        <w:tc>
          <w:tcPr/>
          <w:bookmarkStart w:id="23" w:name="fig-baysian-modeling"/>
          <w:p>
            <w:pPr>
              <w:pStyle w:val="Compact"/>
              <w:jc w:val="center"/>
            </w:pPr>
            <w:r>
              <w:drawing>
                <wp:inline>
                  <wp:extent cx="4267200" cy="4323080"/>
                  <wp:effectExtent b="0" l="0" r="0" t="0"/>
                  <wp:docPr descr="" title="" id="21" name="Picture"/>
                  <a:graphic>
                    <a:graphicData uri="http://schemas.openxmlformats.org/drawingml/2006/picture">
                      <pic:pic>
                        <pic:nvPicPr>
                          <pic:cNvPr descr="./M02_lecture01_figures/baysian-modeling.png" id="22" name="Picture"/>
                          <pic:cNvPicPr>
                            <a:picLocks noChangeArrowheads="1" noChangeAspect="1"/>
                          </pic:cNvPicPr>
                        </pic:nvPicPr>
                        <pic:blipFill>
                          <a:blip r:embed="rId20"/>
                          <a:stretch>
                            <a:fillRect/>
                          </a:stretch>
                        </pic:blipFill>
                        <pic:spPr bwMode="auto">
                          <a:xfrm>
                            <a:off x="0" y="0"/>
                            <a:ext cx="4267200" cy="4323080"/>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1</w:t>
            </w:r>
            <w:r>
              <w:rPr>
                <w:b/>
                <w:bCs/>
              </w:rPr>
              <w:t xml:space="preserve">.</w:t>
            </w:r>
            <w:r>
              <w:t xml:space="preserve"> </w:t>
            </w:r>
            <w:r>
              <w:t xml:space="preserve">Bayesian Modeling</w:t>
            </w:r>
          </w:p>
          <w:bookmarkEnd w:id="23"/>
        </w:tc>
      </w:tr>
    </w:tbl>
    <w:p>
      <w:pPr>
        <w:pStyle w:val="BodyText"/>
      </w:pPr>
      <w:r>
        <w:t xml:space="preserve">Build your understanding on the code here. In most cases the logical structure will remain the same regardless of the type of the dataset/documents you are using. For the SEC Text pipeline, I would structure it like this</w:t>
      </w:r>
    </w:p>
    <w:p>
      <w:pPr>
        <w:pStyle w:val="Compact"/>
        <w:numPr>
          <w:ilvl w:val="0"/>
          <w:numId w:val="1001"/>
        </w:numPr>
      </w:pPr>
      <w:r>
        <w:t xml:space="preserve">Part 1. Discover and load HTML filings</w:t>
      </w:r>
    </w:p>
    <w:p>
      <w:pPr>
        <w:pStyle w:val="Compact"/>
        <w:numPr>
          <w:ilvl w:val="0"/>
          <w:numId w:val="1001"/>
        </w:numPr>
      </w:pPr>
      <w:r>
        <w:t xml:space="preserve">Part 2. Clean HTML into normalized text</w:t>
      </w:r>
    </w:p>
    <w:p>
      <w:pPr>
        <w:pStyle w:val="Compact"/>
        <w:numPr>
          <w:ilvl w:val="0"/>
          <w:numId w:val="1001"/>
        </w:numPr>
      </w:pPr>
      <w:r>
        <w:t xml:space="preserve">Part 3. Detect and extract Item 1, Item 1A, and Item 7</w:t>
      </w:r>
    </w:p>
    <w:p>
      <w:pPr>
        <w:pStyle w:val="Compact"/>
        <w:numPr>
          <w:ilvl w:val="0"/>
          <w:numId w:val="1001"/>
        </w:numPr>
      </w:pPr>
      <w:r>
        <w:t xml:space="preserve">Part 4. Build a structured corpus dataframe</w:t>
      </w:r>
    </w:p>
    <w:p>
      <w:pPr>
        <w:pStyle w:val="Compact"/>
        <w:numPr>
          <w:ilvl w:val="0"/>
          <w:numId w:val="1001"/>
        </w:numPr>
      </w:pPr>
      <w:r>
        <w:t xml:space="preserve">Part 5. Save outputs for later assignments</w:t>
      </w:r>
    </w:p>
    <w:bookmarkEnd w:id="24"/>
    <w:bookmarkStart w:id="30" w:name="discover-and-load-html-filings"/>
    <w:p>
      <w:pPr>
        <w:pStyle w:val="Heading1"/>
      </w:pPr>
      <w:r>
        <w:t xml:space="preserve">2. Discover and load HTML filings</w:t>
      </w:r>
    </w:p>
    <w:p>
      <w:pPr>
        <w:pStyle w:val="FirstParagraph"/>
      </w:pPr>
      <w:r>
        <w:t xml:space="preserve">Let’s start by discovering all the HTML files in the data directory and loading them into memory. We will use Python’s</w:t>
      </w:r>
      <w:r>
        <w:t xml:space="preserve"> </w:t>
      </w:r>
      <w:r>
        <w:rPr>
          <w:rStyle w:val="VerbatimChar"/>
        </w:rPr>
        <w:t xml:space="preserve">pathlib</w:t>
      </w:r>
      <w:r>
        <w:t xml:space="preserve"> </w:t>
      </w:r>
      <w:r>
        <w:t xml:space="preserve">to find all HTML files and read their contents.</w:t>
      </w:r>
    </w:p>
    <w:bookmarkStart w:id="25" w:name="importing-necessary-libraries"/>
    <w:p>
      <w:pPr>
        <w:pStyle w:val="Heading2"/>
      </w:pPr>
      <w:r>
        <w:t xml:space="preserve">2.1 Importing necessary libraries</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tqdm </w:t>
      </w:r>
      <w:r>
        <w:rPr>
          <w:rStyle w:val="ImportTok"/>
        </w:rPr>
        <w:t xml:space="preserve">import</w:t>
      </w:r>
      <w:r>
        <w:rPr>
          <w:rStyle w:val="NormalTok"/>
        </w:rPr>
        <w:t xml:space="preserve"> tqdm</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rPr>
          <w:rStyle w:val="ImportTok"/>
        </w:rPr>
        <w:t xml:space="preserve">import</w:t>
      </w:r>
      <w:r>
        <w:rPr>
          <w:rStyle w:val="NormalTok"/>
        </w:rPr>
        <w:t xml:space="preserve"> unicodedata</w:t>
      </w:r>
      <w:r>
        <w:br/>
      </w:r>
      <w:r>
        <w:rPr>
          <w:rStyle w:val="ImportTok"/>
        </w:rPr>
        <w:t xml:space="preserve">from</w:t>
      </w:r>
      <w:r>
        <w:rPr>
          <w:rStyle w:val="NormalTok"/>
        </w:rPr>
        <w:t xml:space="preserve"> typing </w:t>
      </w:r>
      <w:r>
        <w:rPr>
          <w:rStyle w:val="ImportTok"/>
        </w:rPr>
        <w:t xml:space="preserve">import</w:t>
      </w:r>
      <w:r>
        <w:rPr>
          <w:rStyle w:val="NormalTok"/>
        </w:rPr>
        <w:t xml:space="preserve"> Optional, Dict, List</w:t>
      </w:r>
      <w:r>
        <w:br/>
      </w:r>
      <w:r>
        <w:br/>
      </w:r>
      <w:r>
        <w:rPr>
          <w:rStyle w:val="ImportTok"/>
        </w:rPr>
        <w:t xml:space="preserve">from</w:t>
      </w:r>
      <w:r>
        <w:rPr>
          <w:rStyle w:val="NormalTok"/>
        </w:rPr>
        <w:t xml:space="preserve"> bs4 </w:t>
      </w:r>
      <w:r>
        <w:rPr>
          <w:rStyle w:val="ImportTok"/>
        </w:rPr>
        <w:t xml:space="preserve">import</w:t>
      </w:r>
      <w:r>
        <w:rPr>
          <w:rStyle w:val="NormalTok"/>
        </w:rPr>
        <w:t xml:space="preserve"> BeautifulSoup</w:t>
      </w:r>
      <w:r>
        <w:br/>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DataLoader, TensorDataset</w:t>
      </w:r>
      <w:r>
        <w:br/>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br/>
      </w:r>
      <w:r>
        <w:rPr>
          <w:rStyle w:val="BuiltInTok"/>
        </w:rPr>
        <w:t xml:space="preserve">print</w:t>
      </w:r>
      <w:r>
        <w:rPr>
          <w:rStyle w:val="NormalTok"/>
        </w:rPr>
        <w:t xml:space="preserve">(</w:t>
      </w:r>
      <w:r>
        <w:rPr>
          <w:rStyle w:val="StringTok"/>
        </w:rPr>
        <w:t xml:space="preserve">"PyTorch version:"</w:t>
      </w:r>
      <w:r>
        <w:rPr>
          <w:rStyle w:val="NormalTok"/>
        </w:rPr>
        <w:t xml:space="preserve">, torch.__version__)</w:t>
      </w:r>
      <w:r>
        <w:br/>
      </w:r>
      <w:r>
        <w:rPr>
          <w:rStyle w:val="BuiltInTok"/>
        </w:rPr>
        <w:t xml:space="preserve">print</w:t>
      </w:r>
      <w:r>
        <w:rPr>
          <w:rStyle w:val="NormalTok"/>
        </w:rPr>
        <w:t xml:space="preserve">(</w:t>
      </w:r>
      <w:r>
        <w:rPr>
          <w:rStyle w:val="StringTok"/>
        </w:rPr>
        <w:t xml:space="preserve">"CUDA available:"</w:t>
      </w:r>
      <w:r>
        <w:rPr>
          <w:rStyle w:val="NormalTok"/>
        </w:rPr>
        <w:t xml:space="preserve">, torch.cuda.is_available())</w:t>
      </w:r>
      <w:r>
        <w:br/>
      </w:r>
      <w:r>
        <w:br/>
      </w:r>
      <w:r>
        <w:rPr>
          <w:rStyle w:val="ControlFlowTok"/>
        </w:rPr>
        <w:t xml:space="preserve">if</w:t>
      </w:r>
      <w:r>
        <w:rPr>
          <w:rStyle w:val="NormalTok"/>
        </w:rPr>
        <w:t xml:space="preserve"> torch.cuda.is_available():</w:t>
      </w:r>
      <w:r>
        <w:br/>
      </w:r>
      <w:r>
        <w:rPr>
          <w:rStyle w:val="NormalTok"/>
        </w:rPr>
        <w:t xml:space="preserve">    </w:t>
      </w:r>
      <w:r>
        <w:rPr>
          <w:rStyle w:val="BuiltInTok"/>
        </w:rPr>
        <w:t xml:space="preserve">print</w:t>
      </w:r>
      <w:r>
        <w:rPr>
          <w:rStyle w:val="NormalTok"/>
        </w:rPr>
        <w:t xml:space="preserve">(</w:t>
      </w:r>
      <w:r>
        <w:rPr>
          <w:rStyle w:val="StringTok"/>
        </w:rPr>
        <w:t xml:space="preserve">"CUDA version:"</w:t>
      </w:r>
      <w:r>
        <w:rPr>
          <w:rStyle w:val="NormalTok"/>
        </w:rPr>
        <w:t xml:space="preserve">, torch.version.cuda)</w:t>
      </w:r>
      <w:r>
        <w:br/>
      </w:r>
      <w:r>
        <w:rPr>
          <w:rStyle w:val="NormalTok"/>
        </w:rPr>
        <w:t xml:space="preserve">    </w:t>
      </w:r>
      <w:r>
        <w:rPr>
          <w:rStyle w:val="BuiltInTok"/>
        </w:rPr>
        <w:t xml:space="preserve">print</w:t>
      </w:r>
      <w:r>
        <w:rPr>
          <w:rStyle w:val="NormalTok"/>
        </w:rPr>
        <w:t xml:space="preserve">(</w:t>
      </w:r>
      <w:r>
        <w:rPr>
          <w:rStyle w:val="StringTok"/>
        </w:rPr>
        <w:t xml:space="preserve">"GPU name:"</w:t>
      </w:r>
      <w:r>
        <w:rPr>
          <w:rStyle w:val="NormalTok"/>
        </w:rPr>
        <w:t xml:space="preserve">, torch.cuda.get_device_name(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"GPU count:"</w:t>
      </w:r>
      <w:r>
        <w:rPr>
          <w:rStyle w:val="NormalTok"/>
        </w:rPr>
        <w:t xml:space="preserve">, torch.cuda.device_count())</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"Running on CPU"</w:t>
      </w:r>
      <w:r>
        <w:rPr>
          <w:rStyle w:val="NormalTok"/>
        </w:rPr>
        <w:t xml:space="preserve">)</w:t>
      </w:r>
    </w:p>
    <w:p>
      <w:pPr>
        <w:pStyle w:val="SourceCode"/>
      </w:pPr>
      <w:r>
        <w:rPr>
          <w:rStyle w:val="VerbatimChar"/>
        </w:rPr>
        <w:t xml:space="preserve">PyTorch version: 2.10.0+cpu</w:t>
      </w:r>
      <w:r>
        <w:br/>
      </w:r>
      <w:r>
        <w:rPr>
          <w:rStyle w:val="VerbatimChar"/>
        </w:rPr>
        <w:t xml:space="preserve">CUDA available: False</w:t>
      </w:r>
      <w:r>
        <w:br/>
      </w:r>
      <w:r>
        <w:rPr>
          <w:rStyle w:val="VerbatimChar"/>
        </w:rPr>
        <w:t xml:space="preserve">Running on CPU</w:t>
      </w:r>
    </w:p>
    <w:bookmarkEnd w:id="25"/>
    <w:bookmarkStart w:id="28" w:name="Xa897f04af09ad0615a76898178e39cd20b125a4"/>
    <w:p>
      <w:pPr>
        <w:pStyle w:val="Heading2"/>
      </w:pPr>
      <w:r>
        <w:t xml:space="preserve">2.2 Define the data path and discover HTML files</w:t>
      </w:r>
    </w:p>
    <w:p>
      <w:pPr>
        <w:pStyle w:val="Compact"/>
        <w:numPr>
          <w:ilvl w:val="0"/>
          <w:numId w:val="1002"/>
        </w:numPr>
      </w:pPr>
      <w:r>
        <w:t xml:space="preserve">I am using HTML files instead of TXT files because they contain the original formatting and structure, which is crucial for accurate section extraction.</w:t>
      </w:r>
    </w:p>
    <w:p>
      <w:pPr>
        <w:pStyle w:val="Compact"/>
        <w:numPr>
          <w:ilvl w:val="0"/>
          <w:numId w:val="1002"/>
        </w:numPr>
      </w:pPr>
      <w:r>
        <w:t xml:space="preserve">The HTML format allows us to leverage tags and layout cues to identify section headers and boundaries more reliably than plain text.</w:t>
      </w:r>
    </w:p>
    <w:p>
      <w:pPr>
        <w:pStyle w:val="Compact"/>
        <w:numPr>
          <w:ilvl w:val="0"/>
          <w:numId w:val="1002"/>
        </w:numPr>
      </w:pPr>
      <w:r>
        <w:t xml:space="preserve">These files are located in the shared folder below</w:t>
      </w:r>
    </w:p>
    <w:p>
      <w:pPr>
        <w:pStyle w:val="Compact"/>
        <w:numPr>
          <w:ilvl w:val="1"/>
          <w:numId w:val="1003"/>
        </w:numPr>
      </w:pPr>
      <w:hyperlink r:id="rId26">
        <w:r>
          <w:rPr>
            <w:rStyle w:val="Hyperlink"/>
          </w:rPr>
          <w:t xml:space="preserve">2024 SEC 10-K Filings</w:t>
        </w:r>
      </w:hyperlink>
    </w:p>
    <w:p>
      <w:pPr>
        <w:pStyle w:val="Compact"/>
        <w:numPr>
          <w:ilvl w:val="1"/>
          <w:numId w:val="1003"/>
        </w:numPr>
      </w:pPr>
      <w:hyperlink r:id="rId27">
        <w:r>
          <w:rPr>
            <w:rStyle w:val="Hyperlink"/>
          </w:rPr>
          <w:t xml:space="preserve">2024 SEC 10-K Filings - HTML</w:t>
        </w:r>
      </w:hyperlink>
    </w:p>
    <w:p>
      <w:pPr>
        <w:pStyle w:val="SourceCode"/>
      </w:pPr>
      <w:r>
        <w:rPr>
          <w:rStyle w:val="NormalTok"/>
        </w:rPr>
        <w:t xml:space="preserve">DATA_DIR </w:t>
      </w:r>
      <w:r>
        <w:rPr>
          <w:rStyle w:val="OperatorTok"/>
        </w:rPr>
        <w:t xml:space="preserve">=</w:t>
      </w:r>
      <w:r>
        <w:rPr>
          <w:rStyle w:val="NormalTok"/>
        </w:rPr>
        <w:t xml:space="preserve"> Path(</w:t>
      </w:r>
      <w:r>
        <w:rPr>
          <w:rStyle w:val="StringTok"/>
        </w:rPr>
        <w:t xml:space="preserve">"../data/SEC-10K-2024-HTML"</w:t>
      </w:r>
      <w:r>
        <w:rPr>
          <w:rStyle w:val="NormalTok"/>
        </w:rPr>
        <w:t xml:space="preserve">)</w:t>
      </w:r>
      <w:r>
        <w:br/>
      </w:r>
      <w:r>
        <w:rPr>
          <w:rStyle w:val="NormalTok"/>
        </w:rPr>
        <w:t xml:space="preserve">OUTPUT_DIR </w:t>
      </w:r>
      <w:r>
        <w:rPr>
          <w:rStyle w:val="OperatorTok"/>
        </w:rPr>
        <w:t xml:space="preserve">=</w:t>
      </w:r>
      <w:r>
        <w:rPr>
          <w:rStyle w:val="NormalTok"/>
        </w:rPr>
        <w:t xml:space="preserve"> Path(</w:t>
      </w:r>
      <w:r>
        <w:rPr>
          <w:rStyle w:val="StringTok"/>
        </w:rPr>
        <w:t xml:space="preserve">"../data/outputs/sec_10k_sections"</w:t>
      </w:r>
      <w:r>
        <w:rPr>
          <w:rStyle w:val="NormalTok"/>
        </w:rPr>
        <w:t xml:space="preserve">)</w:t>
      </w:r>
      <w:r>
        <w:br/>
      </w:r>
      <w:r>
        <w:rPr>
          <w:rStyle w:val="NormalTok"/>
        </w:rPr>
        <w:t xml:space="preserve">OUTPUT_DIR.mkdir(parents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ALL_HTML_FILES </w:t>
      </w:r>
      <w:r>
        <w:rPr>
          <w:rStyle w:val="OperatorTok"/>
        </w:rPr>
        <w:t xml:space="preserve">=</w:t>
      </w:r>
      <w:r>
        <w:rPr>
          <w:rStyle w:val="NormalTok"/>
        </w:rPr>
        <w:t xml:space="preserve"> </w:t>
      </w:r>
      <w:r>
        <w:rPr>
          <w:rStyle w:val="BuiltInTok"/>
        </w:rPr>
        <w:t xml:space="preserve">sorted</w:t>
      </w:r>
      <w:r>
        <w:rPr>
          <w:rStyle w:val="NormalTok"/>
        </w:rPr>
        <w:t xml:space="preserve">(DATA_DIR.rglob(</w:t>
      </w:r>
      <w:r>
        <w:rPr>
          <w:rStyle w:val="StringTok"/>
        </w:rPr>
        <w:t xml:space="preserve">"*.html"</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(DATA_DIR.rglob(</w:t>
      </w:r>
      <w:r>
        <w:rPr>
          <w:rStyle w:val="StringTok"/>
        </w:rPr>
        <w:t xml:space="preserve">"*.htm"</w:t>
      </w:r>
      <w:r>
        <w:rPr>
          <w:rStyle w:val="NormalTok"/>
        </w:rPr>
        <w:t xml:space="preserve">))</w:t>
      </w:r>
      <w:r>
        <w:br/>
      </w:r>
      <w:r>
        <w:rPr>
          <w:rStyle w:val="BuiltInTok"/>
        </w:rPr>
        <w:t xml:space="preserve">print</w:t>
      </w:r>
      <w:r>
        <w:rPr>
          <w:rStyle w:val="NormalTok"/>
        </w:rPr>
        <w:t xml:space="preserve">(</w:t>
      </w:r>
      <w:r>
        <w:rPr>
          <w:rStyle w:val="SpecialStringTok"/>
        </w:rPr>
        <w:t xml:space="preserve">f"Total HTML files found: </w:t>
      </w:r>
      <w:r>
        <w:rPr>
          <w:rStyle w:val="SpecialCharTok"/>
        </w:rPr>
        <w:t xml:space="preserve">{</w:t>
      </w:r>
      <w:r>
        <w:rPr>
          <w:rStyle w:val="BuiltInTok"/>
        </w:rPr>
        <w:t xml:space="preserve">len</w:t>
      </w:r>
      <w:r>
        <w:rPr>
          <w:rStyle w:val="NormalTok"/>
        </w:rPr>
        <w:t xml:space="preserve">(ALL_HTML_FILES)</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Total HTML files found: 6878</w:t>
      </w:r>
    </w:p>
    <w:p>
      <w:pPr>
        <w:pStyle w:val="FirstParagraph"/>
      </w:pPr>
      <w:r>
        <w:rPr>
          <w:b/>
          <w:bCs/>
        </w:rPr>
        <w:t xml:space="preserve">Use following for Google Colab</w:t>
      </w:r>
      <w:r>
        <w:t xml:space="preserve">:</w:t>
      </w:r>
    </w:p>
    <w:p>
      <w:pPr>
        <w:pStyle w:val="SourceCode"/>
      </w:pPr>
      <w:r>
        <w:rPr>
          <w:rStyle w:val="ImportTok"/>
        </w:rPr>
        <w:t xml:space="preserve">from</w:t>
      </w:r>
      <w:r>
        <w:rPr>
          <w:rStyle w:val="NormalTok"/>
        </w:rPr>
        <w:t xml:space="preserve"> google.colab </w:t>
      </w:r>
      <w:r>
        <w:rPr>
          <w:rStyle w:val="ImportTok"/>
        </w:rPr>
        <w:t xml:space="preserve">import</w:t>
      </w:r>
      <w:r>
        <w:rPr>
          <w:rStyle w:val="NormalTok"/>
        </w:rPr>
        <w:t xml:space="preserve"> drive</w:t>
      </w:r>
      <w:r>
        <w:br/>
      </w:r>
      <w:r>
        <w:br/>
      </w:r>
      <w:r>
        <w:rPr>
          <w:rStyle w:val="NormalTok"/>
        </w:rPr>
        <w:t xml:space="preserve">drive.mount(</w:t>
      </w:r>
      <w:r>
        <w:rPr>
          <w:rStyle w:val="StringTok"/>
        </w:rPr>
        <w:t xml:space="preserve">"/content/drive"</w:t>
      </w:r>
      <w:r>
        <w:rPr>
          <w:rStyle w:val="NormalTok"/>
        </w:rPr>
        <w:t xml:space="preserve">)</w:t>
      </w:r>
      <w:r>
        <w:br/>
      </w:r>
      <w:r>
        <w:br/>
      </w:r>
      <w:r>
        <w:rPr>
          <w:rStyle w:val="NormalTok"/>
        </w:rPr>
        <w:t xml:space="preserve">DATA_DIR </w:t>
      </w:r>
      <w:r>
        <w:rPr>
          <w:rStyle w:val="OperatorTok"/>
        </w:rPr>
        <w:t xml:space="preserve">=</w:t>
      </w:r>
      <w:r>
        <w:rPr>
          <w:rStyle w:val="NormalTok"/>
        </w:rPr>
        <w:t xml:space="preserve"> Path(</w:t>
      </w:r>
      <w:r>
        <w:rPr>
          <w:rStyle w:val="StringTok"/>
        </w:rPr>
        <w:t xml:space="preserve">"/content/drive/MyDrive/Colab Notebooks/data/SEC-10K-2024-HTML"</w:t>
      </w:r>
      <w:r>
        <w:rPr>
          <w:rStyle w:val="NormalTok"/>
        </w:rPr>
        <w:t xml:space="preserve">)</w:t>
      </w:r>
      <w:r>
        <w:br/>
      </w:r>
      <w:r>
        <w:br/>
      </w:r>
      <w:r>
        <w:rPr>
          <w:rStyle w:val="ControlFlowTok"/>
        </w:rPr>
        <w:t xml:space="preserve">assert</w:t>
      </w:r>
      <w:r>
        <w:rPr>
          <w:rStyle w:val="NormalTok"/>
        </w:rPr>
        <w:t xml:space="preserve"> os.path.exists(DATA_DIR), (</w:t>
      </w:r>
      <w:r>
        <w:br/>
      </w:r>
      <w:r>
        <w:rPr>
          <w:rStyle w:val="NormalTok"/>
        </w:rPr>
        <w:t xml:space="preserve">    </w:t>
      </w:r>
      <w:r>
        <w:rPr>
          <w:rStyle w:val="StringTok"/>
        </w:rPr>
        <w:t xml:space="preserve">"Google Drive is not mounted or the dataset path is incorrect. "</w:t>
      </w:r>
      <w:r>
        <w:br/>
      </w:r>
      <w:r>
        <w:rPr>
          <w:rStyle w:val="NormalTok"/>
        </w:rPr>
        <w:t xml:space="preserve">    </w:t>
      </w:r>
      <w:r>
        <w:rPr>
          <w:rStyle w:val="StringTok"/>
        </w:rPr>
        <w:t xml:space="preserve">"Did you run drive.mount()?"</w:t>
      </w:r>
      <w:r>
        <w:br/>
      </w:r>
      <w:r>
        <w:rPr>
          <w:rStyle w:val="NormalTok"/>
        </w:rPr>
        <w:t xml:space="preserve">)</w:t>
      </w:r>
      <w:r>
        <w:br/>
      </w:r>
      <w:r>
        <w:br/>
      </w:r>
      <w:r>
        <w:rPr>
          <w:rStyle w:val="BuiltInTok"/>
        </w:rPr>
        <w:t xml:space="preserve">print</w:t>
      </w:r>
      <w:r>
        <w:rPr>
          <w:rStyle w:val="NormalTok"/>
        </w:rPr>
        <w:t xml:space="preserve">(</w:t>
      </w:r>
      <w:r>
        <w:rPr>
          <w:rStyle w:val="StringTok"/>
        </w:rPr>
        <w:t xml:space="preserve">"Drive mounted successfully. Data directory found."</w:t>
      </w:r>
      <w:r>
        <w:rPr>
          <w:rStyle w:val="NormalTok"/>
        </w:rPr>
        <w:t xml:space="preserve">)</w:t>
      </w:r>
      <w:r>
        <w:br/>
      </w:r>
      <w:r>
        <w:br/>
      </w:r>
      <w:r>
        <w:rPr>
          <w:rStyle w:val="NormalTok"/>
        </w:rPr>
        <w:t xml:space="preserve">OUTPUT_DIR </w:t>
      </w:r>
      <w:r>
        <w:rPr>
          <w:rStyle w:val="OperatorTok"/>
        </w:rPr>
        <w:t xml:space="preserve">=</w:t>
      </w:r>
      <w:r>
        <w:rPr>
          <w:rStyle w:val="NormalTok"/>
        </w:rPr>
        <w:t xml:space="preserve"> Path(</w:t>
      </w:r>
      <w:r>
        <w:rPr>
          <w:rStyle w:val="StringTok"/>
        </w:rPr>
        <w:t xml:space="preserve">"/content/drive/MyDrive/Colab Notebooks/data/outputs/sec_10k_sections"</w:t>
      </w:r>
      <w:r>
        <w:rPr>
          <w:rStyle w:val="NormalTok"/>
        </w:rPr>
        <w:t xml:space="preserve">)</w:t>
      </w:r>
      <w:r>
        <w:br/>
      </w:r>
      <w:r>
        <w:rPr>
          <w:rStyle w:val="NormalTok"/>
        </w:rPr>
        <w:t xml:space="preserve">OUTPUT_DIR.mkdir(parents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ntrolFlowTok"/>
        </w:rPr>
        <w:t xml:space="preserve">assert</w:t>
      </w:r>
      <w:r>
        <w:rPr>
          <w:rStyle w:val="NormalTok"/>
        </w:rPr>
        <w:t xml:space="preserve"> os.path.exists(OUTPUT_DIR), (</w:t>
      </w:r>
      <w:r>
        <w:br/>
      </w:r>
      <w:r>
        <w:rPr>
          <w:rStyle w:val="NormalTok"/>
        </w:rPr>
        <w:t xml:space="preserve">    </w:t>
      </w:r>
      <w:r>
        <w:rPr>
          <w:rStyle w:val="StringTok"/>
        </w:rPr>
        <w:t xml:space="preserve">"Google Drive is not mounted or the dataset path is incorrect. "</w:t>
      </w:r>
      <w:r>
        <w:br/>
      </w:r>
      <w:r>
        <w:rPr>
          <w:rStyle w:val="NormalTok"/>
        </w:rPr>
        <w:t xml:space="preserve">    </w:t>
      </w:r>
      <w:r>
        <w:rPr>
          <w:rStyle w:val="StringTok"/>
        </w:rPr>
        <w:t xml:space="preserve">"Did you run drive.mount()?"</w:t>
      </w:r>
      <w:r>
        <w:br/>
      </w:r>
      <w:r>
        <w:rPr>
          <w:rStyle w:val="NormalTok"/>
        </w:rPr>
        <w:t xml:space="preserve">)</w:t>
      </w:r>
      <w:r>
        <w:br/>
      </w:r>
      <w:r>
        <w:br/>
      </w:r>
      <w:r>
        <w:rPr>
          <w:rStyle w:val="NormalTok"/>
        </w:rPr>
        <w:t xml:space="preserve">ALL_HTML_FILES </w:t>
      </w:r>
      <w:r>
        <w:rPr>
          <w:rStyle w:val="OperatorTok"/>
        </w:rPr>
        <w:t xml:space="preserve">=</w:t>
      </w:r>
      <w:r>
        <w:rPr>
          <w:rStyle w:val="NormalTok"/>
        </w:rPr>
        <w:t xml:space="preserve"> </w:t>
      </w:r>
      <w:r>
        <w:rPr>
          <w:rStyle w:val="BuiltInTok"/>
        </w:rPr>
        <w:t xml:space="preserve">sorted</w:t>
      </w:r>
      <w:r>
        <w:rPr>
          <w:rStyle w:val="NormalTok"/>
        </w:rPr>
        <w:t xml:space="preserve">(DATA_DIR.rglob(</w:t>
      </w:r>
      <w:r>
        <w:rPr>
          <w:rStyle w:val="StringTok"/>
        </w:rPr>
        <w:t xml:space="preserve">"*.html"</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(DATA_DIR.rglob(</w:t>
      </w:r>
      <w:r>
        <w:rPr>
          <w:rStyle w:val="StringTok"/>
        </w:rPr>
        <w:t xml:space="preserve">"*.htm"</w:t>
      </w:r>
      <w:r>
        <w:rPr>
          <w:rStyle w:val="NormalTok"/>
        </w:rPr>
        <w:t xml:space="preserve">))</w:t>
      </w:r>
    </w:p>
    <w:bookmarkEnd w:id="28"/>
    <w:bookmarkStart w:id="29" w:name="selecting-small-sample-for-testing"/>
    <w:p>
      <w:pPr>
        <w:pStyle w:val="Heading2"/>
      </w:pPr>
      <w:r>
        <w:t xml:space="preserve">2.3 Selecting small sample for testing</w:t>
      </w:r>
    </w:p>
    <w:p>
      <w:pPr>
        <w:pStyle w:val="FirstParagraph"/>
      </w:pPr>
      <w:r>
        <w:t xml:space="preserve">Number of files selected for processing can be changed by adjusting the</w:t>
      </w:r>
      <w:r>
        <w:t xml:space="preserve"> </w:t>
      </w:r>
      <w:r>
        <w:rPr>
          <w:rStyle w:val="VerbatimChar"/>
        </w:rPr>
        <w:t xml:space="preserve">sample_n</w:t>
      </w:r>
      <w:r>
        <w:t xml:space="preserve"> </w:t>
      </w:r>
      <w:r>
        <w:t xml:space="preserve">parameter. Setting it to</w:t>
      </w:r>
      <w:r>
        <w:t xml:space="preserve"> </w:t>
      </w:r>
      <w:r>
        <w:rPr>
          <w:rStyle w:val="VerbatimChar"/>
        </w:rPr>
        <w:t xml:space="preserve">None</w:t>
      </w:r>
      <w:r>
        <w:t xml:space="preserve"> </w:t>
      </w:r>
      <w:r>
        <w:t xml:space="preserve">will process all files, while a smaller integer will limit the number of files for quicker testing and debugging.</w:t>
      </w:r>
      <w:r>
        <w:t xml:space="preserve"> </w:t>
      </w:r>
      <w:r>
        <w:t xml:space="preserve">For the assignment please use between 3000-6000 files, but you can start with a smaller sample size like 25 or 100 to iterate faster on your code.</w:t>
      </w:r>
      <w:r>
        <w:t xml:space="preserve">.</w:t>
      </w:r>
    </w:p>
    <w:p>
      <w:pPr>
        <w:pStyle w:val="SourceCode"/>
      </w:pPr>
      <w:r>
        <w:rPr>
          <w:rStyle w:val="KeywordTok"/>
        </w:rPr>
        <w:t xml:space="preserve">def</w:t>
      </w:r>
      <w:r>
        <w:rPr>
          <w:rStyle w:val="NormalTok"/>
        </w:rPr>
        <w:t xml:space="preserve"> select_html_files(</w:t>
      </w:r>
      <w:r>
        <w:br/>
      </w:r>
      <w:r>
        <w:rPr>
          <w:rStyle w:val="NormalTok"/>
        </w:rPr>
        <w:t xml:space="preserve">    files: List[Path],</w:t>
      </w:r>
      <w:r>
        <w:br/>
      </w:r>
      <w:r>
        <w:rPr>
          <w:rStyle w:val="NormalTok"/>
        </w:rPr>
        <w:t xml:space="preserve">    sample_n: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set sample to none</w:t>
      </w:r>
      <w:r>
        <w:br/>
      </w:r>
      <w:r>
        <w:rPr>
          <w:rStyle w:val="NormalTok"/>
        </w:rPr>
        <w:t xml:space="preserve">    random_sample: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br/>
      </w:r>
      <w:r>
        <w:rPr>
          <w:rStyle w:val="NormalTok"/>
        </w:rPr>
        <w:t xml:space="preserve">) </w:t>
      </w:r>
      <w:r>
        <w:rPr>
          <w:rStyle w:val="OperatorTok"/>
        </w:rPr>
        <w:t xml:space="preserve">-&gt;</w:t>
      </w:r>
      <w:r>
        <w:rPr>
          <w:rStyle w:val="NormalTok"/>
        </w:rPr>
        <w:t xml:space="preserve"> List[Path]:</w:t>
      </w:r>
      <w:r>
        <w:br/>
      </w:r>
      <w:r>
        <w:rPr>
          <w:rStyle w:val="NormalTok"/>
        </w:rPr>
        <w:t xml:space="preserve">    </w:t>
      </w:r>
      <w:r>
        <w:rPr>
          <w:rStyle w:val="CommentTok"/>
        </w:rPr>
        <w:t xml:space="preserve">"""</w:t>
      </w:r>
      <w:r>
        <w:br/>
      </w:r>
      <w:r>
        <w:rPr>
          <w:rStyle w:val="CommentTok"/>
        </w:rPr>
        <w:t xml:space="preserve">    Select all files or a smaller subset for debugging and development.</w:t>
      </w:r>
      <w:r>
        <w:br/>
      </w:r>
      <w:r>
        <w:br/>
      </w:r>
      <w:r>
        <w:rPr>
          <w:rStyle w:val="CommentTok"/>
        </w:rPr>
        <w:t xml:space="preserve">    Parameters</w:t>
      </w:r>
      <w:r>
        <w:br/>
      </w:r>
      <w:r>
        <w:rPr>
          <w:rStyle w:val="CommentTok"/>
        </w:rPr>
        <w:t xml:space="preserve">    ----------</w:t>
      </w:r>
      <w:r>
        <w:br/>
      </w:r>
      <w:r>
        <w:rPr>
          <w:rStyle w:val="CommentTok"/>
        </w:rPr>
        <w:t xml:space="preserve">    files : list[Path]</w:t>
      </w:r>
      <w:r>
        <w:br/>
      </w:r>
      <w:r>
        <w:rPr>
          <w:rStyle w:val="CommentTok"/>
        </w:rPr>
        <w:t xml:space="preserve">        Complete list of HTML filing paths.</w:t>
      </w:r>
      <w:r>
        <w:br/>
      </w:r>
      <w:r>
        <w:rPr>
          <w:rStyle w:val="CommentTok"/>
        </w:rPr>
        <w:t xml:space="preserve">    sample_n : int | None</w:t>
      </w:r>
      <w:r>
        <w:br/>
      </w:r>
      <w:r>
        <w:rPr>
          <w:rStyle w:val="CommentTok"/>
        </w:rPr>
        <w:t xml:space="preserve">        Number of files to process. If None, process all files.</w:t>
      </w:r>
      <w:r>
        <w:br/>
      </w:r>
      <w:r>
        <w:rPr>
          <w:rStyle w:val="CommentTok"/>
        </w:rPr>
        <w:t xml:space="preserve">    random_sample : bool</w:t>
      </w:r>
      <w:r>
        <w:br/>
      </w:r>
      <w:r>
        <w:rPr>
          <w:rStyle w:val="CommentTok"/>
        </w:rPr>
        <w:t xml:space="preserve">        If True, randomly sample files. Otherwise take the first sample_n files.</w:t>
      </w:r>
      <w:r>
        <w:br/>
      </w:r>
      <w:r>
        <w:rPr>
          <w:rStyle w:val="CommentTok"/>
        </w:rPr>
        <w:t xml:space="preserve">    random_state : int</w:t>
      </w:r>
      <w:r>
        <w:br/>
      </w:r>
      <w:r>
        <w:rPr>
          <w:rStyle w:val="CommentTok"/>
        </w:rPr>
        <w:t xml:space="preserve">        Seed for reproducibility when random_sample=True.</w:t>
      </w:r>
      <w:r>
        <w:br/>
      </w:r>
      <w:r>
        <w:rPr>
          <w:rStyle w:val="CommentTok"/>
        </w:rPr>
        <w:t xml:space="preserve">    """</w:t>
      </w:r>
      <w:r>
        <w:br/>
      </w:r>
      <w:r>
        <w:rPr>
          <w:rStyle w:val="NormalTok"/>
        </w:rPr>
        <w:t xml:space="preserve">    </w:t>
      </w:r>
      <w:r>
        <w:rPr>
          <w:rStyle w:val="ControlFlowTok"/>
        </w:rPr>
        <w:t xml:space="preserve">if</w:t>
      </w:r>
      <w:r>
        <w:rPr>
          <w:rStyle w:val="NormalTok"/>
        </w:rPr>
        <w:t xml:space="preserve"> sample_n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files</w:t>
      </w:r>
      <w:r>
        <w:br/>
      </w:r>
      <w:r>
        <w:br/>
      </w:r>
      <w:r>
        <w:rPr>
          <w:rStyle w:val="NormalTok"/>
        </w:rPr>
        <w:t xml:space="preserve">    sample_n </w:t>
      </w:r>
      <w:r>
        <w:rPr>
          <w:rStyle w:val="OperatorTok"/>
        </w:rPr>
        <w:t xml:space="preserve">=</w:t>
      </w:r>
      <w:r>
        <w:rPr>
          <w:rStyle w:val="NormalTok"/>
        </w:rPr>
        <w:t xml:space="preserve"> </w:t>
      </w:r>
      <w:r>
        <w:rPr>
          <w:rStyle w:val="BuiltInTok"/>
        </w:rPr>
        <w:t xml:space="preserve">min</w:t>
      </w:r>
      <w:r>
        <w:rPr>
          <w:rStyle w:val="NormalTok"/>
        </w:rPr>
        <w:t xml:space="preserve">(sample_n, </w:t>
      </w:r>
      <w:r>
        <w:rPr>
          <w:rStyle w:val="BuiltInTok"/>
        </w:rPr>
        <w:t xml:space="preserve">len</w:t>
      </w:r>
      <w:r>
        <w:rPr>
          <w:rStyle w:val="NormalTok"/>
        </w:rPr>
        <w:t xml:space="preserve">(files))</w:t>
      </w:r>
      <w:r>
        <w:br/>
      </w:r>
      <w:r>
        <w:br/>
      </w:r>
      <w:r>
        <w:rPr>
          <w:rStyle w:val="NormalTok"/>
        </w:rPr>
        <w:t xml:space="preserve">    </w:t>
      </w:r>
      <w:r>
        <w:rPr>
          <w:rStyle w:val="ControlFlowTok"/>
        </w:rPr>
        <w:t xml:space="preserve">if</w:t>
      </w:r>
      <w:r>
        <w:rPr>
          <w:rStyle w:val="NormalTok"/>
        </w:rPr>
        <w:t xml:space="preserve"> random_sample:</w:t>
      </w:r>
      <w:r>
        <w:br/>
      </w:r>
      <w:r>
        <w:rPr>
          <w:rStyle w:val="NormalTok"/>
        </w:rPr>
        <w:t xml:space="preserve">        rng </w:t>
      </w:r>
      <w:r>
        <w:rPr>
          <w:rStyle w:val="OperatorTok"/>
        </w:rPr>
        <w:t xml:space="preserve">=</w:t>
      </w:r>
      <w:r>
        <w:rPr>
          <w:rStyle w:val="NormalTok"/>
        </w:rPr>
        <w:t xml:space="preserve"> random.Random(random_state)</w:t>
      </w:r>
      <w:r>
        <w:br/>
      </w:r>
      <w:r>
        <w:rPr>
          <w:rStyle w:val="NormalTok"/>
        </w:rPr>
        <w:t xml:space="preserve">        selected </w:t>
      </w:r>
      <w:r>
        <w:rPr>
          <w:rStyle w:val="OperatorTok"/>
        </w:rPr>
        <w:t xml:space="preserve">=</w:t>
      </w:r>
      <w:r>
        <w:rPr>
          <w:rStyle w:val="NormalTok"/>
        </w:rPr>
        <w:t xml:space="preserve"> rng.sample(files, sample_n)</w:t>
      </w:r>
      <w:r>
        <w:br/>
      </w:r>
      <w:r>
        <w:rPr>
          <w:rStyle w:val="NormalTok"/>
        </w:rPr>
        <w:t xml:space="preserve">        selected </w:t>
      </w:r>
      <w:r>
        <w:rPr>
          <w:rStyle w:val="OperatorTok"/>
        </w:rPr>
        <w:t xml:space="preserve">=</w:t>
      </w:r>
      <w:r>
        <w:rPr>
          <w:rStyle w:val="NormalTok"/>
        </w:rPr>
        <w:t xml:space="preserve"> </w:t>
      </w:r>
      <w:r>
        <w:rPr>
          <w:rStyle w:val="BuiltInTok"/>
        </w:rPr>
        <w:t xml:space="preserve">sorted</w:t>
      </w:r>
      <w:r>
        <w:rPr>
          <w:rStyle w:val="NormalTok"/>
        </w:rPr>
        <w:t xml:space="preserve">(selected)</w:t>
      </w:r>
      <w:r>
        <w:br/>
      </w:r>
      <w:r>
        <w:rPr>
          <w:rStyle w:val="NormalTok"/>
        </w:rPr>
        <w:t xml:space="preserve">    </w:t>
      </w:r>
      <w:r>
        <w:rPr>
          <w:rStyle w:val="ControlFlowTok"/>
        </w:rPr>
        <w:t xml:space="preserve">else</w:t>
      </w:r>
      <w:r>
        <w:rPr>
          <w:rStyle w:val="NormalTok"/>
        </w:rPr>
        <w:t xml:space="preserve">:</w:t>
      </w:r>
      <w:r>
        <w:br/>
      </w:r>
      <w:r>
        <w:rPr>
          <w:rStyle w:val="NormalTok"/>
        </w:rPr>
        <w:t xml:space="preserve">        selected </w:t>
      </w:r>
      <w:r>
        <w:rPr>
          <w:rStyle w:val="OperatorTok"/>
        </w:rPr>
        <w:t xml:space="preserve">=</w:t>
      </w:r>
      <w:r>
        <w:rPr>
          <w:rStyle w:val="NormalTok"/>
        </w:rPr>
        <w:t xml:space="preserve"> files[:sample_n]</w:t>
      </w:r>
      <w:r>
        <w:br/>
      </w:r>
      <w:r>
        <w:br/>
      </w:r>
      <w:r>
        <w:rPr>
          <w:rStyle w:val="NormalTok"/>
        </w:rPr>
        <w:t xml:space="preserve">    </w:t>
      </w:r>
      <w:r>
        <w:rPr>
          <w:rStyle w:val="ControlFlowTok"/>
        </w:rPr>
        <w:t xml:space="preserve">return</w:t>
      </w:r>
      <w:r>
        <w:rPr>
          <w:rStyle w:val="NormalTok"/>
        </w:rPr>
        <w:t xml:space="preserve"> selected</w:t>
      </w:r>
    </w:p>
    <w:p>
      <w:pPr>
        <w:pStyle w:val="SourceCode"/>
      </w:pPr>
      <w:r>
        <w:rPr>
          <w:rStyle w:val="CommentTok"/>
        </w:rPr>
        <w:t xml:space="preserve"># Activate your function here</w:t>
      </w:r>
      <w:r>
        <w:br/>
      </w:r>
      <w:r>
        <w:rPr>
          <w:rStyle w:val="NormalTok"/>
        </w:rPr>
        <w:t xml:space="preserve">html_files </w:t>
      </w:r>
      <w:r>
        <w:rPr>
          <w:rStyle w:val="OperatorTok"/>
        </w:rPr>
        <w:t xml:space="preserve">=</w:t>
      </w:r>
      <w:r>
        <w:rPr>
          <w:rStyle w:val="NormalTok"/>
        </w:rPr>
        <w:t xml:space="preserve"> select_html_files(</w:t>
      </w:r>
      <w:r>
        <w:br/>
      </w:r>
      <w:r>
        <w:rPr>
          <w:rStyle w:val="NormalTok"/>
        </w:rPr>
        <w:t xml:space="preserve">    SET_NAME_OF_YOUR_HTML_FILE_LIST,</w:t>
      </w:r>
      <w:r>
        <w:br/>
      </w:r>
      <w:r>
        <w:rPr>
          <w:rStyle w:val="NormalTok"/>
        </w:rPr>
        <w:t xml:space="preserve">    sample_n</w:t>
      </w:r>
      <w:r>
        <w:rPr>
          <w:rStyle w:val="OperatorTok"/>
        </w:rPr>
        <w:t xml:space="preserve">=</w:t>
      </w:r>
      <w:r>
        <w:rPr>
          <w:rStyle w:val="NormalTok"/>
        </w:rPr>
        <w:t xml:space="preserve"> SET_YOUR_DESIRED_SAMPLE_SIZE_OR_NONE,</w:t>
      </w:r>
      <w:r>
        <w:br/>
      </w:r>
      <w:r>
        <w:rPr>
          <w:rStyle w:val="NormalTok"/>
        </w:rPr>
        <w:t xml:space="preserve">    random_sample</w:t>
      </w:r>
      <w:r>
        <w:rPr>
          <w:rStyle w:val="OperatorTok"/>
        </w:rPr>
        <w:t xml:space="preserve">=</w:t>
      </w:r>
      <w:r>
        <w:rPr>
          <w:rStyle w:val="VariableTok"/>
        </w:rPr>
        <w:t xml:space="preserve">True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f"Files selected for processing: </w:t>
      </w:r>
      <w:r>
        <w:rPr>
          <w:rStyle w:val="SpecialCharTok"/>
        </w:rPr>
        <w:t xml:space="preserve">{</w:t>
      </w:r>
      <w:r>
        <w:rPr>
          <w:rStyle w:val="BuiltInTok"/>
        </w:rPr>
        <w:t xml:space="preserve">len</w:t>
      </w:r>
      <w:r>
        <w:rPr>
          <w:rStyle w:val="NormalTok"/>
        </w:rPr>
        <w:t xml:space="preserve">(html_files)</w:t>
      </w:r>
      <w:r>
        <w:rPr>
          <w:rStyle w:val="SpecialCharTok"/>
        </w:rPr>
        <w:t xml:space="preserve">}</w:t>
      </w:r>
      <w:r>
        <w:rPr>
          <w:rStyle w:val="SpecialStringTok"/>
        </w:rPr>
        <w:t xml:space="preserve">"</w:t>
      </w:r>
      <w:r>
        <w:rPr>
          <w:rStyle w:val="NormalTok"/>
        </w:rPr>
        <w:t xml:space="preserve">)</w:t>
      </w:r>
      <w:r>
        <w:br/>
      </w:r>
      <w:r>
        <w:br/>
      </w:r>
      <w:r>
        <w:rPr>
          <w:rStyle w:val="CommentTok"/>
        </w:rPr>
        <w:t xml:space="preserve"># Do not show the html_files list use it as a diagnostic feature</w:t>
      </w:r>
      <w:r>
        <w:br/>
      </w:r>
      <w:r>
        <w:rPr>
          <w:rStyle w:val="CommentTok"/>
        </w:rPr>
        <w:t xml:space="preserve"># html_files[:5]</w:t>
      </w:r>
    </w:p>
    <w:p>
      <w:pPr>
        <w:pStyle w:val="SourceCode"/>
      </w:pPr>
      <w:r>
        <w:rPr>
          <w:rStyle w:val="VerbatimChar"/>
        </w:rPr>
        <w:t xml:space="preserve">Files selected for processing: 25, this should say the number you set in sample_n</w:t>
      </w:r>
    </w:p>
    <w:p>
      <w:pPr>
        <w:pStyle w:val="SourceCode"/>
      </w:pPr>
      <w:r>
        <w:rPr>
          <w:rStyle w:val="VerbatimChar"/>
        </w:rPr>
        <w:t xml:space="preserve">[WindowsPath('../data/SEC-10K-2024-HTML/20240102_10-K_edgar_data_1288750_0001654954-24-000069.html'),</w:t>
      </w:r>
      <w:r>
        <w:br/>
      </w:r>
      <w:r>
        <w:rPr>
          <w:rStyle w:val="VerbatimChar"/>
        </w:rPr>
        <w:t xml:space="preserve"> WindowsPath('../data/SEC-10K-2024-HTML/20240102_10-K_edgar_data_1827855_0001683168-24-000004.html'),</w:t>
      </w:r>
      <w:r>
        <w:br/>
      </w:r>
      <w:r>
        <w:rPr>
          <w:rStyle w:val="VerbatimChar"/>
        </w:rPr>
        <w:t xml:space="preserve"> WindowsPath('../data/SEC-10K-2024-HTML/20240102_10-K_edgar_data_90168_0000090168-23-000083.html'),</w:t>
      </w:r>
      <w:r>
        <w:br/>
      </w:r>
      <w:r>
        <w:rPr>
          <w:rStyle w:val="VerbatimChar"/>
        </w:rPr>
        <w:t xml:space="preserve"> WindowsPath('../data/SEC-10K-2024-HTML/20240103_10-K_edgar_data_1610718_0001213900-24-000769.html'),</w:t>
      </w:r>
      <w:r>
        <w:br/>
      </w:r>
      <w:r>
        <w:rPr>
          <w:rStyle w:val="VerbatimChar"/>
        </w:rPr>
        <w:t xml:space="preserve"> WindowsPath('../data/SEC-10K-2024-HTML/20240104_10-K_edgar_data_1029744_0001437749-24-000616.html')]</w:t>
      </w:r>
    </w:p>
    <w:bookmarkEnd w:id="29"/>
    <w:bookmarkEnd w:id="30"/>
    <w:bookmarkStart w:id="36" w:name="html-cleaning-helpers"/>
    <w:p>
      <w:pPr>
        <w:pStyle w:val="Heading1"/>
      </w:pPr>
      <w:r>
        <w:t xml:space="preserve">3. HTML cleaning helpers</w:t>
      </w:r>
    </w:p>
    <w:p>
      <w:pPr>
        <w:pStyle w:val="FirstParagraph"/>
      </w:pPr>
      <w:r>
        <w:t xml:space="preserve">The goal here is to turn messy SEC HTML into normalized text before section extraction. So before we can reliably extract sections, we need to clean the HTML and normalize the text.</w:t>
      </w:r>
    </w:p>
    <w:p>
      <w:pPr>
        <w:pStyle w:val="BodyText"/>
      </w:pPr>
      <w:r>
        <w:t xml:space="preserve">In general, we want to process all the HTML files and convert them into clean text.</w:t>
      </w:r>
    </w:p>
    <w:p>
      <w:pPr>
        <w:pStyle w:val="Compact"/>
        <w:numPr>
          <w:ilvl w:val="0"/>
          <w:numId w:val="1004"/>
        </w:numPr>
      </w:pPr>
      <w:r>
        <w:t xml:space="preserve">The first function</w:t>
      </w:r>
      <w:r>
        <w:t xml:space="preserve"> </w:t>
      </w:r>
      <w:r>
        <w:rPr>
          <w:rStyle w:val="VerbatimChar"/>
        </w:rPr>
        <w:t xml:space="preserve">normalize_text</w:t>
      </w:r>
      <w:r>
        <w:t xml:space="preserve"> </w:t>
      </w:r>
      <w:r>
        <w:t xml:space="preserve">will handle Unicode normalization, space cleanup, and line break standardization to make regex matching more stable.</w:t>
      </w:r>
    </w:p>
    <w:p>
      <w:pPr>
        <w:pStyle w:val="Compact"/>
        <w:numPr>
          <w:ilvl w:val="0"/>
          <w:numId w:val="1004"/>
        </w:numPr>
      </w:pPr>
      <w:r>
        <w:t xml:space="preserve">The second function</w:t>
      </w:r>
      <w:r>
        <w:t xml:space="preserve"> </w:t>
      </w:r>
      <w:r>
        <w:rPr>
          <w:rStyle w:val="VerbatimChar"/>
        </w:rPr>
        <w:t xml:space="preserve">html_to_text</w:t>
      </w:r>
      <w:r>
        <w:t xml:space="preserve"> </w:t>
      </w:r>
      <w:r>
        <w:t xml:space="preserve">will use BeautifulSoup to parse the HTML, remove irrelevant tags (like scripts and styles), and extract the plain text content.</w:t>
      </w:r>
    </w:p>
    <w:p>
      <w:pPr>
        <w:pStyle w:val="SourceCode"/>
      </w:pPr>
      <w:r>
        <w:rPr>
          <w:rStyle w:val="KeywordTok"/>
        </w:rPr>
        <w:t xml:space="preserve">def</w:t>
      </w:r>
      <w:r>
        <w:rPr>
          <w:rStyle w:val="NormalTok"/>
        </w:rPr>
        <w:t xml:space="preserve"> normalize_text(text: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Normalize unicode, spaces, and line breaks for more stable regex matching.</w:t>
      </w:r>
      <w:r>
        <w:br/>
      </w:r>
      <w:r>
        <w:rPr>
          <w:rStyle w:val="CommentTok"/>
        </w:rPr>
        <w:t xml:space="preserve">    """</w:t>
      </w:r>
      <w:r>
        <w:br/>
      </w:r>
      <w:r>
        <w:rPr>
          <w:rStyle w:val="NormalTok"/>
        </w:rPr>
        <w:t xml:space="preserve">    text </w:t>
      </w:r>
      <w:r>
        <w:rPr>
          <w:rStyle w:val="OperatorTok"/>
        </w:rPr>
        <w:t xml:space="preserve">=</w:t>
      </w:r>
      <w:r>
        <w:rPr>
          <w:rStyle w:val="NormalTok"/>
        </w:rPr>
        <w:t xml:space="preserve"> unicodedata.normalize(</w:t>
      </w:r>
      <w:r>
        <w:rPr>
          <w:rStyle w:val="StringTok"/>
        </w:rPr>
        <w:t xml:space="preserve">"NFKC"</w:t>
      </w:r>
      <w:r>
        <w:rPr>
          <w:rStyle w:val="NormalTok"/>
        </w:rPr>
        <w:t xml:space="preserve">, text)</w:t>
      </w:r>
      <w:r>
        <w:br/>
      </w:r>
      <w:r>
        <w:rPr>
          <w:rStyle w:val="NormalTok"/>
        </w:rPr>
        <w:t xml:space="preserve">    text </w:t>
      </w:r>
      <w:r>
        <w:rPr>
          <w:rStyle w:val="OperatorTok"/>
        </w:rPr>
        <w:t xml:space="preserve">=</w:t>
      </w:r>
      <w:r>
        <w:rPr>
          <w:rStyle w:val="NormalTok"/>
        </w:rPr>
        <w:t xml:space="preserve"> text.replace(</w:t>
      </w:r>
      <w:r>
        <w:rPr>
          <w:rStyle w:val="StringTok"/>
        </w:rPr>
        <w:t xml:space="preserve">"</w:t>
      </w:r>
      <w:r>
        <w:rPr>
          <w:rStyle w:val="CharTok"/>
        </w:rPr>
        <w:t xml:space="preserve">\xa0</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text </w:t>
      </w:r>
      <w:r>
        <w:rPr>
          <w:rStyle w:val="OperatorTok"/>
        </w:rPr>
        <w:t xml:space="preserve">=</w:t>
      </w:r>
      <w:r>
        <w:rPr>
          <w:rStyle w:val="NormalTok"/>
        </w:rPr>
        <w:t xml:space="preserve"> text.replace(</w:t>
      </w:r>
      <w:r>
        <w:rPr>
          <w:rStyle w:val="StringTok"/>
        </w:rPr>
        <w:t xml:space="preserve">"&amp;nbsp;"</w:t>
      </w:r>
      <w:r>
        <w:rPr>
          <w:rStyle w:val="NormalTok"/>
        </w:rPr>
        <w:t xml:space="preserve">, </w:t>
      </w:r>
      <w:r>
        <w:rPr>
          <w:rStyle w:val="StringTok"/>
        </w:rPr>
        <w:t xml:space="preserve">" "</w:t>
      </w:r>
      <w:r>
        <w:rPr>
          <w:rStyle w:val="NormalTok"/>
        </w:rPr>
        <w:t xml:space="preserve">)</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CharTok"/>
        </w:rPr>
        <w:t xml:space="preserve">\r</w:t>
      </w:r>
      <w:r>
        <w:rPr>
          <w:rStyle w:val="VerbatimString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CharTok"/>
        </w:rPr>
        <w:t xml:space="preserve">\n</w:t>
      </w:r>
      <w:r>
        <w:rPr>
          <w:rStyle w:val="OperatorTok"/>
        </w:rPr>
        <w:t xml:space="preserve">{2,}</w:t>
      </w:r>
      <w:r>
        <w:rPr>
          <w:rStyle w:val="VerbatimString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text)</w:t>
      </w:r>
      <w:r>
        <w:br/>
      </w:r>
      <w:r>
        <w:rPr>
          <w:rStyle w:val="NormalTok"/>
        </w:rPr>
        <w:t xml:space="preserve">    </w:t>
      </w:r>
      <w:r>
        <w:rPr>
          <w:rStyle w:val="ControlFlowTok"/>
        </w:rPr>
        <w:t xml:space="preserve">return</w:t>
      </w:r>
      <w:r>
        <w:rPr>
          <w:rStyle w:val="NormalTok"/>
        </w:rPr>
        <w:t xml:space="preserve"> text.strip()</w:t>
      </w:r>
      <w:r>
        <w:br/>
      </w:r>
      <w:r>
        <w:br/>
      </w:r>
      <w:r>
        <w:br/>
      </w:r>
      <w:r>
        <w:rPr>
          <w:rStyle w:val="KeywordTok"/>
        </w:rPr>
        <w:t xml:space="preserve">def</w:t>
      </w:r>
      <w:r>
        <w:rPr>
          <w:rStyle w:val="NormalTok"/>
        </w:rPr>
        <w:t xml:space="preserve"> html_to_text(html: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Parse HTML and return cleaned plain text.</w:t>
      </w:r>
      <w:r>
        <w:br/>
      </w:r>
      <w:r>
        <w:rPr>
          <w:rStyle w:val="CommentTok"/>
        </w:rPr>
        <w:t xml:space="preserve">    Removes script/style content and flattens the document.</w:t>
      </w:r>
      <w:r>
        <w:br/>
      </w:r>
      <w:r>
        <w:rPr>
          <w:rStyle w:val="CommentTok"/>
        </w:rPr>
        <w:t xml:space="preserve">    """</w:t>
      </w:r>
      <w:r>
        <w:br/>
      </w:r>
      <w:r>
        <w:rPr>
          <w:rStyle w:val="NormalTok"/>
        </w:rPr>
        <w:t xml:space="preserve">    soup </w:t>
      </w:r>
      <w:r>
        <w:rPr>
          <w:rStyle w:val="OperatorTok"/>
        </w:rPr>
        <w:t xml:space="preserve">=</w:t>
      </w:r>
      <w:r>
        <w:rPr>
          <w:rStyle w:val="NormalTok"/>
        </w:rPr>
        <w:t xml:space="preserve"> BeautifulSoup(html, </w:t>
      </w:r>
      <w:r>
        <w:rPr>
          <w:rStyle w:val="StringTok"/>
        </w:rPr>
        <w:t xml:space="preserve">"lxml"</w:t>
      </w:r>
      <w:r>
        <w:rPr>
          <w:rStyle w:val="NormalTok"/>
        </w:rPr>
        <w:t xml:space="preserve">)</w:t>
      </w:r>
      <w:r>
        <w:br/>
      </w:r>
      <w:r>
        <w:br/>
      </w:r>
      <w:r>
        <w:rPr>
          <w:rStyle w:val="NormalTok"/>
        </w:rPr>
        <w:t xml:space="preserve">    </w:t>
      </w:r>
      <w:r>
        <w:rPr>
          <w:rStyle w:val="ControlFlowTok"/>
        </w:rPr>
        <w:t xml:space="preserve">for</w:t>
      </w:r>
      <w:r>
        <w:rPr>
          <w:rStyle w:val="NormalTok"/>
        </w:rPr>
        <w:t xml:space="preserve"> tag </w:t>
      </w:r>
      <w:r>
        <w:rPr>
          <w:rStyle w:val="KeywordTok"/>
        </w:rPr>
        <w:t xml:space="preserve">in</w:t>
      </w:r>
      <w:r>
        <w:rPr>
          <w:rStyle w:val="NormalTok"/>
        </w:rPr>
        <w:t xml:space="preserve"> soup([</w:t>
      </w:r>
      <w:r>
        <w:rPr>
          <w:rStyle w:val="StringTok"/>
        </w:rPr>
        <w:t xml:space="preserve">"script"</w:t>
      </w:r>
      <w:r>
        <w:rPr>
          <w:rStyle w:val="NormalTok"/>
        </w:rPr>
        <w:t xml:space="preserve">, </w:t>
      </w:r>
      <w:r>
        <w:rPr>
          <w:rStyle w:val="StringTok"/>
        </w:rPr>
        <w:t xml:space="preserve">"style"</w:t>
      </w:r>
      <w:r>
        <w:rPr>
          <w:rStyle w:val="NormalTok"/>
        </w:rPr>
        <w:t xml:space="preserve">, </w:t>
      </w:r>
      <w:r>
        <w:rPr>
          <w:rStyle w:val="StringTok"/>
        </w:rPr>
        <w:t xml:space="preserve">"ix:header"</w:t>
      </w:r>
      <w:r>
        <w:rPr>
          <w:rStyle w:val="NormalTok"/>
        </w:rPr>
        <w:t xml:space="preserve">, </w:t>
      </w:r>
      <w:r>
        <w:rPr>
          <w:rStyle w:val="StringTok"/>
        </w:rPr>
        <w:t xml:space="preserve">"header"</w:t>
      </w:r>
      <w:r>
        <w:rPr>
          <w:rStyle w:val="NormalTok"/>
        </w:rPr>
        <w:t xml:space="preserve">, </w:t>
      </w:r>
      <w:r>
        <w:rPr>
          <w:rStyle w:val="StringTok"/>
        </w:rPr>
        <w:t xml:space="preserve">"footer"</w:t>
      </w:r>
      <w:r>
        <w:rPr>
          <w:rStyle w:val="NormalTok"/>
        </w:rPr>
        <w:t xml:space="preserve">]):</w:t>
      </w:r>
      <w:r>
        <w:br/>
      </w:r>
      <w:r>
        <w:rPr>
          <w:rStyle w:val="NormalTok"/>
        </w:rPr>
        <w:t xml:space="preserve">        tag.decompose()</w:t>
      </w:r>
      <w:r>
        <w:br/>
      </w:r>
      <w:r>
        <w:br/>
      </w:r>
      <w:r>
        <w:rPr>
          <w:rStyle w:val="NormalTok"/>
        </w:rPr>
        <w:t xml:space="preserve">    text </w:t>
      </w:r>
      <w:r>
        <w:rPr>
          <w:rStyle w:val="OperatorTok"/>
        </w:rPr>
        <w:t xml:space="preserve">=</w:t>
      </w:r>
      <w:r>
        <w:rPr>
          <w:rStyle w:val="NormalTok"/>
        </w:rPr>
        <w:t xml:space="preserve"> soup.get_text(separator</w:t>
      </w:r>
      <w:r>
        <w:rPr>
          <w:rStyle w:val="Operator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normalize_text(text)</w:t>
      </w:r>
    </w:p>
    <w:bookmarkStart w:id="31" w:name="section-header-patterns"/>
    <w:p>
      <w:pPr>
        <w:pStyle w:val="Heading2"/>
      </w:pPr>
      <w:r>
        <w:t xml:space="preserve">3.1 Section header patterns</w:t>
      </w:r>
    </w:p>
    <w:p>
      <w:pPr>
        <w:pStyle w:val="FirstParagraph"/>
      </w:pPr>
      <w:r>
        <w:t xml:space="preserve">We want to extract:</w:t>
      </w:r>
    </w:p>
    <w:p>
      <w:pPr>
        <w:pStyle w:val="Compact"/>
        <w:numPr>
          <w:ilvl w:val="0"/>
          <w:numId w:val="1005"/>
        </w:numPr>
      </w:pPr>
      <w:r>
        <w:rPr>
          <w:b/>
          <w:bCs/>
        </w:rPr>
        <w:t xml:space="preserve">Item 1</w:t>
      </w:r>
      <w:r>
        <w:t xml:space="preserve"> </w:t>
      </w:r>
      <w:r>
        <w:t xml:space="preserve">— Business</w:t>
      </w:r>
    </w:p>
    <w:p>
      <w:pPr>
        <w:pStyle w:val="Compact"/>
        <w:numPr>
          <w:ilvl w:val="0"/>
          <w:numId w:val="1005"/>
        </w:numPr>
      </w:pPr>
      <w:r>
        <w:rPr>
          <w:b/>
          <w:bCs/>
        </w:rPr>
        <w:t xml:space="preserve">Item 1A</w:t>
      </w:r>
      <w:r>
        <w:t xml:space="preserve"> </w:t>
      </w:r>
      <w:r>
        <w:t xml:space="preserve">— Risk Factors</w:t>
      </w:r>
    </w:p>
    <w:p>
      <w:pPr>
        <w:pStyle w:val="Compact"/>
        <w:numPr>
          <w:ilvl w:val="0"/>
          <w:numId w:val="1005"/>
        </w:numPr>
      </w:pPr>
      <w:r>
        <w:rPr>
          <w:b/>
          <w:bCs/>
        </w:rPr>
        <w:t xml:space="preserve">Item 7</w:t>
      </w:r>
      <w:r>
        <w:t xml:space="preserve"> </w:t>
      </w:r>
      <w:r>
        <w:t xml:space="preserve">— Management’s Discussion and Analysis</w:t>
      </w:r>
    </w:p>
    <w:p>
      <w:pPr>
        <w:pStyle w:val="FirstParagraph"/>
      </w:pPr>
      <w:r>
        <w:t xml:space="preserve">The main challenge is that SEC filings often contain, so we need a reasonably defensive regex design. This is probably the most important part of the assignment, because it directly impacts the quality of the extracted corpus. In general my thinking was to remove everything above and below the target section, and then keep the longest plausible span to avoid TOC matches. There are many edge cases, but this approach works well for most filings. In general the core idea is to find candidate start positions for the target item, find candidate end positions for the next boundary items, and then build valid spans where end &gt; start. Finally, we choose the longest plausible span as the extracted section while keeping following in mind.</w:t>
      </w:r>
    </w:p>
    <w:p>
      <w:pPr>
        <w:pStyle w:val="Compact"/>
        <w:numPr>
          <w:ilvl w:val="0"/>
          <w:numId w:val="1006"/>
        </w:numPr>
      </w:pPr>
      <w:r>
        <w:t xml:space="preserve">Table of contents duplicates</w:t>
      </w:r>
    </w:p>
    <w:p>
      <w:pPr>
        <w:pStyle w:val="Compact"/>
        <w:numPr>
          <w:ilvl w:val="0"/>
          <w:numId w:val="1006"/>
        </w:numPr>
      </w:pPr>
      <w:r>
        <w:t xml:space="preserve">Repeated item headers</w:t>
      </w:r>
    </w:p>
    <w:p>
      <w:pPr>
        <w:pStyle w:val="Compact"/>
        <w:numPr>
          <w:ilvl w:val="0"/>
          <w:numId w:val="1006"/>
        </w:numPr>
      </w:pPr>
      <w:r>
        <w:t xml:space="preserve">Formatting inconsistencies</w:t>
      </w:r>
    </w:p>
    <w:p>
      <w:pPr>
        <w:pStyle w:val="Compact"/>
        <w:numPr>
          <w:ilvl w:val="0"/>
          <w:numId w:val="1006"/>
        </w:numPr>
      </w:pPr>
      <w:r>
        <w:t xml:space="preserve">Inline XBRL artifacts</w:t>
      </w:r>
    </w:p>
    <w:p>
      <w:pPr>
        <w:pStyle w:val="FirstParagraph"/>
      </w:pPr>
      <w:r>
        <w:t xml:space="preserve">You can use any other patterns you like to make the extraction more robust, but the key is to test and iterate on the regexes to improve coverage and precision. Here are some examples:</w:t>
      </w:r>
    </w:p>
    <w:p>
      <w:pPr>
        <w:pStyle w:val="Compact"/>
        <w:numPr>
          <w:ilvl w:val="0"/>
          <w:numId w:val="1007"/>
        </w:numPr>
      </w:pPr>
      <w:r>
        <w:t xml:space="preserve">This extracts Item and number</w:t>
      </w:r>
    </w:p>
    <w:p>
      <w:pPr>
        <w:pStyle w:val="Compact"/>
        <w:numPr>
          <w:ilvl w:val="1"/>
          <w:numId w:val="1008"/>
        </w:numPr>
      </w:pPr>
      <w:r>
        <w:rPr>
          <w:rStyle w:val="VerbatimChar"/>
        </w:rPr>
        <w:t xml:space="preserve">re.compile(r"Item\s+(1\.|1A\.|2\.)", re.IGNORECASE)</w:t>
      </w:r>
    </w:p>
    <w:p>
      <w:pPr>
        <w:pStyle w:val="Compact"/>
        <w:numPr>
          <w:ilvl w:val="1"/>
          <w:numId w:val="1008"/>
        </w:numPr>
      </w:pPr>
      <w:r>
        <w:rPr>
          <w:rStyle w:val="VerbatimChar"/>
        </w:rPr>
        <w:t xml:space="preserve">regex = re.compile(r'(&gt;Item(\s|&amp;#160;|&amp;nbsp;)(1|1A|1B|2)\.{0,1})|(ITEM\s(1|1A|1B|2)\b)')</w:t>
      </w:r>
    </w:p>
    <w:p>
      <w:pPr>
        <w:pStyle w:val="Compact"/>
        <w:numPr>
          <w:ilvl w:val="1"/>
          <w:numId w:val="1008"/>
        </w:numPr>
      </w:pPr>
      <w:r>
        <w:rPr>
          <w:rStyle w:val="VerbatimChar"/>
        </w:rPr>
        <w:t xml:space="preserve">regex = re.compile(r'(&gt;Item(\s|&amp;#160;|&amp;nbsp;)(1|1A|1B|2)\.{1})|(ITEM\s(1|1A|1B|2)\b)')</w:t>
      </w:r>
    </w:p>
    <w:p>
      <w:pPr>
        <w:pStyle w:val="Compact"/>
        <w:numPr>
          <w:ilvl w:val="1"/>
          <w:numId w:val="1008"/>
        </w:numPr>
      </w:pPr>
      <w:r>
        <w:rPr>
          <w:rStyle w:val="VerbatimChar"/>
        </w:rPr>
        <w:t xml:space="preserve">regex = re.compile(r'(&gt;Item(\s|&amp;#160;|&amp;nbsp;)(1|1A|1B|2)\.{1})|(ITEM(?:\s|&amp;nbsp;)+1[AB]?\.?)|(ITEM(?:\s|&amp;nbsp;)+2\.?)|(ITEM\s(1|1A|1B|2)\b)', re.IGNORECASE)</w:t>
      </w:r>
    </w:p>
    <w:p>
      <w:pPr>
        <w:pStyle w:val="Compact"/>
        <w:numPr>
          <w:ilvl w:val="0"/>
          <w:numId w:val="1007"/>
        </w:numPr>
      </w:pPr>
      <w:r>
        <w:t xml:space="preserve">These extract Part and Part number</w:t>
      </w:r>
    </w:p>
    <w:p>
      <w:pPr>
        <w:pStyle w:val="Compact"/>
        <w:numPr>
          <w:ilvl w:val="1"/>
          <w:numId w:val="1009"/>
        </w:numPr>
      </w:pPr>
      <w:r>
        <w:rPr>
          <w:rStyle w:val="VerbatimChar"/>
        </w:rPr>
        <w:t xml:space="preserve">regex = re.compile(r'(&gt;Item(\s|&amp;#160;|&amp;nbsp;)(1|1A)\.{0,1})|(ITEM\s(1|1A)\b)')</w:t>
      </w:r>
    </w:p>
    <w:p>
      <w:pPr>
        <w:pStyle w:val="Compact"/>
        <w:numPr>
          <w:ilvl w:val="1"/>
          <w:numId w:val="1009"/>
        </w:numPr>
      </w:pPr>
      <w:r>
        <w:rPr>
          <w:rStyle w:val="VerbatimChar"/>
        </w:rPr>
        <w:t xml:space="preserve">regex = re.compile(r'(&gt;Item(\s|&amp;#160;|&amp;nbsp;)(1|1A|1B|2)\.{1})|(ITEM\s(1|1A|1B|2)\b)')</w:t>
      </w:r>
    </w:p>
    <w:p>
      <w:pPr>
        <w:pStyle w:val="Compact"/>
        <w:numPr>
          <w:ilvl w:val="1"/>
          <w:numId w:val="1009"/>
        </w:numPr>
      </w:pPr>
      <w:r>
        <w:rPr>
          <w:rStyle w:val="VerbatimChar"/>
        </w:rPr>
        <w:t xml:space="preserve">regex = re.compile(r'(&gt;Part(\s|&amp;#160;|&amp;nbsp;)(I|II|III|IV)\.{0,1})|(PART\s(I|II|III|IV)\b)',re.IGNORECASE)</w:t>
      </w:r>
    </w:p>
    <w:p>
      <w:pPr>
        <w:pStyle w:val="Compact"/>
        <w:numPr>
          <w:ilvl w:val="1"/>
          <w:numId w:val="1009"/>
        </w:numPr>
      </w:pPr>
      <w:r>
        <w:rPr>
          <w:rStyle w:val="VerbatimChar"/>
        </w:rPr>
        <w:t xml:space="preserve">regex = re.compile(r'([\'"]?&gt;Part(\s|&amp;#160;|&amp;nbsp;)(I|II|III|IV)\.{0,1}[\'"]?)|([\'"]?PART\s(I|II|III|IV)\b[\'"]?)', re.IGNORECASE)</w:t>
      </w:r>
    </w:p>
    <w:p>
      <w:pPr>
        <w:pStyle w:val="Compact"/>
        <w:numPr>
          <w:ilvl w:val="1"/>
          <w:numId w:val="1009"/>
        </w:numPr>
      </w:pPr>
      <w:r>
        <w:rPr>
          <w:rStyle w:val="VerbatimChar"/>
        </w:rPr>
        <w:t xml:space="preserve">regex = re.compile(r'(&gt;Part(\s|&amp;#160;|&amp;nbsp;)(I|II|III|IV))|(PART\s(I|II|III|IV)\b)|(Table of Content[s]?)|(TABLE OF CONTENT[S]?)', re.IGNORECASE)</w:t>
      </w:r>
    </w:p>
    <w:p>
      <w:pPr>
        <w:pStyle w:val="SourceCode"/>
      </w:pPr>
      <w:r>
        <w:rPr>
          <w:rStyle w:val="NormalTok"/>
        </w:rPr>
        <w:t xml:space="preserve">ITEM_PATTERNS </w:t>
      </w:r>
      <w:r>
        <w:rPr>
          <w:rStyle w:val="OperatorTok"/>
        </w:rPr>
        <w:t xml:space="preserve">=</w:t>
      </w:r>
      <w:r>
        <w:rPr>
          <w:rStyle w:val="NormalTok"/>
        </w:rPr>
        <w:t xml:space="preserve"> {</w:t>
      </w:r>
      <w:r>
        <w:br/>
      </w:r>
      <w:r>
        <w:rPr>
          <w:rStyle w:val="NormalTok"/>
        </w:rPr>
        <w:t xml:space="preserve">    </w:t>
      </w:r>
      <w:r>
        <w:rPr>
          <w:rStyle w:val="StringTok"/>
        </w:rPr>
        <w:t xml:space="preserve">"item_1"</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FunctionTok"/>
        </w:rPr>
        <w:t xml:space="preserve">(?im)</w:t>
      </w:r>
      <w:r>
        <w:rPr>
          <w:rStyle w:val="DecValTok"/>
        </w:rPr>
        <w:t xml:space="preserve">^\s</w:t>
      </w:r>
      <w:r>
        <w:rPr>
          <w:rStyle w:val="OperatorTok"/>
        </w:rPr>
        <w:t xml:space="preserve">*</w:t>
      </w:r>
      <w:r>
        <w:rPr>
          <w:rStyle w:val="VerbatimStringTok"/>
        </w:rPr>
        <w:t xml:space="preserve">item</w:t>
      </w:r>
      <w:r>
        <w:rPr>
          <w:rStyle w:val="DecValTok"/>
        </w:rPr>
        <w:t xml:space="preserve">\s</w:t>
      </w:r>
      <w:r>
        <w:rPr>
          <w:rStyle w:val="OperatorTok"/>
        </w:rPr>
        <w:t xml:space="preserve">*</w:t>
      </w:r>
      <w:r>
        <w:rPr>
          <w:rStyle w:val="VerbatimStringTok"/>
        </w:rPr>
        <w:t xml:space="preserve">1</w:t>
      </w:r>
      <w:r>
        <w:rPr>
          <w:rStyle w:val="PreprocessorTok"/>
        </w:rPr>
        <w:t xml:space="preserve">[</w:t>
      </w:r>
      <w:r>
        <w:rPr>
          <w:rStyle w:val="CharTok"/>
        </w:rPr>
        <w:t xml:space="preserve">\.\-</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\b</w:t>
      </w:r>
      <w:r>
        <w:rPr>
          <w:rStyle w:val="ExtensionTok"/>
        </w:rPr>
        <w:t xml:space="preserve">(</w:t>
      </w:r>
      <w:r>
        <w:rPr>
          <w:rStyle w:val="FunctionTok"/>
        </w:rPr>
        <w:t xml:space="preserve">?!</w:t>
      </w:r>
      <w:r>
        <w:rPr>
          <w:rStyle w:val="VerbatimStringTok"/>
        </w:rPr>
        <w:t xml:space="preserve">a</w:t>
      </w:r>
      <w:r>
        <w:rPr>
          <w:rStyle w:val="DecValTok"/>
        </w:rPr>
        <w:t xml:space="preserve">\b</w:t>
      </w:r>
      <w:r>
        <w:rPr>
          <w:rStyle w:val="ExtensionTok"/>
        </w:rPr>
        <w:t xml:space="preserve">)</w:t>
      </w:r>
      <w:r>
        <w:rPr>
          <w:rStyle w:val="NormalTok"/>
        </w:rPr>
        <w:t xml:space="preserve">(?:</w:t>
      </w:r>
      <w:r>
        <w:rPr>
          <w:rStyle w:val="VerbatimStringTok"/>
        </w:rPr>
        <w:t xml:space="preserve">business</w:t>
      </w:r>
      <w:r>
        <w:rPr>
          <w:rStyle w:val="DecValTok"/>
        </w:rPr>
        <w:t xml:space="preserve">\b</w:t>
      </w:r>
      <w:r>
        <w:rPr>
          <w:rStyle w:val="NormalTok"/>
        </w:rPr>
        <w:t xml:space="preserve">)</w:t>
      </w:r>
      <w:r>
        <w:rPr>
          <w:rStyle w:val="OperatorTok"/>
        </w:rPr>
        <w:t xml:space="preserve">?</w:t>
      </w:r>
      <w:r>
        <w:rPr>
          <w:rStyle w:val="VerbatimStringTok"/>
        </w:rPr>
        <w:t xml:space="preserve">"</w:t>
      </w:r>
      <w:r>
        <w:rPr>
          <w:rStyle w:val="NormalTok"/>
        </w:rPr>
        <w:t xml:space="preserve">,</w:t>
      </w:r>
      <w:r>
        <w:br/>
      </w:r>
      <w:r>
        <w:rPr>
          <w:rStyle w:val="NormalTok"/>
        </w:rPr>
        <w:t xml:space="preserve">        re.IGNORECASE </w:t>
      </w:r>
      <w:r>
        <w:rPr>
          <w:rStyle w:val="OperatorTok"/>
        </w:rPr>
        <w:t xml:space="preserve">|</w:t>
      </w:r>
      <w:r>
        <w:rPr>
          <w:rStyle w:val="NormalTok"/>
        </w:rPr>
        <w:t xml:space="preserve"> re.MULTILINE</w:t>
      </w:r>
      <w:r>
        <w:br/>
      </w:r>
      <w:r>
        <w:rPr>
          <w:rStyle w:val="NormalTok"/>
        </w:rPr>
        <w:t xml:space="preserve">    ),</w:t>
      </w:r>
      <w:r>
        <w:br/>
      </w:r>
      <w:r>
        <w:rPr>
          <w:rStyle w:val="NormalTok"/>
        </w:rPr>
        <w:t xml:space="preserve">    </w:t>
      </w:r>
      <w:r>
        <w:rPr>
          <w:rStyle w:val="StringTok"/>
        </w:rPr>
        <w:t xml:space="preserve">"item_1a"</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FunctionTok"/>
        </w:rPr>
        <w:t xml:space="preserve">(?im)</w:t>
      </w:r>
      <w:r>
        <w:rPr>
          <w:rStyle w:val="DecValTok"/>
        </w:rPr>
        <w:t xml:space="preserve">^\s</w:t>
      </w:r>
      <w:r>
        <w:rPr>
          <w:rStyle w:val="OperatorTok"/>
        </w:rPr>
        <w:t xml:space="preserve">*</w:t>
      </w:r>
      <w:r>
        <w:rPr>
          <w:rStyle w:val="VerbatimStringTok"/>
        </w:rPr>
        <w:t xml:space="preserve">item</w:t>
      </w:r>
      <w:r>
        <w:rPr>
          <w:rStyle w:val="DecValTok"/>
        </w:rPr>
        <w:t xml:space="preserve">\s</w:t>
      </w:r>
      <w:r>
        <w:rPr>
          <w:rStyle w:val="OperatorTok"/>
        </w:rPr>
        <w:t xml:space="preserve">*</w:t>
      </w:r>
      <w:r>
        <w:rPr>
          <w:rStyle w:val="VerbatimStringTok"/>
        </w:rPr>
        <w:t xml:space="preserve">1a</w:t>
      </w:r>
      <w:r>
        <w:rPr>
          <w:rStyle w:val="PreprocessorTok"/>
        </w:rPr>
        <w:t xml:space="preserve">[</w:t>
      </w:r>
      <w:r>
        <w:rPr>
          <w:rStyle w:val="CharTok"/>
        </w:rPr>
        <w:t xml:space="preserve">\.\-</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\b</w:t>
      </w:r>
      <w:r>
        <w:rPr>
          <w:rStyle w:val="NormalTok"/>
        </w:rPr>
        <w:t xml:space="preserve">(?:</w:t>
      </w:r>
      <w:r>
        <w:rPr>
          <w:rStyle w:val="VerbatimStringTok"/>
        </w:rPr>
        <w:t xml:space="preserve">risk</w:t>
      </w:r>
      <w:r>
        <w:rPr>
          <w:rStyle w:val="DecValTok"/>
        </w:rPr>
        <w:t xml:space="preserve">\s</w:t>
      </w:r>
      <w:r>
        <w:rPr>
          <w:rStyle w:val="OperatorTok"/>
        </w:rPr>
        <w:t xml:space="preserve">+</w:t>
      </w:r>
      <w:r>
        <w:rPr>
          <w:rStyle w:val="VerbatimStringTok"/>
        </w:rPr>
        <w:t xml:space="preserve">factors</w:t>
      </w:r>
      <w:r>
        <w:rPr>
          <w:rStyle w:val="DecValTok"/>
        </w:rPr>
        <w:t xml:space="preserve">\b</w:t>
      </w:r>
      <w:r>
        <w:rPr>
          <w:rStyle w:val="NormalTok"/>
        </w:rPr>
        <w:t xml:space="preserve">)</w:t>
      </w:r>
      <w:r>
        <w:rPr>
          <w:rStyle w:val="OperatorTok"/>
        </w:rPr>
        <w:t xml:space="preserve">?</w:t>
      </w:r>
      <w:r>
        <w:rPr>
          <w:rStyle w:val="VerbatimStringTok"/>
        </w:rPr>
        <w:t xml:space="preserve">"</w:t>
      </w:r>
      <w:r>
        <w:rPr>
          <w:rStyle w:val="NormalTok"/>
        </w:rPr>
        <w:t xml:space="preserve">,</w:t>
      </w:r>
      <w:r>
        <w:br/>
      </w:r>
      <w:r>
        <w:rPr>
          <w:rStyle w:val="NormalTok"/>
        </w:rPr>
        <w:t xml:space="preserve">        re.IGNORECASE </w:t>
      </w:r>
      <w:r>
        <w:rPr>
          <w:rStyle w:val="OperatorTok"/>
        </w:rPr>
        <w:t xml:space="preserve">|</w:t>
      </w:r>
      <w:r>
        <w:rPr>
          <w:rStyle w:val="NormalTok"/>
        </w:rPr>
        <w:t xml:space="preserve"> re.MULTILINE</w:t>
      </w:r>
      <w:r>
        <w:br/>
      </w:r>
      <w:r>
        <w:rPr>
          <w:rStyle w:val="NormalTok"/>
        </w:rPr>
        <w:t xml:space="preserve">    ),</w:t>
      </w:r>
      <w:r>
        <w:br/>
      </w:r>
      <w:r>
        <w:rPr>
          <w:rStyle w:val="NormalTok"/>
        </w:rPr>
        <w:t xml:space="preserve">    </w:t>
      </w:r>
      <w:r>
        <w:rPr>
          <w:rStyle w:val="StringTok"/>
        </w:rPr>
        <w:t xml:space="preserve">"item_1b"</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FunctionTok"/>
        </w:rPr>
        <w:t xml:space="preserve">(?im)</w:t>
      </w:r>
      <w:r>
        <w:rPr>
          <w:rStyle w:val="DecValTok"/>
        </w:rPr>
        <w:t xml:space="preserve">^\s</w:t>
      </w:r>
      <w:r>
        <w:rPr>
          <w:rStyle w:val="OperatorTok"/>
        </w:rPr>
        <w:t xml:space="preserve">*</w:t>
      </w:r>
      <w:r>
        <w:rPr>
          <w:rStyle w:val="VerbatimStringTok"/>
        </w:rPr>
        <w:t xml:space="preserve">item</w:t>
      </w:r>
      <w:r>
        <w:rPr>
          <w:rStyle w:val="DecValTok"/>
        </w:rPr>
        <w:t xml:space="preserve">\s</w:t>
      </w:r>
      <w:r>
        <w:rPr>
          <w:rStyle w:val="OperatorTok"/>
        </w:rPr>
        <w:t xml:space="preserve">*</w:t>
      </w:r>
      <w:r>
        <w:rPr>
          <w:rStyle w:val="VerbatimStringTok"/>
        </w:rPr>
        <w:t xml:space="preserve">1b</w:t>
      </w:r>
      <w:r>
        <w:rPr>
          <w:rStyle w:val="PreprocessorTok"/>
        </w:rPr>
        <w:t xml:space="preserve">[</w:t>
      </w:r>
      <w:r>
        <w:rPr>
          <w:rStyle w:val="CharTok"/>
        </w:rPr>
        <w:t xml:space="preserve">\.\-</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re.IGNORECASE </w:t>
      </w:r>
      <w:r>
        <w:rPr>
          <w:rStyle w:val="OperatorTok"/>
        </w:rPr>
        <w:t xml:space="preserve">|</w:t>
      </w:r>
      <w:r>
        <w:rPr>
          <w:rStyle w:val="NormalTok"/>
        </w:rPr>
        <w:t xml:space="preserve"> re.MULTILINE</w:t>
      </w:r>
      <w:r>
        <w:br/>
      </w:r>
      <w:r>
        <w:rPr>
          <w:rStyle w:val="NormalTok"/>
        </w:rPr>
        <w:t xml:space="preserve">    ),</w:t>
      </w:r>
      <w:r>
        <w:br/>
      </w:r>
      <w:r>
        <w:rPr>
          <w:rStyle w:val="NormalTok"/>
        </w:rPr>
        <w:t xml:space="preserve">    </w:t>
      </w:r>
      <w:r>
        <w:rPr>
          <w:rStyle w:val="StringTok"/>
        </w:rPr>
        <w:t xml:space="preserve">"item_2"</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FunctionTok"/>
        </w:rPr>
        <w:t xml:space="preserve">(?im)</w:t>
      </w:r>
      <w:r>
        <w:rPr>
          <w:rStyle w:val="DecValTok"/>
        </w:rPr>
        <w:t xml:space="preserve">^\s</w:t>
      </w:r>
      <w:r>
        <w:rPr>
          <w:rStyle w:val="OperatorTok"/>
        </w:rPr>
        <w:t xml:space="preserve">*</w:t>
      </w:r>
      <w:r>
        <w:rPr>
          <w:rStyle w:val="VerbatimStringTok"/>
        </w:rPr>
        <w:t xml:space="preserve">item</w:t>
      </w:r>
      <w:r>
        <w:rPr>
          <w:rStyle w:val="DecValTok"/>
        </w:rPr>
        <w:t xml:space="preserve">\s</w:t>
      </w:r>
      <w:r>
        <w:rPr>
          <w:rStyle w:val="OperatorTok"/>
        </w:rPr>
        <w:t xml:space="preserve">*</w:t>
      </w:r>
      <w:r>
        <w:rPr>
          <w:rStyle w:val="VerbatimStringTok"/>
        </w:rPr>
        <w:t xml:space="preserve">2</w:t>
      </w:r>
      <w:r>
        <w:rPr>
          <w:rStyle w:val="PreprocessorTok"/>
        </w:rPr>
        <w:t xml:space="preserve">[</w:t>
      </w:r>
      <w:r>
        <w:rPr>
          <w:rStyle w:val="CharTok"/>
        </w:rPr>
        <w:t xml:space="preserve">\.\-</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re.IGNORECASE </w:t>
      </w:r>
      <w:r>
        <w:rPr>
          <w:rStyle w:val="OperatorTok"/>
        </w:rPr>
        <w:t xml:space="preserve">|</w:t>
      </w:r>
      <w:r>
        <w:rPr>
          <w:rStyle w:val="NormalTok"/>
        </w:rPr>
        <w:t xml:space="preserve"> re.MULTILINE</w:t>
      </w:r>
      <w:r>
        <w:br/>
      </w:r>
      <w:r>
        <w:rPr>
          <w:rStyle w:val="NormalTok"/>
        </w:rPr>
        <w:t xml:space="preserve">    ),</w:t>
      </w:r>
      <w:r>
        <w:br/>
      </w:r>
      <w:r>
        <w:rPr>
          <w:rStyle w:val="NormalTok"/>
        </w:rPr>
        <w:t xml:space="preserve">    </w:t>
      </w:r>
      <w:r>
        <w:rPr>
          <w:rStyle w:val="StringTok"/>
        </w:rPr>
        <w:t xml:space="preserve">"item_7"</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FunctionTok"/>
        </w:rPr>
        <w:t xml:space="preserve">(?im)</w:t>
      </w:r>
      <w:r>
        <w:rPr>
          <w:rStyle w:val="DecValTok"/>
        </w:rPr>
        <w:t xml:space="preserve">^\s</w:t>
      </w:r>
      <w:r>
        <w:rPr>
          <w:rStyle w:val="OperatorTok"/>
        </w:rPr>
        <w:t xml:space="preserve">*</w:t>
      </w:r>
      <w:r>
        <w:rPr>
          <w:rStyle w:val="VerbatimStringTok"/>
        </w:rPr>
        <w:t xml:space="preserve">item</w:t>
      </w:r>
      <w:r>
        <w:rPr>
          <w:rStyle w:val="DecValTok"/>
        </w:rPr>
        <w:t xml:space="preserve">\s</w:t>
      </w:r>
      <w:r>
        <w:rPr>
          <w:rStyle w:val="OperatorTok"/>
        </w:rPr>
        <w:t xml:space="preserve">*</w:t>
      </w:r>
      <w:r>
        <w:rPr>
          <w:rStyle w:val="VerbatimStringTok"/>
        </w:rPr>
        <w:t xml:space="preserve">7</w:t>
      </w:r>
      <w:r>
        <w:rPr>
          <w:rStyle w:val="PreprocessorTok"/>
        </w:rPr>
        <w:t xml:space="preserve">[</w:t>
      </w:r>
      <w:r>
        <w:rPr>
          <w:rStyle w:val="CharTok"/>
        </w:rPr>
        <w:t xml:space="preserve">\.\-</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\b</w:t>
      </w:r>
      <w:r>
        <w:rPr>
          <w:rStyle w:val="ExtensionTok"/>
        </w:rPr>
        <w:t xml:space="preserve">(</w:t>
      </w:r>
      <w:r>
        <w:rPr>
          <w:rStyle w:val="FunctionTok"/>
        </w:rPr>
        <w:t xml:space="preserve">?!</w:t>
      </w:r>
      <w:r>
        <w:rPr>
          <w:rStyle w:val="VerbatimStringTok"/>
        </w:rPr>
        <w:t xml:space="preserve">a</w:t>
      </w:r>
      <w:r>
        <w:rPr>
          <w:rStyle w:val="DecValTok"/>
        </w:rPr>
        <w:t xml:space="preserve">\b</w:t>
      </w:r>
      <w:r>
        <w:rPr>
          <w:rStyle w:val="ExtensionTok"/>
        </w:rPr>
        <w:t xml:space="preserve">)</w:t>
      </w:r>
      <w:r>
        <w:rPr>
          <w:rStyle w:val="NormalTok"/>
        </w:rPr>
        <w:t xml:space="preserve">(?:</w:t>
      </w:r>
      <w:r>
        <w:rPr>
          <w:rStyle w:val="VerbatimStringTok"/>
        </w:rPr>
        <w:t xml:space="preserve">management'</w:t>
      </w:r>
      <w:r>
        <w:rPr>
          <w:rStyle w:val="OperatorTok"/>
        </w:rPr>
        <w:t xml:space="preserve">?</w:t>
      </w:r>
      <w:r>
        <w:rPr>
          <w:rStyle w:val="VerbatimStringTok"/>
        </w:rPr>
        <w:t xml:space="preserve">s</w:t>
      </w:r>
      <w:r>
        <w:rPr>
          <w:rStyle w:val="OperatorTok"/>
        </w:rPr>
        <w:t xml:space="preserve">?</w:t>
      </w:r>
      <w:r>
        <w:rPr>
          <w:rStyle w:val="DecValTok"/>
        </w:rPr>
        <w:t xml:space="preserve">\s</w:t>
      </w:r>
      <w:r>
        <w:rPr>
          <w:rStyle w:val="OperatorTok"/>
        </w:rPr>
        <w:t xml:space="preserve">+</w:t>
      </w:r>
      <w:r>
        <w:rPr>
          <w:rStyle w:val="VerbatimStringTok"/>
        </w:rPr>
        <w:t xml:space="preserve">discussion</w:t>
      </w:r>
      <w:r>
        <w:rPr>
          <w:rStyle w:val="DecValTok"/>
        </w:rPr>
        <w:t xml:space="preserve">\b</w:t>
      </w:r>
      <w:r>
        <w:rPr>
          <w:rStyle w:val="ControlFlowTok"/>
        </w:rPr>
        <w:t xml:space="preserve">|</w:t>
      </w:r>
      <w:r>
        <w:rPr>
          <w:rStyle w:val="VerbatimStringTok"/>
        </w:rPr>
        <w:t xml:space="preserve">md&amp;a</w:t>
      </w:r>
      <w:r>
        <w:rPr>
          <w:rStyle w:val="DecValTok"/>
        </w:rPr>
        <w:t xml:space="preserve">\b</w:t>
      </w:r>
      <w:r>
        <w:rPr>
          <w:rStyle w:val="NormalTok"/>
        </w:rPr>
        <w:t xml:space="preserve">)</w:t>
      </w:r>
      <w:r>
        <w:rPr>
          <w:rStyle w:val="OperatorTok"/>
        </w:rPr>
        <w:t xml:space="preserve">?</w:t>
      </w:r>
      <w:r>
        <w:rPr>
          <w:rStyle w:val="VerbatimStringTok"/>
        </w:rPr>
        <w:t xml:space="preserve">"</w:t>
      </w:r>
      <w:r>
        <w:rPr>
          <w:rStyle w:val="NormalTok"/>
        </w:rPr>
        <w:t xml:space="preserve">,</w:t>
      </w:r>
      <w:r>
        <w:br/>
      </w:r>
      <w:r>
        <w:rPr>
          <w:rStyle w:val="NormalTok"/>
        </w:rPr>
        <w:t xml:space="preserve">        re.IGNORECASE </w:t>
      </w:r>
      <w:r>
        <w:rPr>
          <w:rStyle w:val="OperatorTok"/>
        </w:rPr>
        <w:t xml:space="preserve">|</w:t>
      </w:r>
      <w:r>
        <w:rPr>
          <w:rStyle w:val="NormalTok"/>
        </w:rPr>
        <w:t xml:space="preserve"> re.MULTILINE</w:t>
      </w:r>
      <w:r>
        <w:br/>
      </w:r>
      <w:r>
        <w:rPr>
          <w:rStyle w:val="NormalTok"/>
        </w:rPr>
        <w:t xml:space="preserve">    ),</w:t>
      </w:r>
      <w:r>
        <w:br/>
      </w:r>
      <w:r>
        <w:rPr>
          <w:rStyle w:val="NormalTok"/>
        </w:rPr>
        <w:t xml:space="preserve">    </w:t>
      </w:r>
      <w:r>
        <w:rPr>
          <w:rStyle w:val="StringTok"/>
        </w:rPr>
        <w:t xml:space="preserve">"item_7a"</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FunctionTok"/>
        </w:rPr>
        <w:t xml:space="preserve">(?im)</w:t>
      </w:r>
      <w:r>
        <w:rPr>
          <w:rStyle w:val="DecValTok"/>
        </w:rPr>
        <w:t xml:space="preserve">^\s</w:t>
      </w:r>
      <w:r>
        <w:rPr>
          <w:rStyle w:val="OperatorTok"/>
        </w:rPr>
        <w:t xml:space="preserve">*</w:t>
      </w:r>
      <w:r>
        <w:rPr>
          <w:rStyle w:val="VerbatimStringTok"/>
        </w:rPr>
        <w:t xml:space="preserve">item</w:t>
      </w:r>
      <w:r>
        <w:rPr>
          <w:rStyle w:val="DecValTok"/>
        </w:rPr>
        <w:t xml:space="preserve">\s</w:t>
      </w:r>
      <w:r>
        <w:rPr>
          <w:rStyle w:val="OperatorTok"/>
        </w:rPr>
        <w:t xml:space="preserve">*</w:t>
      </w:r>
      <w:r>
        <w:rPr>
          <w:rStyle w:val="VerbatimStringTok"/>
        </w:rPr>
        <w:t xml:space="preserve">7a</w:t>
      </w:r>
      <w:r>
        <w:rPr>
          <w:rStyle w:val="PreprocessorTok"/>
        </w:rPr>
        <w:t xml:space="preserve">[</w:t>
      </w:r>
      <w:r>
        <w:rPr>
          <w:rStyle w:val="CharTok"/>
        </w:rPr>
        <w:t xml:space="preserve">\.\-</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re.IGNORECASE </w:t>
      </w:r>
      <w:r>
        <w:rPr>
          <w:rStyle w:val="OperatorTok"/>
        </w:rPr>
        <w:t xml:space="preserve">|</w:t>
      </w:r>
      <w:r>
        <w:rPr>
          <w:rStyle w:val="NormalTok"/>
        </w:rPr>
        <w:t xml:space="preserve"> re.MULTILINE</w:t>
      </w:r>
      <w:r>
        <w:br/>
      </w:r>
      <w:r>
        <w:rPr>
          <w:rStyle w:val="NormalTok"/>
        </w:rPr>
        <w:t xml:space="preserve">    ),</w:t>
      </w:r>
      <w:r>
        <w:br/>
      </w:r>
      <w:r>
        <w:rPr>
          <w:rStyle w:val="NormalTok"/>
        </w:rPr>
        <w:t xml:space="preserve">    </w:t>
      </w:r>
      <w:r>
        <w:rPr>
          <w:rStyle w:val="StringTok"/>
        </w:rPr>
        <w:t xml:space="preserve">"item_8"</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FunctionTok"/>
        </w:rPr>
        <w:t xml:space="preserve">(?im)</w:t>
      </w:r>
      <w:r>
        <w:rPr>
          <w:rStyle w:val="DecValTok"/>
        </w:rPr>
        <w:t xml:space="preserve">^\s</w:t>
      </w:r>
      <w:r>
        <w:rPr>
          <w:rStyle w:val="OperatorTok"/>
        </w:rPr>
        <w:t xml:space="preserve">*</w:t>
      </w:r>
      <w:r>
        <w:rPr>
          <w:rStyle w:val="VerbatimStringTok"/>
        </w:rPr>
        <w:t xml:space="preserve">item</w:t>
      </w:r>
      <w:r>
        <w:rPr>
          <w:rStyle w:val="DecValTok"/>
        </w:rPr>
        <w:t xml:space="preserve">\s</w:t>
      </w:r>
      <w:r>
        <w:rPr>
          <w:rStyle w:val="OperatorTok"/>
        </w:rPr>
        <w:t xml:space="preserve">*</w:t>
      </w:r>
      <w:r>
        <w:rPr>
          <w:rStyle w:val="VerbatimStringTok"/>
        </w:rPr>
        <w:t xml:space="preserve">8</w:t>
      </w:r>
      <w:r>
        <w:rPr>
          <w:rStyle w:val="PreprocessorTok"/>
        </w:rPr>
        <w:t xml:space="preserve">[</w:t>
      </w:r>
      <w:r>
        <w:rPr>
          <w:rStyle w:val="CharTok"/>
        </w:rPr>
        <w:t xml:space="preserve">\.\-</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re.IGNORECASE </w:t>
      </w:r>
      <w:r>
        <w:rPr>
          <w:rStyle w:val="OperatorTok"/>
        </w:rPr>
        <w:t xml:space="preserve">|</w:t>
      </w:r>
      <w:r>
        <w:rPr>
          <w:rStyle w:val="NormalTok"/>
        </w:rPr>
        <w:t xml:space="preserve"> re.MULTILINE</w:t>
      </w:r>
      <w:r>
        <w:br/>
      </w:r>
      <w:r>
        <w:rPr>
          <w:rStyle w:val="NormalTok"/>
        </w:rPr>
        <w:t xml:space="preserve">    ),</w:t>
      </w:r>
      <w:r>
        <w:br/>
      </w:r>
      <w:r>
        <w:rPr>
          <w:rStyle w:val="NormalTok"/>
        </w:rPr>
        <w:t xml:space="preserve">}</w:t>
      </w:r>
    </w:p>
    <w:bookmarkEnd w:id="31"/>
    <w:bookmarkStart w:id="32" w:name="find-all-candidate-header-positions"/>
    <w:p>
      <w:pPr>
        <w:pStyle w:val="Heading2"/>
      </w:pPr>
      <w:r>
        <w:t xml:space="preserve">3.2 Find all candidate header positions</w:t>
      </w:r>
    </w:p>
    <w:p>
      <w:pPr>
        <w:pStyle w:val="SourceCode"/>
      </w:pPr>
      <w:r>
        <w:rPr>
          <w:rStyle w:val="KeywordTok"/>
        </w:rPr>
        <w:t xml:space="preserve">def</w:t>
      </w:r>
      <w:r>
        <w:rPr>
          <w:rStyle w:val="NormalTok"/>
        </w:rPr>
        <w:t xml:space="preserve"> find_item_positions(text: </w:t>
      </w:r>
      <w:r>
        <w:rPr>
          <w:rStyle w:val="BuiltInTok"/>
        </w:rPr>
        <w:t xml:space="preserve">str</w:t>
      </w:r>
      <w:r>
        <w:rPr>
          <w:rStyle w:val="NormalTok"/>
        </w:rPr>
        <w:t xml:space="preserve">, pattern: re.Pattern) </w:t>
      </w:r>
      <w:r>
        <w:rPr>
          <w:rStyle w:val="OperatorTok"/>
        </w:rPr>
        <w:t xml:space="preserve">-&gt;</w:t>
      </w:r>
      <w:r>
        <w:rPr>
          <w:rStyle w:val="NormalTok"/>
        </w:rPr>
        <w:t xml:space="preserve"> List[</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Return all candidate start positions for a given item header.</w:t>
      </w:r>
      <w:r>
        <w:br/>
      </w:r>
      <w:r>
        <w:rPr>
          <w:rStyle w:val="CommentTok"/>
        </w:rPr>
        <w:t xml:space="preserve">    """</w:t>
      </w:r>
      <w:r>
        <w:br/>
      </w:r>
      <w:r>
        <w:rPr>
          <w:rStyle w:val="NormalTok"/>
        </w:rPr>
        <w:t xml:space="preserve">    </w:t>
      </w:r>
      <w:r>
        <w:rPr>
          <w:rStyle w:val="ControlFlowTok"/>
        </w:rPr>
        <w:t xml:space="preserve">return</w:t>
      </w:r>
      <w:r>
        <w:rPr>
          <w:rStyle w:val="NormalTok"/>
        </w:rPr>
        <w:t xml:space="preserve"> [m.start() </w:t>
      </w:r>
      <w:r>
        <w:rPr>
          <w:rStyle w:val="ControlFlowTok"/>
        </w:rPr>
        <w:t xml:space="preserve">for</w:t>
      </w:r>
      <w:r>
        <w:rPr>
          <w:rStyle w:val="NormalTok"/>
        </w:rPr>
        <w:t xml:space="preserve"> m </w:t>
      </w:r>
      <w:r>
        <w:rPr>
          <w:rStyle w:val="KeywordTok"/>
        </w:rPr>
        <w:t xml:space="preserve">in</w:t>
      </w:r>
      <w:r>
        <w:rPr>
          <w:rStyle w:val="NormalTok"/>
        </w:rPr>
        <w:t xml:space="preserve"> pattern.finditer(text)]</w:t>
      </w:r>
    </w:p>
    <w:bookmarkEnd w:id="32"/>
    <w:bookmarkStart w:id="33" w:name="choose-the-best-section-span"/>
    <w:p>
      <w:pPr>
        <w:pStyle w:val="Heading2"/>
      </w:pPr>
      <w:r>
        <w:t xml:space="preserve">3.3 Choose the best section span</w:t>
      </w:r>
    </w:p>
    <w:p>
      <w:pPr>
        <w:pStyle w:val="FirstParagraph"/>
      </w:pPr>
      <w:r>
        <w:t xml:space="preserve">This is the most important part. A filing may mention</w:t>
      </w:r>
      <w:r>
        <w:t xml:space="preserve"> </w:t>
      </w:r>
      <w:r>
        <w:t xml:space="preserve">“Item 1A”</w:t>
      </w:r>
      <w:r>
        <w:t xml:space="preserve"> </w:t>
      </w:r>
      <w:r>
        <w:t xml:space="preserve">in the table of contents and later again in the real body. We usually want the</w:t>
      </w:r>
      <w:r>
        <w:t xml:space="preserve"> </w:t>
      </w:r>
      <w:r>
        <w:rPr>
          <w:b/>
          <w:bCs/>
        </w:rPr>
        <w:t xml:space="preserve">body occurrence</w:t>
      </w:r>
      <w:r>
        <w:t xml:space="preserve">, not the first appearance. A practical strategy is:</w:t>
      </w:r>
    </w:p>
    <w:p>
      <w:pPr>
        <w:pStyle w:val="Compact"/>
        <w:numPr>
          <w:ilvl w:val="0"/>
          <w:numId w:val="1010"/>
        </w:numPr>
      </w:pPr>
      <w:r>
        <w:t xml:space="preserve">Find all candidate starts for the target item</w:t>
      </w:r>
    </w:p>
    <w:p>
      <w:pPr>
        <w:pStyle w:val="Compact"/>
        <w:numPr>
          <w:ilvl w:val="0"/>
          <w:numId w:val="1010"/>
        </w:numPr>
      </w:pPr>
      <w:r>
        <w:t xml:space="preserve">Find all candidate starts for the next boundary item</w:t>
      </w:r>
    </w:p>
    <w:p>
      <w:pPr>
        <w:pStyle w:val="Compact"/>
        <w:numPr>
          <w:ilvl w:val="0"/>
          <w:numId w:val="1010"/>
        </w:numPr>
      </w:pPr>
      <w:r>
        <w:t xml:space="preserve">Build all valid spans where end &gt; start</w:t>
      </w:r>
    </w:p>
    <w:p>
      <w:pPr>
        <w:pStyle w:val="Compact"/>
        <w:numPr>
          <w:ilvl w:val="0"/>
          <w:numId w:val="1010"/>
        </w:numPr>
      </w:pPr>
      <w:r>
        <w:t xml:space="preserve">Keep a plausible span</w:t>
      </w:r>
    </w:p>
    <w:p>
      <w:pPr>
        <w:pStyle w:val="Compact"/>
        <w:numPr>
          <w:ilvl w:val="0"/>
          <w:numId w:val="1010"/>
        </w:numPr>
      </w:pPr>
      <w:r>
        <w:t xml:space="preserve">Choose the</w:t>
      </w:r>
      <w:r>
        <w:t xml:space="preserve"> </w:t>
      </w:r>
      <w:r>
        <w:rPr>
          <w:b/>
          <w:bCs/>
        </w:rPr>
        <w:t xml:space="preserve">longest plausible span</w:t>
      </w:r>
      <w:r>
        <w:t xml:space="preserve">, for now we can say each section can span from 500 characters to 2 million characters. That works surprisingly well for SEC filings. But adjust it a bit before you are running it on a new dataset.</w:t>
      </w:r>
    </w:p>
    <w:p>
      <w:pPr>
        <w:pStyle w:val="SourceCode"/>
      </w:pPr>
      <w:r>
        <w:rPr>
          <w:rStyle w:val="KeywordTok"/>
        </w:rPr>
        <w:t xml:space="preserve">def</w:t>
      </w:r>
      <w:r>
        <w:rPr>
          <w:rStyle w:val="NormalTok"/>
        </w:rPr>
        <w:t xml:space="preserve"> extract_section_by_bounds(</w:t>
      </w:r>
      <w:r>
        <w:br/>
      </w:r>
      <w:r>
        <w:rPr>
          <w:rStyle w:val="NormalTok"/>
        </w:rPr>
        <w:t xml:space="preserve">    text: </w:t>
      </w:r>
      <w:r>
        <w:rPr>
          <w:rStyle w:val="BuiltInTok"/>
        </w:rPr>
        <w:t xml:space="preserve">str</w:t>
      </w:r>
      <w:r>
        <w:rPr>
          <w:rStyle w:val="NormalTok"/>
        </w:rPr>
        <w:t xml:space="preserve">,</w:t>
      </w:r>
      <w:r>
        <w:br/>
      </w:r>
      <w:r>
        <w:rPr>
          <w:rStyle w:val="NormalTok"/>
        </w:rPr>
        <w:t xml:space="preserve">    start_pattern: re.Pattern,</w:t>
      </w:r>
      <w:r>
        <w:br/>
      </w:r>
      <w:r>
        <w:rPr>
          <w:rStyle w:val="NormalTok"/>
        </w:rPr>
        <w:t xml:space="preserve">    end_patterns: List[re.Pattern],</w:t>
      </w:r>
      <w:r>
        <w:br/>
      </w:r>
      <w:r>
        <w:rPr>
          <w:rStyle w:val="NormalTok"/>
        </w:rPr>
        <w:t xml:space="preserve">    min_chars: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w:t>
      </w:r>
      <w:r>
        <w:br/>
      </w:r>
      <w:r>
        <w:rPr>
          <w:rStyle w:val="NormalTok"/>
        </w:rPr>
        <w:t xml:space="preserve">    max_chars: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2_000_000</w:t>
      </w:r>
      <w:r>
        <w:br/>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start_positions </w:t>
      </w:r>
      <w:r>
        <w:rPr>
          <w:rStyle w:val="OperatorTok"/>
        </w:rPr>
        <w:t xml:space="preserve">=</w:t>
      </w:r>
      <w:r>
        <w:rPr>
          <w:rStyle w:val="NormalTok"/>
        </w:rPr>
        <w:t xml:space="preserve"> [m.start() </w:t>
      </w:r>
      <w:r>
        <w:rPr>
          <w:rStyle w:val="ControlFlowTok"/>
        </w:rPr>
        <w:t xml:space="preserve">for</w:t>
      </w:r>
      <w:r>
        <w:rPr>
          <w:rStyle w:val="NormalTok"/>
        </w:rPr>
        <w:t xml:space="preserve"> m </w:t>
      </w:r>
      <w:r>
        <w:rPr>
          <w:rStyle w:val="KeywordTok"/>
        </w:rPr>
        <w:t xml:space="preserve">in</w:t>
      </w:r>
      <w:r>
        <w:rPr>
          <w:rStyle w:val="NormalTok"/>
        </w:rPr>
        <w:t xml:space="preserve"> start_pattern.finditer(text)]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start_positions: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end_positions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pat </w:t>
      </w:r>
      <w:r>
        <w:rPr>
          <w:rStyle w:val="KeywordTok"/>
        </w:rPr>
        <w:t xml:space="preserve">in</w:t>
      </w:r>
      <w:r>
        <w:rPr>
          <w:rStyle w:val="NormalTok"/>
        </w:rPr>
        <w:t xml:space="preserve"> end_patterns:</w:t>
      </w:r>
      <w:r>
        <w:br/>
      </w:r>
      <w:r>
        <w:rPr>
          <w:rStyle w:val="NormalTok"/>
        </w:rPr>
        <w:t xml:space="preserve">        end_positions.extend([m.start() </w:t>
      </w:r>
      <w:r>
        <w:rPr>
          <w:rStyle w:val="ControlFlowTok"/>
        </w:rPr>
        <w:t xml:space="preserve">for</w:t>
      </w:r>
      <w:r>
        <w:rPr>
          <w:rStyle w:val="NormalTok"/>
        </w:rPr>
        <w:t xml:space="preserve"> m </w:t>
      </w:r>
      <w:r>
        <w:rPr>
          <w:rStyle w:val="KeywordTok"/>
        </w:rPr>
        <w:t xml:space="preserve">in</w:t>
      </w:r>
      <w:r>
        <w:rPr>
          <w:rStyle w:val="NormalTok"/>
        </w:rPr>
        <w:t xml:space="preserve"> pat.finditer(text)])</w:t>
      </w:r>
      <w:r>
        <w:br/>
      </w:r>
      <w:r>
        <w:rPr>
          <w:rStyle w:val="NormalTok"/>
        </w:rPr>
        <w:t xml:space="preserve">    end_positions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(end_positions))</w:t>
      </w:r>
      <w:r>
        <w:br/>
      </w:r>
      <w:r>
        <w:br/>
      </w:r>
      <w:r>
        <w:rPr>
          <w:rStyle w:val="NormalTok"/>
        </w:rPr>
        <w:t xml:space="preserve">    candidates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start </w:t>
      </w:r>
      <w:r>
        <w:rPr>
          <w:rStyle w:val="KeywordTok"/>
        </w:rPr>
        <w:t xml:space="preserve">in</w:t>
      </w:r>
      <w:r>
        <w:rPr>
          <w:rStyle w:val="NormalTok"/>
        </w:rPr>
        <w:t xml:space="preserve"> start_positions:</w:t>
      </w:r>
      <w:r>
        <w:br/>
      </w:r>
      <w:r>
        <w:rPr>
          <w:rStyle w:val="NormalTok"/>
        </w:rPr>
        <w:t xml:space="preserve">        valid_ends </w:t>
      </w:r>
      <w:r>
        <w:rPr>
          <w:rStyle w:val="OperatorTok"/>
        </w:rPr>
        <w:t xml:space="preserve">=</w:t>
      </w:r>
      <w:r>
        <w:rPr>
          <w:rStyle w:val="NormalTok"/>
        </w:rPr>
        <w:t xml:space="preserve"> [end </w:t>
      </w:r>
      <w:r>
        <w:rPr>
          <w:rStyle w:val="ControlFlowTok"/>
        </w:rPr>
        <w:t xml:space="preserve">for</w:t>
      </w:r>
      <w:r>
        <w:rPr>
          <w:rStyle w:val="NormalTok"/>
        </w:rPr>
        <w:t xml:space="preserve"> end </w:t>
      </w:r>
      <w:r>
        <w:rPr>
          <w:rStyle w:val="KeywordTok"/>
        </w:rPr>
        <w:t xml:space="preserve">in</w:t>
      </w:r>
      <w:r>
        <w:rPr>
          <w:rStyle w:val="NormalTok"/>
        </w:rPr>
        <w:t xml:space="preserve"> end_positions </w:t>
      </w:r>
      <w:r>
        <w:rPr>
          <w:rStyle w:val="ControlFlowTok"/>
        </w:rPr>
        <w:t xml:space="preserve">if</w:t>
      </w:r>
      <w:r>
        <w:rPr>
          <w:rStyle w:val="NormalTok"/>
        </w:rPr>
        <w:t xml:space="preserve"> end </w:t>
      </w:r>
      <w:r>
        <w:rPr>
          <w:rStyle w:val="OperatorTok"/>
        </w:rPr>
        <w:t xml:space="preserve">&gt;</w:t>
      </w:r>
      <w:r>
        <w:rPr>
          <w:rStyle w:val="NormalTok"/>
        </w:rPr>
        <w:t xml:space="preserve"> start]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valid_ends:</w:t>
      </w:r>
      <w:r>
        <w:br/>
      </w:r>
      <w:r>
        <w:rPr>
          <w:rStyle w:val="NormalTok"/>
        </w:rPr>
        <w:t xml:space="preserve">            </w:t>
      </w:r>
      <w:r>
        <w:rPr>
          <w:rStyle w:val="ControlFlowTok"/>
        </w:rPr>
        <w:t xml:space="preserve">continue</w:t>
      </w:r>
      <w:r>
        <w:br/>
      </w:r>
      <w:r>
        <w:br/>
      </w:r>
      <w:r>
        <w:rPr>
          <w:rStyle w:val="NormalTok"/>
        </w:rPr>
        <w:t xml:space="preserve">        end </w:t>
      </w:r>
      <w:r>
        <w:rPr>
          <w:rStyle w:val="OperatorTok"/>
        </w:rPr>
        <w:t xml:space="preserve">=</w:t>
      </w:r>
      <w:r>
        <w:rPr>
          <w:rStyle w:val="NormalTok"/>
        </w:rPr>
        <w:t xml:space="preserve"> valid_ends[</w:t>
      </w:r>
      <w:r>
        <w:rPr>
          <w:rStyle w:val="DecValTok"/>
        </w:rPr>
        <w:t xml:space="preserve">0</w:t>
      </w:r>
      <w:r>
        <w:rPr>
          <w:rStyle w:val="NormalTok"/>
        </w:rPr>
        <w:t xml:space="preserve">]</w:t>
      </w:r>
      <w:r>
        <w:br/>
      </w:r>
      <w:r>
        <w:rPr>
          <w:rStyle w:val="NormalTok"/>
        </w:rPr>
        <w:t xml:space="preserve">        span_len </w:t>
      </w:r>
      <w:r>
        <w:rPr>
          <w:rStyle w:val="OperatorTok"/>
        </w:rPr>
        <w:t xml:space="preserve">=</w:t>
      </w:r>
      <w:r>
        <w:rPr>
          <w:rStyle w:val="NormalTok"/>
        </w:rPr>
        <w:t xml:space="preserve"> end </w:t>
      </w:r>
      <w:r>
        <w:rPr>
          <w:rStyle w:val="OperatorTok"/>
        </w:rPr>
        <w:t xml:space="preserve">-</w:t>
      </w:r>
      <w:r>
        <w:rPr>
          <w:rStyle w:val="NormalTok"/>
        </w:rPr>
        <w:t xml:space="preserve"> start</w:t>
      </w:r>
      <w:r>
        <w:br/>
      </w:r>
      <w:r>
        <w:br/>
      </w:r>
      <w:r>
        <w:rPr>
          <w:rStyle w:val="NormalTok"/>
        </w:rPr>
        <w:t xml:space="preserve">        </w:t>
      </w:r>
      <w:r>
        <w:rPr>
          <w:rStyle w:val="ControlFlowTok"/>
        </w:rPr>
        <w:t xml:space="preserve">if</w:t>
      </w:r>
      <w:r>
        <w:rPr>
          <w:rStyle w:val="NormalTok"/>
        </w:rPr>
        <w:t xml:space="preserve"> min_chars </w:t>
      </w:r>
      <w:r>
        <w:rPr>
          <w:rStyle w:val="OperatorTok"/>
        </w:rPr>
        <w:t xml:space="preserve">&lt;=</w:t>
      </w:r>
      <w:r>
        <w:rPr>
          <w:rStyle w:val="NormalTok"/>
        </w:rPr>
        <w:t xml:space="preserve"> span_len </w:t>
      </w:r>
      <w:r>
        <w:rPr>
          <w:rStyle w:val="OperatorTok"/>
        </w:rPr>
        <w:t xml:space="preserve">&lt;=</w:t>
      </w:r>
      <w:r>
        <w:rPr>
          <w:rStyle w:val="NormalTok"/>
        </w:rPr>
        <w:t xml:space="preserve"> max_chars:</w:t>
      </w:r>
      <w:r>
        <w:br/>
      </w:r>
      <w:r>
        <w:rPr>
          <w:rStyle w:val="NormalTok"/>
        </w:rPr>
        <w:t xml:space="preserve">            candidates.append((start, end, span_len))</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candidates: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best_start, best_end, _ </w:t>
      </w:r>
      <w:r>
        <w:rPr>
          <w:rStyle w:val="OperatorTok"/>
        </w:rPr>
        <w:t xml:space="preserve">=</w:t>
      </w:r>
      <w:r>
        <w:rPr>
          <w:rStyle w:val="NormalTok"/>
        </w:rPr>
        <w:t xml:space="preserve"> </w:t>
      </w:r>
      <w:r>
        <w:rPr>
          <w:rStyle w:val="BuiltInTok"/>
        </w:rPr>
        <w:t xml:space="preserve">max</w:t>
      </w:r>
      <w:r>
        <w:rPr>
          <w:rStyle w:val="NormalTok"/>
        </w:rPr>
        <w:t xml:space="preserve">(candidates, key</w:t>
      </w:r>
      <w:r>
        <w:rPr>
          <w:rStyle w:val="OperatorTok"/>
        </w:rPr>
        <w:t xml:space="preserve">=</w:t>
      </w:r>
      <w:r>
        <w:rPr>
          <w:rStyle w:val="KeywordTok"/>
        </w:rPr>
        <w:t xml:space="preserve">lambda</w:t>
      </w:r>
      <w:r>
        <w:rPr>
          <w:rStyle w:val="NormalTok"/>
        </w:rPr>
        <w:t xml:space="preserve"> x: x[</w:t>
      </w:r>
      <w:r>
        <w:rPr>
          <w:rStyle w:val="DecValTok"/>
        </w:rPr>
        <w:t xml:space="preserve">2</w:t>
      </w:r>
      <w:r>
        <w:rPr>
          <w:rStyle w:val="NormalTok"/>
        </w:rPr>
        <w:t xml:space="preserve">])</w:t>
      </w:r>
      <w:r>
        <w:br/>
      </w:r>
      <w:r>
        <w:rPr>
          <w:rStyle w:val="NormalTok"/>
        </w:rPr>
        <w:t xml:space="preserve">    section </w:t>
      </w:r>
      <w:r>
        <w:rPr>
          <w:rStyle w:val="OperatorTok"/>
        </w:rPr>
        <w:t xml:space="preserve">=</w:t>
      </w:r>
      <w:r>
        <w:rPr>
          <w:rStyle w:val="NormalTok"/>
        </w:rPr>
        <w:t xml:space="preserve"> text[best_start:best_end].strip()</w:t>
      </w:r>
      <w:r>
        <w:br/>
      </w:r>
      <w:r>
        <w:rPr>
          <w:rStyle w:val="NormalTok"/>
        </w:rPr>
        <w:t xml:space="preserve">    </w:t>
      </w:r>
      <w:r>
        <w:rPr>
          <w:rStyle w:val="ControlFlowTok"/>
        </w:rPr>
        <w:t xml:space="preserve">return</w:t>
      </w:r>
      <w:r>
        <w:rPr>
          <w:rStyle w:val="NormalTok"/>
        </w:rPr>
        <w:t xml:space="preserve"> section </w:t>
      </w:r>
      <w:r>
        <w:rPr>
          <w:rStyle w:val="ControlFlowTok"/>
        </w:rPr>
        <w:t xml:space="preserve">if</w:t>
      </w:r>
      <w:r>
        <w:rPr>
          <w:rStyle w:val="NormalTok"/>
        </w:rPr>
        <w:t xml:space="preserve"> section </w:t>
      </w:r>
      <w:r>
        <w:rPr>
          <w:rStyle w:val="ControlFlowTok"/>
        </w:rPr>
        <w:t xml:space="preserve">else</w:t>
      </w:r>
      <w:r>
        <w:rPr>
          <w:rStyle w:val="NormalTok"/>
        </w:rPr>
        <w:t xml:space="preserve"> </w:t>
      </w:r>
      <w:r>
        <w:rPr>
          <w:rStyle w:val="VariableTok"/>
        </w:rPr>
        <w:t xml:space="preserve">None</w:t>
      </w:r>
    </w:p>
    <w:bookmarkEnd w:id="33"/>
    <w:bookmarkStart w:id="34" w:name="extract-item-1-item-1a-and-item-7"/>
    <w:p>
      <w:pPr>
        <w:pStyle w:val="Heading2"/>
      </w:pPr>
      <w:r>
        <w:t xml:space="preserve">3.4 Extract Item 1, Item 1A, and Item 7</w:t>
      </w:r>
    </w:p>
    <w:p>
      <w:pPr>
        <w:pStyle w:val="FirstParagraph"/>
      </w:pPr>
      <w:r>
        <w:t xml:space="preserve">We define section boundaries as:</w:t>
      </w:r>
    </w:p>
    <w:p>
      <w:pPr>
        <w:pStyle w:val="Compact"/>
        <w:numPr>
          <w:ilvl w:val="0"/>
          <w:numId w:val="1011"/>
        </w:numPr>
      </w:pPr>
      <w:r>
        <w:rPr>
          <w:b/>
          <w:bCs/>
        </w:rPr>
        <w:t xml:space="preserve">Item 1</w:t>
      </w:r>
      <w:r>
        <w:t xml:space="preserve"> </w:t>
      </w:r>
      <w:r>
        <w:t xml:space="preserve">ends at Item 1A, Item 1B, or Item 2</w:t>
      </w:r>
    </w:p>
    <w:p>
      <w:pPr>
        <w:pStyle w:val="Compact"/>
        <w:numPr>
          <w:ilvl w:val="0"/>
          <w:numId w:val="1011"/>
        </w:numPr>
      </w:pPr>
      <w:r>
        <w:rPr>
          <w:b/>
          <w:bCs/>
        </w:rPr>
        <w:t xml:space="preserve">Item 1A</w:t>
      </w:r>
      <w:r>
        <w:t xml:space="preserve"> </w:t>
      </w:r>
      <w:r>
        <w:t xml:space="preserve">ends at Item 1B or Item 2</w:t>
      </w:r>
    </w:p>
    <w:p>
      <w:pPr>
        <w:pStyle w:val="Compact"/>
        <w:numPr>
          <w:ilvl w:val="0"/>
          <w:numId w:val="1011"/>
        </w:numPr>
      </w:pPr>
      <w:r>
        <w:rPr>
          <w:b/>
          <w:bCs/>
        </w:rPr>
        <w:t xml:space="preserve">Item 7</w:t>
      </w:r>
      <w:r>
        <w:t xml:space="preserve"> </w:t>
      </w:r>
      <w:r>
        <w:t xml:space="preserve">ends at Item 7A or Item 8</w:t>
      </w:r>
    </w:p>
    <w:p>
      <w:pPr>
        <w:pStyle w:val="SourceCode"/>
      </w:pPr>
      <w:r>
        <w:rPr>
          <w:rStyle w:val="KeywordTok"/>
        </w:rPr>
        <w:t xml:space="preserve">def</w:t>
      </w:r>
      <w:r>
        <w:rPr>
          <w:rStyle w:val="NormalTok"/>
        </w:rPr>
        <w:t xml:space="preserve"> extract_target_sections(text: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Optional[</w:t>
      </w:r>
      <w:r>
        <w:rPr>
          <w:rStyle w:val="BuiltInTok"/>
        </w:rPr>
        <w:t xml:space="preserve">str</w:t>
      </w:r>
      <w:r>
        <w:rPr>
          <w:rStyle w:val="NormalTok"/>
        </w:rPr>
        <w:t xml:space="preserve">]]:</w:t>
      </w:r>
      <w:r>
        <w:br/>
      </w:r>
      <w:r>
        <w:rPr>
          <w:rStyle w:val="NormalTok"/>
        </w:rPr>
        <w:t xml:space="preserve">    item_1 </w:t>
      </w:r>
      <w:r>
        <w:rPr>
          <w:rStyle w:val="OperatorTok"/>
        </w:rPr>
        <w:t xml:space="preserve">=</w:t>
      </w:r>
      <w:r>
        <w:rPr>
          <w:rStyle w:val="NormalTok"/>
        </w:rPr>
        <w:t xml:space="preserve"> extract_section_by_bounds(</w:t>
      </w:r>
      <w:r>
        <w:br/>
      </w:r>
      <w:r>
        <w:rPr>
          <w:rStyle w:val="NormalTok"/>
        </w:rPr>
        <w:t xml:space="preserve">        text</w:t>
      </w:r>
      <w:r>
        <w:rPr>
          <w:rStyle w:val="OperatorTok"/>
        </w:rPr>
        <w:t xml:space="preserve">=</w:t>
      </w:r>
      <w:r>
        <w:rPr>
          <w:rStyle w:val="NormalTok"/>
        </w:rPr>
        <w:t xml:space="preserve">text,</w:t>
      </w:r>
      <w:r>
        <w:br/>
      </w:r>
      <w:r>
        <w:rPr>
          <w:rStyle w:val="NormalTok"/>
        </w:rPr>
        <w:t xml:space="preserve">        start_pattern</w:t>
      </w:r>
      <w:r>
        <w:rPr>
          <w:rStyle w:val="OperatorTok"/>
        </w:rPr>
        <w:t xml:space="preserve">=</w:t>
      </w:r>
      <w:r>
        <w:rPr>
          <w:rStyle w:val="NormalTok"/>
        </w:rPr>
        <w:t xml:space="preserve">ITEM_PATTERNS[</w:t>
      </w:r>
      <w:r>
        <w:rPr>
          <w:rStyle w:val="StringTok"/>
        </w:rPr>
        <w:t xml:space="preserve">"item_1"</w:t>
      </w:r>
      <w:r>
        <w:rPr>
          <w:rStyle w:val="NormalTok"/>
        </w:rPr>
        <w:t xml:space="preserve">],</w:t>
      </w:r>
      <w:r>
        <w:br/>
      </w:r>
      <w:r>
        <w:rPr>
          <w:rStyle w:val="NormalTok"/>
        </w:rPr>
        <w:t xml:space="preserve">        end_patterns</w:t>
      </w:r>
      <w:r>
        <w:rPr>
          <w:rStyle w:val="OperatorTok"/>
        </w:rPr>
        <w:t xml:space="preserve">=</w:t>
      </w:r>
      <w:r>
        <w:rPr>
          <w:rStyle w:val="NormalTok"/>
        </w:rPr>
        <w:t xml:space="preserve">[ITEM_PATTERNS[</w:t>
      </w:r>
      <w:r>
        <w:rPr>
          <w:rStyle w:val="StringTok"/>
        </w:rPr>
        <w:t xml:space="preserve">"item_1a"</w:t>
      </w:r>
      <w:r>
        <w:rPr>
          <w:rStyle w:val="NormalTok"/>
        </w:rPr>
        <w:t xml:space="preserve">], ITEM_PATTERNS[</w:t>
      </w:r>
      <w:r>
        <w:rPr>
          <w:rStyle w:val="StringTok"/>
        </w:rPr>
        <w:t xml:space="preserve">"item_1b"</w:t>
      </w:r>
      <w:r>
        <w:rPr>
          <w:rStyle w:val="NormalTok"/>
        </w:rPr>
        <w:t xml:space="preserve">], ITEM_PATTERNS[</w:t>
      </w:r>
      <w:r>
        <w:rPr>
          <w:rStyle w:val="StringTok"/>
        </w:rPr>
        <w:t xml:space="preserve">"item_2"</w:t>
      </w:r>
      <w:r>
        <w:rPr>
          <w:rStyle w:val="NormalTok"/>
        </w:rPr>
        <w:t xml:space="preserve">]],</w:t>
      </w:r>
      <w:r>
        <w:br/>
      </w:r>
      <w:r>
        <w:rPr>
          <w:rStyle w:val="NormalTok"/>
        </w:rPr>
        <w:t xml:space="preserve">        min_chars</w:t>
      </w:r>
      <w:r>
        <w:rPr>
          <w:rStyle w:val="OperatorTok"/>
        </w:rPr>
        <w:t xml:space="preserve">=</w:t>
      </w:r>
      <w:r>
        <w:rPr>
          <w:rStyle w:val="DecValTok"/>
        </w:rPr>
        <w:t xml:space="preserve">1000</w:t>
      </w:r>
      <w:r>
        <w:br/>
      </w:r>
      <w:r>
        <w:rPr>
          <w:rStyle w:val="NormalTok"/>
        </w:rPr>
        <w:t xml:space="preserve">    )</w:t>
      </w:r>
      <w:r>
        <w:br/>
      </w:r>
      <w:r>
        <w:br/>
      </w:r>
      <w:r>
        <w:rPr>
          <w:rStyle w:val="NormalTok"/>
        </w:rPr>
        <w:t xml:space="preserve">    item_1a </w:t>
      </w:r>
      <w:r>
        <w:rPr>
          <w:rStyle w:val="OperatorTok"/>
        </w:rPr>
        <w:t xml:space="preserve">=</w:t>
      </w:r>
      <w:r>
        <w:rPr>
          <w:rStyle w:val="NormalTok"/>
        </w:rPr>
        <w:t xml:space="preserve"> extract_section_by_bounds(</w:t>
      </w:r>
      <w:r>
        <w:br/>
      </w:r>
      <w:r>
        <w:rPr>
          <w:rStyle w:val="NormalTok"/>
        </w:rPr>
        <w:t xml:space="preserve">        text</w:t>
      </w:r>
      <w:r>
        <w:rPr>
          <w:rStyle w:val="OperatorTok"/>
        </w:rPr>
        <w:t xml:space="preserve">=</w:t>
      </w:r>
      <w:r>
        <w:rPr>
          <w:rStyle w:val="NormalTok"/>
        </w:rPr>
        <w:t xml:space="preserve">text,</w:t>
      </w:r>
      <w:r>
        <w:br/>
      </w:r>
      <w:r>
        <w:rPr>
          <w:rStyle w:val="NormalTok"/>
        </w:rPr>
        <w:t xml:space="preserve">        start_pattern</w:t>
      </w:r>
      <w:r>
        <w:rPr>
          <w:rStyle w:val="OperatorTok"/>
        </w:rPr>
        <w:t xml:space="preserve">=</w:t>
      </w:r>
      <w:r>
        <w:rPr>
          <w:rStyle w:val="NormalTok"/>
        </w:rPr>
        <w:t xml:space="preserve">ITEM_PATTERNS[</w:t>
      </w:r>
      <w:r>
        <w:rPr>
          <w:rStyle w:val="StringTok"/>
        </w:rPr>
        <w:t xml:space="preserve">"item_1a"</w:t>
      </w:r>
      <w:r>
        <w:rPr>
          <w:rStyle w:val="NormalTok"/>
        </w:rPr>
        <w:t xml:space="preserve">],</w:t>
      </w:r>
      <w:r>
        <w:br/>
      </w:r>
      <w:r>
        <w:rPr>
          <w:rStyle w:val="NormalTok"/>
        </w:rPr>
        <w:t xml:space="preserve">        end_patterns</w:t>
      </w:r>
      <w:r>
        <w:rPr>
          <w:rStyle w:val="OperatorTok"/>
        </w:rPr>
        <w:t xml:space="preserve">=</w:t>
      </w:r>
      <w:r>
        <w:rPr>
          <w:rStyle w:val="NormalTok"/>
        </w:rPr>
        <w:t xml:space="preserve">[ITEM_PATTERNS[</w:t>
      </w:r>
      <w:r>
        <w:rPr>
          <w:rStyle w:val="StringTok"/>
        </w:rPr>
        <w:t xml:space="preserve">"item_1b"</w:t>
      </w:r>
      <w:r>
        <w:rPr>
          <w:rStyle w:val="NormalTok"/>
        </w:rPr>
        <w:t xml:space="preserve">], ITEM_PATTERNS[</w:t>
      </w:r>
      <w:r>
        <w:rPr>
          <w:rStyle w:val="StringTok"/>
        </w:rPr>
        <w:t xml:space="preserve">"item_2"</w:t>
      </w:r>
      <w:r>
        <w:rPr>
          <w:rStyle w:val="NormalTok"/>
        </w:rPr>
        <w:t xml:space="preserve">]],</w:t>
      </w:r>
      <w:r>
        <w:br/>
      </w:r>
      <w:r>
        <w:rPr>
          <w:rStyle w:val="NormalTok"/>
        </w:rPr>
        <w:t xml:space="preserve">        min_chars</w:t>
      </w:r>
      <w:r>
        <w:rPr>
          <w:rStyle w:val="OperatorTok"/>
        </w:rPr>
        <w:t xml:space="preserve">=</w:t>
      </w:r>
      <w:r>
        <w:rPr>
          <w:rStyle w:val="DecValTok"/>
        </w:rPr>
        <w:t xml:space="preserve">1000</w:t>
      </w:r>
      <w:r>
        <w:br/>
      </w:r>
      <w:r>
        <w:rPr>
          <w:rStyle w:val="NormalTok"/>
        </w:rPr>
        <w:t xml:space="preserve">    )</w:t>
      </w:r>
      <w:r>
        <w:br/>
      </w:r>
      <w:r>
        <w:br/>
      </w:r>
      <w:r>
        <w:rPr>
          <w:rStyle w:val="NormalTok"/>
        </w:rPr>
        <w:t xml:space="preserve">    item_7 </w:t>
      </w:r>
      <w:r>
        <w:rPr>
          <w:rStyle w:val="OperatorTok"/>
        </w:rPr>
        <w:t xml:space="preserve">=</w:t>
      </w:r>
      <w:r>
        <w:rPr>
          <w:rStyle w:val="NormalTok"/>
        </w:rPr>
        <w:t xml:space="preserve"> extract_section_by_bounds(</w:t>
      </w:r>
      <w:r>
        <w:br/>
      </w:r>
      <w:r>
        <w:rPr>
          <w:rStyle w:val="NormalTok"/>
        </w:rPr>
        <w:t xml:space="preserve">        text</w:t>
      </w:r>
      <w:r>
        <w:rPr>
          <w:rStyle w:val="OperatorTok"/>
        </w:rPr>
        <w:t xml:space="preserve">=</w:t>
      </w:r>
      <w:r>
        <w:rPr>
          <w:rStyle w:val="NormalTok"/>
        </w:rPr>
        <w:t xml:space="preserve">text,</w:t>
      </w:r>
      <w:r>
        <w:br/>
      </w:r>
      <w:r>
        <w:rPr>
          <w:rStyle w:val="NormalTok"/>
        </w:rPr>
        <w:t xml:space="preserve">        start_pattern</w:t>
      </w:r>
      <w:r>
        <w:rPr>
          <w:rStyle w:val="OperatorTok"/>
        </w:rPr>
        <w:t xml:space="preserve">=</w:t>
      </w:r>
      <w:r>
        <w:rPr>
          <w:rStyle w:val="NormalTok"/>
        </w:rPr>
        <w:t xml:space="preserve">ITEM_PATTERNS[</w:t>
      </w:r>
      <w:r>
        <w:rPr>
          <w:rStyle w:val="StringTok"/>
        </w:rPr>
        <w:t xml:space="preserve">"item_7"</w:t>
      </w:r>
      <w:r>
        <w:rPr>
          <w:rStyle w:val="NormalTok"/>
        </w:rPr>
        <w:t xml:space="preserve">],</w:t>
      </w:r>
      <w:r>
        <w:br/>
      </w:r>
      <w:r>
        <w:rPr>
          <w:rStyle w:val="NormalTok"/>
        </w:rPr>
        <w:t xml:space="preserve">        end_patterns</w:t>
      </w:r>
      <w:r>
        <w:rPr>
          <w:rStyle w:val="OperatorTok"/>
        </w:rPr>
        <w:t xml:space="preserve">=</w:t>
      </w:r>
      <w:r>
        <w:rPr>
          <w:rStyle w:val="NormalTok"/>
        </w:rPr>
        <w:t xml:space="preserve">[ITEM_PATTERNS[</w:t>
      </w:r>
      <w:r>
        <w:rPr>
          <w:rStyle w:val="StringTok"/>
        </w:rPr>
        <w:t xml:space="preserve">"item_7a"</w:t>
      </w:r>
      <w:r>
        <w:rPr>
          <w:rStyle w:val="NormalTok"/>
        </w:rPr>
        <w:t xml:space="preserve">], ITEM_PATTERNS[</w:t>
      </w:r>
      <w:r>
        <w:rPr>
          <w:rStyle w:val="StringTok"/>
        </w:rPr>
        <w:t xml:space="preserve">"item_8"</w:t>
      </w:r>
      <w:r>
        <w:rPr>
          <w:rStyle w:val="NormalTok"/>
        </w:rPr>
        <w:t xml:space="preserve">]],</w:t>
      </w:r>
      <w:r>
        <w:br/>
      </w:r>
      <w:r>
        <w:rPr>
          <w:rStyle w:val="NormalTok"/>
        </w:rPr>
        <w:t xml:space="preserve">        min_chars</w:t>
      </w:r>
      <w:r>
        <w:rPr>
          <w:rStyle w:val="OperatorTok"/>
        </w:rPr>
        <w:t xml:space="preserve">=</w:t>
      </w:r>
      <w:r>
        <w:rPr>
          <w:rStyle w:val="DecValTok"/>
        </w:rPr>
        <w:t xml:space="preserve">1000</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"item_1"</w:t>
      </w:r>
      <w:r>
        <w:rPr>
          <w:rStyle w:val="NormalTok"/>
        </w:rPr>
        <w:t xml:space="preserve">: item_1,</w:t>
      </w:r>
      <w:r>
        <w:br/>
      </w:r>
      <w:r>
        <w:rPr>
          <w:rStyle w:val="NormalTok"/>
        </w:rPr>
        <w:t xml:space="preserve">        </w:t>
      </w:r>
      <w:r>
        <w:rPr>
          <w:rStyle w:val="StringTok"/>
        </w:rPr>
        <w:t xml:space="preserve">"item_1a"</w:t>
      </w:r>
      <w:r>
        <w:rPr>
          <w:rStyle w:val="NormalTok"/>
        </w:rPr>
        <w:t xml:space="preserve">: item_1a,</w:t>
      </w:r>
      <w:r>
        <w:br/>
      </w:r>
      <w:r>
        <w:rPr>
          <w:rStyle w:val="NormalTok"/>
        </w:rPr>
        <w:t xml:space="preserve">        </w:t>
      </w:r>
      <w:r>
        <w:rPr>
          <w:rStyle w:val="StringTok"/>
        </w:rPr>
        <w:t xml:space="preserve">"item_7"</w:t>
      </w:r>
      <w:r>
        <w:rPr>
          <w:rStyle w:val="NormalTok"/>
        </w:rPr>
        <w:t xml:space="preserve">: item_7,</w:t>
      </w:r>
      <w:r>
        <w:br/>
      </w:r>
      <w:r>
        <w:rPr>
          <w:rStyle w:val="NormalTok"/>
        </w:rPr>
        <w:t xml:space="preserve">    }</w:t>
      </w:r>
    </w:p>
    <w:bookmarkEnd w:id="34"/>
    <w:bookmarkStart w:id="35" w:name="metadata-extraction"/>
    <w:p>
      <w:pPr>
        <w:pStyle w:val="Heading2"/>
      </w:pPr>
      <w:r>
        <w:t xml:space="preserve">3.5 Metadata extraction</w:t>
      </w:r>
    </w:p>
    <w:p>
      <w:pPr>
        <w:pStyle w:val="FirstParagraph"/>
      </w:pPr>
      <w:r>
        <w:t xml:space="preserve">If filenames contain useful metadata, we can parse that.</w:t>
      </w:r>
      <w:r>
        <w:t xml:space="preserve"> </w:t>
      </w:r>
      <w:r>
        <w:t xml:space="preserve">Otherwise, a simple fallback is to store the filename and derive metadata later.</w:t>
      </w:r>
    </w:p>
    <w:p>
      <w:pPr>
        <w:pStyle w:val="BodyText"/>
      </w:pPr>
      <w:r>
        <w:t xml:space="preserve">If you want, later we can add extraction for fields like, company name, CIK, filing date, accession number from the SEC filing header.</w:t>
      </w:r>
    </w:p>
    <w:p>
      <w:pPr>
        <w:pStyle w:val="SourceCode"/>
      </w:pPr>
      <w:r>
        <w:rPr>
          <w:rStyle w:val="KeywordTok"/>
        </w:rPr>
        <w:t xml:space="preserve">def</w:t>
      </w:r>
      <w:r>
        <w:rPr>
          <w:rStyle w:val="NormalTok"/>
        </w:rPr>
        <w:t xml:space="preserve"> extract_basic_metadata(file_path: Path, text: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Minimal metadata extractor.</w:t>
      </w:r>
      <w:r>
        <w:br/>
      </w:r>
      <w:r>
        <w:rPr>
          <w:rStyle w:val="CommentTok"/>
        </w:rPr>
        <w:t xml:space="preserve">    You can later extend this using SEC header fields.</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"file_name"</w:t>
      </w:r>
      <w:r>
        <w:rPr>
          <w:rStyle w:val="NormalTok"/>
        </w:rPr>
        <w:t xml:space="preserve">: file_path.name,</w:t>
      </w:r>
      <w:r>
        <w:br/>
      </w:r>
      <w:r>
        <w:rPr>
          <w:rStyle w:val="NormalTok"/>
        </w:rPr>
        <w:t xml:space="preserve">        </w:t>
      </w:r>
      <w:r>
        <w:rPr>
          <w:rStyle w:val="StringTok"/>
        </w:rPr>
        <w:t xml:space="preserve">"file_path"</w:t>
      </w:r>
      <w:r>
        <w:rPr>
          <w:rStyle w:val="NormalTok"/>
        </w:rPr>
        <w:t xml:space="preserve">: </w:t>
      </w:r>
      <w:r>
        <w:rPr>
          <w:rStyle w:val="BuiltInTok"/>
        </w:rPr>
        <w:t xml:space="preserve">str</w:t>
      </w:r>
      <w:r>
        <w:rPr>
          <w:rStyle w:val="NormalTok"/>
        </w:rPr>
        <w:t xml:space="preserve">(file_path),</w:t>
      </w:r>
      <w:r>
        <w:br/>
      </w:r>
      <w:r>
        <w:rPr>
          <w:rStyle w:val="NormalTok"/>
        </w:rPr>
        <w:t xml:space="preserve">    }</w:t>
      </w:r>
    </w:p>
    <w:bookmarkEnd w:id="35"/>
    <w:bookmarkEnd w:id="36"/>
    <w:bookmarkStart w:id="46" w:name="process-all-html-files"/>
    <w:p>
      <w:pPr>
        <w:pStyle w:val="Heading1"/>
      </w:pPr>
      <w:r>
        <w:t xml:space="preserve">4. Process all HTML files</w:t>
      </w:r>
    </w:p>
    <w:p>
      <w:pPr>
        <w:pStyle w:val="SourceCode"/>
      </w:pPr>
      <w:r>
        <w:rPr>
          <w:rStyle w:val="KeywordTok"/>
        </w:rPr>
        <w:t xml:space="preserve">def</w:t>
      </w:r>
      <w:r>
        <w:rPr>
          <w:rStyle w:val="NormalTok"/>
        </w:rPr>
        <w:t xml:space="preserve"> process_html_files(</w:t>
      </w:r>
      <w:r>
        <w:br/>
      </w:r>
      <w:r>
        <w:rPr>
          <w:rStyle w:val="NormalTok"/>
        </w:rPr>
        <w:t xml:space="preserve">    html_files: List[Path],</w:t>
      </w:r>
      <w:r>
        <w:br/>
      </w:r>
      <w:r>
        <w:rPr>
          <w:rStyle w:val="NormalTok"/>
        </w:rPr>
        <w:t xml:space="preserve">    save_outputs: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[pd.DataFrame, pd.DataFrame]:</w:t>
      </w:r>
      <w:r>
        <w:br/>
      </w:r>
      <w:r>
        <w:rPr>
          <w:rStyle w:val="NormalTok"/>
        </w:rPr>
        <w:t xml:space="preserve">    </w:t>
      </w:r>
      <w:r>
        <w:rPr>
          <w:rStyle w:val="CommentTok"/>
        </w:rPr>
        <w:t xml:space="preserve">"""</w:t>
      </w:r>
      <w:r>
        <w:br/>
      </w:r>
      <w:r>
        <w:rPr>
          <w:rStyle w:val="CommentTok"/>
        </w:rPr>
        <w:t xml:space="preserve">    Process HTML filings and return:</w:t>
      </w:r>
      <w:r>
        <w:br/>
      </w:r>
      <w:r>
        <w:rPr>
          <w:rStyle w:val="CommentTok"/>
        </w:rPr>
        <w:t xml:space="preserve">    1. main extracted corpus</w:t>
      </w:r>
      <w:r>
        <w:br/>
      </w:r>
      <w:r>
        <w:rPr>
          <w:rStyle w:val="CommentTok"/>
        </w:rPr>
        <w:t xml:space="preserve">    2. recheck table for files needing manual review or second-pass regex</w:t>
      </w:r>
      <w:r>
        <w:br/>
      </w:r>
      <w:r>
        <w:br/>
      </w:r>
      <w:r>
        <w:rPr>
          <w:rStyle w:val="CommentTok"/>
        </w:rPr>
        <w:t xml:space="preserve">    A file is sent to recheck if:</w:t>
      </w:r>
      <w:r>
        <w:br/>
      </w:r>
      <w:r>
        <w:rPr>
          <w:rStyle w:val="CommentTok"/>
        </w:rPr>
        <w:t xml:space="preserve">    - parsing fails</w:t>
      </w:r>
      <w:r>
        <w:br/>
      </w:r>
      <w:r>
        <w:rPr>
          <w:rStyle w:val="CommentTok"/>
        </w:rPr>
        <w:t xml:space="preserve">    - Item 1 is missing</w:t>
      </w:r>
      <w:r>
        <w:br/>
      </w:r>
      <w:r>
        <w:rPr>
          <w:rStyle w:val="CommentTok"/>
        </w:rPr>
        <w:t xml:space="preserve">    - Item 1A is missing</w:t>
      </w:r>
      <w:r>
        <w:br/>
      </w:r>
      <w:r>
        <w:rPr>
          <w:rStyle w:val="CommentTok"/>
        </w:rPr>
        <w:t xml:space="preserve">    - Item 7 is missing</w:t>
      </w:r>
      <w:r>
        <w:br/>
      </w:r>
      <w:r>
        <w:rPr>
          <w:rStyle w:val="CommentTok"/>
        </w:rPr>
        <w:t xml:space="preserve">    """</w:t>
      </w:r>
      <w:r>
        <w:br/>
      </w:r>
      <w:r>
        <w:rPr>
          <w:rStyle w:val="NormalTok"/>
        </w:rPr>
        <w:t xml:space="preserve">    records </w:t>
      </w:r>
      <w:r>
        <w:rPr>
          <w:rStyle w:val="OperatorTok"/>
        </w:rPr>
        <w:t xml:space="preserve">=</w:t>
      </w:r>
      <w:r>
        <w:rPr>
          <w:rStyle w:val="NormalTok"/>
        </w:rPr>
        <w:t xml:space="preserve"> []</w:t>
      </w:r>
      <w:r>
        <w:br/>
      </w:r>
      <w:r>
        <w:rPr>
          <w:rStyle w:val="NormalTok"/>
        </w:rPr>
        <w:t xml:space="preserve">    recheck_records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i, file_path </w:t>
      </w:r>
      <w:r>
        <w:rPr>
          <w:rStyle w:val="KeywordTok"/>
        </w:rPr>
        <w:t xml:space="preserve">in</w:t>
      </w:r>
      <w:r>
        <w:rPr>
          <w:rStyle w:val="NormalTok"/>
        </w:rPr>
        <w:t xml:space="preserve"> </w:t>
      </w:r>
      <w:r>
        <w:rPr>
          <w:rStyle w:val="BuiltInTok"/>
        </w:rPr>
        <w:t xml:space="preserve">enumerate</w:t>
      </w:r>
      <w:r>
        <w:rPr>
          <w:rStyle w:val="NormalTok"/>
        </w:rPr>
        <w:t xml:space="preserve">(html_files,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html </w:t>
      </w:r>
      <w:r>
        <w:rPr>
          <w:rStyle w:val="OperatorTok"/>
        </w:rPr>
        <w:t xml:space="preserve">=</w:t>
      </w:r>
      <w:r>
        <w:rPr>
          <w:rStyle w:val="NormalTok"/>
        </w:rPr>
        <w:t xml:space="preserve"> file_path.read_text(encoding</w:t>
      </w:r>
      <w:r>
        <w:rPr>
          <w:rStyle w:val="OperatorTok"/>
        </w:rPr>
        <w:t xml:space="preserve">=</w:t>
      </w:r>
      <w:r>
        <w:rPr>
          <w:rStyle w:val="StringTok"/>
        </w:rPr>
        <w:t xml:space="preserve">"utf-8"</w:t>
      </w:r>
      <w:r>
        <w:rPr>
          <w:rStyle w:val="NormalTok"/>
        </w:rPr>
        <w:t xml:space="preserve">, errors</w:t>
      </w:r>
      <w:r>
        <w:rPr>
          <w:rStyle w:val="OperatorTok"/>
        </w:rPr>
        <w:t xml:space="preserve">=</w:t>
      </w:r>
      <w:r>
        <w:rPr>
          <w:rStyle w:val="StringTok"/>
        </w:rPr>
        <w:t xml:space="preserve">"ignore"</w:t>
      </w:r>
      <w:r>
        <w:rPr>
          <w:rStyle w:val="NormalTok"/>
        </w:rPr>
        <w:t xml:space="preserve">)</w:t>
      </w:r>
      <w:r>
        <w:br/>
      </w:r>
      <w:r>
        <w:rPr>
          <w:rStyle w:val="NormalTok"/>
        </w:rPr>
        <w:t xml:space="preserve">            text </w:t>
      </w:r>
      <w:r>
        <w:rPr>
          <w:rStyle w:val="OperatorTok"/>
        </w:rPr>
        <w:t xml:space="preserve">=</w:t>
      </w:r>
      <w:r>
        <w:rPr>
          <w:rStyle w:val="NormalTok"/>
        </w:rPr>
        <w:t xml:space="preserve"> html_to_text(html)</w:t>
      </w:r>
      <w:r>
        <w:br/>
      </w:r>
      <w:r>
        <w:br/>
      </w:r>
      <w:r>
        <w:rPr>
          <w:rStyle w:val="NormalTok"/>
        </w:rPr>
        <w:t xml:space="preserve">            metadata </w:t>
      </w:r>
      <w:r>
        <w:rPr>
          <w:rStyle w:val="OperatorTok"/>
        </w:rPr>
        <w:t xml:space="preserve">=</w:t>
      </w:r>
      <w:r>
        <w:rPr>
          <w:rStyle w:val="NormalTok"/>
        </w:rPr>
        <w:t xml:space="preserve"> extract_basic_metadata(file_path, text)</w:t>
      </w:r>
      <w:r>
        <w:br/>
      </w:r>
      <w:r>
        <w:rPr>
          <w:rStyle w:val="NormalTok"/>
        </w:rPr>
        <w:t xml:space="preserve">            sections </w:t>
      </w:r>
      <w:r>
        <w:rPr>
          <w:rStyle w:val="OperatorTok"/>
        </w:rPr>
        <w:t xml:space="preserve">=</w:t>
      </w:r>
      <w:r>
        <w:rPr>
          <w:rStyle w:val="NormalTok"/>
        </w:rPr>
        <w:t xml:space="preserve"> extract_target_sections(text)</w:t>
      </w:r>
      <w:r>
        <w:br/>
      </w:r>
      <w:r>
        <w:br/>
      </w:r>
      <w:r>
        <w:rPr>
          <w:rStyle w:val="NormalTok"/>
        </w:rPr>
        <w:t xml:space="preserve">            item_1 </w:t>
      </w:r>
      <w:r>
        <w:rPr>
          <w:rStyle w:val="OperatorTok"/>
        </w:rPr>
        <w:t xml:space="preserve">=</w:t>
      </w:r>
      <w:r>
        <w:rPr>
          <w:rStyle w:val="NormalTok"/>
        </w:rPr>
        <w:t xml:space="preserve"> sections[</w:t>
      </w:r>
      <w:r>
        <w:rPr>
          <w:rStyle w:val="StringTok"/>
        </w:rPr>
        <w:t xml:space="preserve">"item_1"</w:t>
      </w:r>
      <w:r>
        <w:rPr>
          <w:rStyle w:val="NormalTok"/>
        </w:rPr>
        <w:t xml:space="preserve">]</w:t>
      </w:r>
      <w:r>
        <w:br/>
      </w:r>
      <w:r>
        <w:rPr>
          <w:rStyle w:val="NormalTok"/>
        </w:rPr>
        <w:t xml:space="preserve">            item_1a </w:t>
      </w:r>
      <w:r>
        <w:rPr>
          <w:rStyle w:val="OperatorTok"/>
        </w:rPr>
        <w:t xml:space="preserve">=</w:t>
      </w:r>
      <w:r>
        <w:rPr>
          <w:rStyle w:val="NormalTok"/>
        </w:rPr>
        <w:t xml:space="preserve"> sections[</w:t>
      </w:r>
      <w:r>
        <w:rPr>
          <w:rStyle w:val="StringTok"/>
        </w:rPr>
        <w:t xml:space="preserve">"item_1a"</w:t>
      </w:r>
      <w:r>
        <w:rPr>
          <w:rStyle w:val="NormalTok"/>
        </w:rPr>
        <w:t xml:space="preserve">]</w:t>
      </w:r>
      <w:r>
        <w:br/>
      </w:r>
      <w:r>
        <w:rPr>
          <w:rStyle w:val="NormalTok"/>
        </w:rPr>
        <w:t xml:space="preserve">            item_7 </w:t>
      </w:r>
      <w:r>
        <w:rPr>
          <w:rStyle w:val="OperatorTok"/>
        </w:rPr>
        <w:t xml:space="preserve">=</w:t>
      </w:r>
      <w:r>
        <w:rPr>
          <w:rStyle w:val="NormalTok"/>
        </w:rPr>
        <w:t xml:space="preserve"> sections[</w:t>
      </w:r>
      <w:r>
        <w:rPr>
          <w:rStyle w:val="StringTok"/>
        </w:rPr>
        <w:t xml:space="preserve">"item_7"</w:t>
      </w:r>
      <w:r>
        <w:rPr>
          <w:rStyle w:val="NormalTok"/>
        </w:rPr>
        <w:t xml:space="preserve">]</w:t>
      </w:r>
      <w:r>
        <w:br/>
      </w:r>
      <w:r>
        <w:br/>
      </w:r>
      <w:r>
        <w:rPr>
          <w:rStyle w:val="NormalTok"/>
        </w:rPr>
        <w:t xml:space="preserve">            missing_item_1 </w:t>
      </w:r>
      <w:r>
        <w:rPr>
          <w:rStyle w:val="OperatorTok"/>
        </w:rPr>
        <w:t xml:space="preserve">=</w:t>
      </w:r>
      <w:r>
        <w:rPr>
          <w:rStyle w:val="NormalTok"/>
        </w:rPr>
        <w:t xml:space="preserve"> item_1 </w:t>
      </w:r>
      <w:r>
        <w:rPr>
          <w:rStyle w:val="KeywordTok"/>
        </w:rPr>
        <w:t xml:space="preserve">is</w:t>
      </w:r>
      <w:r>
        <w:rPr>
          <w:rStyle w:val="NormalTok"/>
        </w:rPr>
        <w:t xml:space="preserve"> </w:t>
      </w:r>
      <w:r>
        <w:rPr>
          <w:rStyle w:val="VariableTok"/>
        </w:rPr>
        <w:t xml:space="preserve">None</w:t>
      </w:r>
      <w:r>
        <w:br/>
      </w:r>
      <w:r>
        <w:rPr>
          <w:rStyle w:val="NormalTok"/>
        </w:rPr>
        <w:t xml:space="preserve">            missing_item_1a </w:t>
      </w:r>
      <w:r>
        <w:rPr>
          <w:rStyle w:val="OperatorTok"/>
        </w:rPr>
        <w:t xml:space="preserve">=</w:t>
      </w:r>
      <w:r>
        <w:rPr>
          <w:rStyle w:val="NormalTok"/>
        </w:rPr>
        <w:t xml:space="preserve"> item_1a </w:t>
      </w:r>
      <w:r>
        <w:rPr>
          <w:rStyle w:val="KeywordTok"/>
        </w:rPr>
        <w:t xml:space="preserve">is</w:t>
      </w:r>
      <w:r>
        <w:rPr>
          <w:rStyle w:val="NormalTok"/>
        </w:rPr>
        <w:t xml:space="preserve"> </w:t>
      </w:r>
      <w:r>
        <w:rPr>
          <w:rStyle w:val="VariableTok"/>
        </w:rPr>
        <w:t xml:space="preserve">None</w:t>
      </w:r>
      <w:r>
        <w:br/>
      </w:r>
      <w:r>
        <w:rPr>
          <w:rStyle w:val="NormalTok"/>
        </w:rPr>
        <w:t xml:space="preserve">            missing_item_7 </w:t>
      </w:r>
      <w:r>
        <w:rPr>
          <w:rStyle w:val="OperatorTok"/>
        </w:rPr>
        <w:t xml:space="preserve">=</w:t>
      </w:r>
      <w:r>
        <w:rPr>
          <w:rStyle w:val="NormalTok"/>
        </w:rPr>
        <w:t xml:space="preserve"> item_7 </w:t>
      </w:r>
      <w:r>
        <w:rPr>
          <w:rStyle w:val="KeywordTok"/>
        </w:rPr>
        <w:t xml:space="preserve">is</w:t>
      </w:r>
      <w:r>
        <w:rPr>
          <w:rStyle w:val="NormalTok"/>
        </w:rPr>
        <w:t xml:space="preserve"> </w:t>
      </w:r>
      <w:r>
        <w:rPr>
          <w:rStyle w:val="VariableTok"/>
        </w:rPr>
        <w:t xml:space="preserve">None</w:t>
      </w:r>
      <w:r>
        <w:br/>
      </w:r>
      <w:r>
        <w:br/>
      </w:r>
      <w:r>
        <w:rPr>
          <w:rStyle w:val="NormalTok"/>
        </w:rPr>
        <w:t xml:space="preserve">            status </w:t>
      </w:r>
      <w:r>
        <w:rPr>
          <w:rStyle w:val="OperatorTok"/>
        </w:rPr>
        <w:t xml:space="preserve">=</w:t>
      </w:r>
      <w:r>
        <w:rPr>
          <w:rStyle w:val="NormalTok"/>
        </w:rPr>
        <w:t xml:space="preserve"> </w:t>
      </w:r>
      <w:r>
        <w:rPr>
          <w:rStyle w:val="StringTok"/>
        </w:rPr>
        <w:t xml:space="preserve">"ok"</w:t>
      </w:r>
      <w:r>
        <w:br/>
      </w:r>
      <w:r>
        <w:rPr>
          <w:rStyle w:val="NormalTok"/>
        </w:rPr>
        <w:t xml:space="preserve">            </w:t>
      </w:r>
      <w:r>
        <w:rPr>
          <w:rStyle w:val="ControlFlowTok"/>
        </w:rPr>
        <w:t xml:space="preserve">if</w:t>
      </w:r>
      <w:r>
        <w:rPr>
          <w:rStyle w:val="NormalTok"/>
        </w:rPr>
        <w:t xml:space="preserve"> missing_item_1 </w:t>
      </w:r>
      <w:r>
        <w:rPr>
          <w:rStyle w:val="KeywordTok"/>
        </w:rPr>
        <w:t xml:space="preserve">or</w:t>
      </w:r>
      <w:r>
        <w:rPr>
          <w:rStyle w:val="NormalTok"/>
        </w:rPr>
        <w:t xml:space="preserve"> missing_item_1a </w:t>
      </w:r>
      <w:r>
        <w:rPr>
          <w:rStyle w:val="KeywordTok"/>
        </w:rPr>
        <w:t xml:space="preserve">or</w:t>
      </w:r>
      <w:r>
        <w:rPr>
          <w:rStyle w:val="NormalTok"/>
        </w:rPr>
        <w:t xml:space="preserve"> missing_item_7:</w:t>
      </w:r>
      <w:r>
        <w:br/>
      </w:r>
      <w:r>
        <w:rPr>
          <w:rStyle w:val="NormalTok"/>
        </w:rPr>
        <w:t xml:space="preserve">                status </w:t>
      </w:r>
      <w:r>
        <w:rPr>
          <w:rStyle w:val="OperatorTok"/>
        </w:rPr>
        <w:t xml:space="preserve">=</w:t>
      </w:r>
      <w:r>
        <w:rPr>
          <w:rStyle w:val="NormalTok"/>
        </w:rPr>
        <w:t xml:space="preserve"> </w:t>
      </w:r>
      <w:r>
        <w:rPr>
          <w:rStyle w:val="StringTok"/>
        </w:rPr>
        <w:t xml:space="preserve">"recheck"</w:t>
      </w:r>
      <w:r>
        <w:br/>
      </w:r>
      <w:r>
        <w:br/>
      </w:r>
      <w:r>
        <w:rPr>
          <w:rStyle w:val="NormalTok"/>
        </w:rPr>
        <w:t xml:space="preserve">            record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metadata,</w:t>
      </w:r>
      <w:r>
        <w:br/>
      </w:r>
      <w:r>
        <w:rPr>
          <w:rStyle w:val="NormalTok"/>
        </w:rPr>
        <w:t xml:space="preserve">                </w:t>
      </w:r>
      <w:r>
        <w:rPr>
          <w:rStyle w:val="StringTok"/>
        </w:rPr>
        <w:t xml:space="preserve">"raw_text_length"</w:t>
      </w:r>
      <w:r>
        <w:rPr>
          <w:rStyle w:val="NormalTok"/>
        </w:rPr>
        <w:t xml:space="preserve">: </w:t>
      </w:r>
      <w:r>
        <w:rPr>
          <w:rStyle w:val="BuiltInTok"/>
        </w:rPr>
        <w:t xml:space="preserve">len</w:t>
      </w:r>
      <w:r>
        <w:rPr>
          <w:rStyle w:val="NormalTok"/>
        </w:rPr>
        <w:t xml:space="preserve">(text),</w:t>
      </w:r>
      <w:r>
        <w:br/>
      </w:r>
      <w:r>
        <w:rPr>
          <w:rStyle w:val="NormalTok"/>
        </w:rPr>
        <w:t xml:space="preserve">                </w:t>
      </w:r>
      <w:r>
        <w:rPr>
          <w:rStyle w:val="StringTok"/>
        </w:rPr>
        <w:t xml:space="preserve">"item_1"</w:t>
      </w:r>
      <w:r>
        <w:rPr>
          <w:rStyle w:val="NormalTok"/>
        </w:rPr>
        <w:t xml:space="preserve">: item_1,</w:t>
      </w:r>
      <w:r>
        <w:br/>
      </w:r>
      <w:r>
        <w:rPr>
          <w:rStyle w:val="NormalTok"/>
        </w:rPr>
        <w:t xml:space="preserve">                </w:t>
      </w:r>
      <w:r>
        <w:rPr>
          <w:rStyle w:val="StringTok"/>
        </w:rPr>
        <w:t xml:space="preserve">"item_1a"</w:t>
      </w:r>
      <w:r>
        <w:rPr>
          <w:rStyle w:val="NormalTok"/>
        </w:rPr>
        <w:t xml:space="preserve">: item_1a,</w:t>
      </w:r>
      <w:r>
        <w:br/>
      </w:r>
      <w:r>
        <w:rPr>
          <w:rStyle w:val="NormalTok"/>
        </w:rPr>
        <w:t xml:space="preserve">                </w:t>
      </w:r>
      <w:r>
        <w:rPr>
          <w:rStyle w:val="StringTok"/>
        </w:rPr>
        <w:t xml:space="preserve">"item_7"</w:t>
      </w:r>
      <w:r>
        <w:rPr>
          <w:rStyle w:val="NormalTok"/>
        </w:rPr>
        <w:t xml:space="preserve">: item_7,</w:t>
      </w:r>
      <w:r>
        <w:br/>
      </w:r>
      <w:r>
        <w:rPr>
          <w:rStyle w:val="NormalTok"/>
        </w:rPr>
        <w:t xml:space="preserve">                </w:t>
      </w:r>
      <w:r>
        <w:rPr>
          <w:rStyle w:val="StringTok"/>
        </w:rPr>
        <w:t xml:space="preserve">"item_1_len"</w:t>
      </w:r>
      <w:r>
        <w:rPr>
          <w:rStyle w:val="NormalTok"/>
        </w:rPr>
        <w:t xml:space="preserve">: </w:t>
      </w:r>
      <w:r>
        <w:rPr>
          <w:rStyle w:val="BuiltInTok"/>
        </w:rPr>
        <w:t xml:space="preserve">len</w:t>
      </w:r>
      <w:r>
        <w:rPr>
          <w:rStyle w:val="NormalTok"/>
        </w:rPr>
        <w:t xml:space="preserve">(item_1) </w:t>
      </w:r>
      <w:r>
        <w:rPr>
          <w:rStyle w:val="ControlFlowTok"/>
        </w:rPr>
        <w:t xml:space="preserve">if</w:t>
      </w:r>
      <w:r>
        <w:rPr>
          <w:rStyle w:val="NormalTok"/>
        </w:rPr>
        <w:t xml:space="preserve"> item_1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"item_1a_len"</w:t>
      </w:r>
      <w:r>
        <w:rPr>
          <w:rStyle w:val="NormalTok"/>
        </w:rPr>
        <w:t xml:space="preserve">: </w:t>
      </w:r>
      <w:r>
        <w:rPr>
          <w:rStyle w:val="BuiltInTok"/>
        </w:rPr>
        <w:t xml:space="preserve">len</w:t>
      </w:r>
      <w:r>
        <w:rPr>
          <w:rStyle w:val="NormalTok"/>
        </w:rPr>
        <w:t xml:space="preserve">(item_1a) </w:t>
      </w:r>
      <w:r>
        <w:rPr>
          <w:rStyle w:val="ControlFlowTok"/>
        </w:rPr>
        <w:t xml:space="preserve">if</w:t>
      </w:r>
      <w:r>
        <w:rPr>
          <w:rStyle w:val="NormalTok"/>
        </w:rPr>
        <w:t xml:space="preserve"> item_1a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"item_7_len"</w:t>
      </w:r>
      <w:r>
        <w:rPr>
          <w:rStyle w:val="NormalTok"/>
        </w:rPr>
        <w:t xml:space="preserve">: </w:t>
      </w:r>
      <w:r>
        <w:rPr>
          <w:rStyle w:val="BuiltInTok"/>
        </w:rPr>
        <w:t xml:space="preserve">len</w:t>
      </w:r>
      <w:r>
        <w:rPr>
          <w:rStyle w:val="NormalTok"/>
        </w:rPr>
        <w:t xml:space="preserve">(item_7) </w:t>
      </w:r>
      <w:r>
        <w:rPr>
          <w:rStyle w:val="ControlFlowTok"/>
        </w:rPr>
        <w:t xml:space="preserve">if</w:t>
      </w:r>
      <w:r>
        <w:rPr>
          <w:rStyle w:val="NormalTok"/>
        </w:rPr>
        <w:t xml:space="preserve"> item_7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"missing_item_1"</w:t>
      </w:r>
      <w:r>
        <w:rPr>
          <w:rStyle w:val="NormalTok"/>
        </w:rPr>
        <w:t xml:space="preserve">: missing_item_1,</w:t>
      </w:r>
      <w:r>
        <w:br/>
      </w:r>
      <w:r>
        <w:rPr>
          <w:rStyle w:val="NormalTok"/>
        </w:rPr>
        <w:t xml:space="preserve">                </w:t>
      </w:r>
      <w:r>
        <w:rPr>
          <w:rStyle w:val="StringTok"/>
        </w:rPr>
        <w:t xml:space="preserve">"missing_item_1a"</w:t>
      </w:r>
      <w:r>
        <w:rPr>
          <w:rStyle w:val="NormalTok"/>
        </w:rPr>
        <w:t xml:space="preserve">: missing_item_1a,</w:t>
      </w:r>
      <w:r>
        <w:br/>
      </w:r>
      <w:r>
        <w:rPr>
          <w:rStyle w:val="NormalTok"/>
        </w:rPr>
        <w:t xml:space="preserve">                </w:t>
      </w:r>
      <w:r>
        <w:rPr>
          <w:rStyle w:val="StringTok"/>
        </w:rPr>
        <w:t xml:space="preserve">"missing_item_7"</w:t>
      </w:r>
      <w:r>
        <w:rPr>
          <w:rStyle w:val="NormalTok"/>
        </w:rPr>
        <w:t xml:space="preserve">: missing_item_7,</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"error"</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records.append(record)</w:t>
      </w:r>
      <w:r>
        <w:br/>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"recheck"</w:t>
      </w:r>
      <w:r>
        <w:rPr>
          <w:rStyle w:val="NormalTok"/>
        </w:rPr>
        <w:t xml:space="preserve">:</w:t>
      </w:r>
      <w:r>
        <w:br/>
      </w:r>
      <w:r>
        <w:rPr>
          <w:rStyle w:val="NormalTok"/>
        </w:rPr>
        <w:t xml:space="preserve">                recheck_records.append({</w:t>
      </w:r>
      <w:r>
        <w:br/>
      </w:r>
      <w:r>
        <w:rPr>
          <w:rStyle w:val="NormalTok"/>
        </w:rPr>
        <w:t xml:space="preserve">                    </w:t>
      </w:r>
      <w:r>
        <w:rPr>
          <w:rStyle w:val="OperatorTok"/>
        </w:rPr>
        <w:t xml:space="preserve">**</w:t>
      </w:r>
      <w:r>
        <w:rPr>
          <w:rStyle w:val="NormalTok"/>
        </w:rPr>
        <w:t xml:space="preserve">metadata,</w:t>
      </w:r>
      <w:r>
        <w:br/>
      </w:r>
      <w:r>
        <w:rPr>
          <w:rStyle w:val="NormalTok"/>
        </w:rPr>
        <w:t xml:space="preserve">                    </w:t>
      </w:r>
      <w:r>
        <w:rPr>
          <w:rStyle w:val="StringTok"/>
        </w:rPr>
        <w:t xml:space="preserve">"raw_text_length"</w:t>
      </w:r>
      <w:r>
        <w:rPr>
          <w:rStyle w:val="NormalTok"/>
        </w:rPr>
        <w:t xml:space="preserve">: </w:t>
      </w:r>
      <w:r>
        <w:rPr>
          <w:rStyle w:val="BuiltInTok"/>
        </w:rPr>
        <w:t xml:space="preserve">len</w:t>
      </w:r>
      <w:r>
        <w:rPr>
          <w:rStyle w:val="NormalTok"/>
        </w:rPr>
        <w:t xml:space="preserve">(text),</w:t>
      </w:r>
      <w:r>
        <w:br/>
      </w:r>
      <w:r>
        <w:rPr>
          <w:rStyle w:val="NormalTok"/>
        </w:rPr>
        <w:t xml:space="preserve">                    </w:t>
      </w:r>
      <w:r>
        <w:rPr>
          <w:rStyle w:val="StringTok"/>
        </w:rPr>
        <w:t xml:space="preserve">"missing_item_1"</w:t>
      </w:r>
      <w:r>
        <w:rPr>
          <w:rStyle w:val="NormalTok"/>
        </w:rPr>
        <w:t xml:space="preserve">: missing_item_1,</w:t>
      </w:r>
      <w:r>
        <w:br/>
      </w:r>
      <w:r>
        <w:rPr>
          <w:rStyle w:val="NormalTok"/>
        </w:rPr>
        <w:t xml:space="preserve">                    </w:t>
      </w:r>
      <w:r>
        <w:rPr>
          <w:rStyle w:val="StringTok"/>
        </w:rPr>
        <w:t xml:space="preserve">"missing_item_1a"</w:t>
      </w:r>
      <w:r>
        <w:rPr>
          <w:rStyle w:val="NormalTok"/>
        </w:rPr>
        <w:t xml:space="preserve">: missing_item_1a,</w:t>
      </w:r>
      <w:r>
        <w:br/>
      </w:r>
      <w:r>
        <w:rPr>
          <w:rStyle w:val="NormalTok"/>
        </w:rPr>
        <w:t xml:space="preserve">                    </w:t>
      </w:r>
      <w:r>
        <w:rPr>
          <w:rStyle w:val="StringTok"/>
        </w:rPr>
        <w:t xml:space="preserve">"missing_item_7"</w:t>
      </w:r>
      <w:r>
        <w:rPr>
          <w:rStyle w:val="NormalTok"/>
        </w:rPr>
        <w:t xml:space="preserve">: missing_item_7,</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"error"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"recheck_reason"</w:t>
      </w:r>
      <w:r>
        <w:rPr>
          <w:rStyle w:val="NormalTok"/>
        </w:rPr>
        <w:t xml:space="preserve">: </w:t>
      </w:r>
      <w:r>
        <w:rPr>
          <w:rStyle w:val="StringTok"/>
        </w:rPr>
        <w:t xml:space="preserve">"; "</w:t>
      </w:r>
      <w:r>
        <w:rPr>
          <w:rStyle w:val="NormalTok"/>
        </w:rPr>
        <w:t xml:space="preserve">.join(</w:t>
      </w:r>
      <w:r>
        <w:br/>
      </w:r>
      <w:r>
        <w:rPr>
          <w:rStyle w:val="NormalTok"/>
        </w:rPr>
        <w:t xml:space="preserve">                        reason </w:t>
      </w:r>
      <w:r>
        <w:rPr>
          <w:rStyle w:val="ControlFlowTok"/>
        </w:rPr>
        <w:t xml:space="preserve">for</w:t>
      </w:r>
      <w:r>
        <w:rPr>
          <w:rStyle w:val="NormalTok"/>
        </w:rPr>
        <w:t xml:space="preserve"> reason, flag </w:t>
      </w:r>
      <w:r>
        <w:rPr>
          <w:rStyle w:val="KeywordTok"/>
        </w:rPr>
        <w:t xml:space="preserve">in</w:t>
      </w:r>
      <w:r>
        <w:rPr>
          <w:rStyle w:val="NormalTok"/>
        </w:rPr>
        <w:t xml:space="preserve"> [</w:t>
      </w:r>
      <w:r>
        <w:br/>
      </w:r>
      <w:r>
        <w:rPr>
          <w:rStyle w:val="NormalTok"/>
        </w:rPr>
        <w:t xml:space="preserve">                            (</w:t>
      </w:r>
      <w:r>
        <w:rPr>
          <w:rStyle w:val="StringTok"/>
        </w:rPr>
        <w:t xml:space="preserve">"missing Item 1"</w:t>
      </w:r>
      <w:r>
        <w:rPr>
          <w:rStyle w:val="NormalTok"/>
        </w:rPr>
        <w:t xml:space="preserve">, missing_item_1),</w:t>
      </w:r>
      <w:r>
        <w:br/>
      </w:r>
      <w:r>
        <w:rPr>
          <w:rStyle w:val="NormalTok"/>
        </w:rPr>
        <w:t xml:space="preserve">                            (</w:t>
      </w:r>
      <w:r>
        <w:rPr>
          <w:rStyle w:val="StringTok"/>
        </w:rPr>
        <w:t xml:space="preserve">"missing Item 1A"</w:t>
      </w:r>
      <w:r>
        <w:rPr>
          <w:rStyle w:val="NormalTok"/>
        </w:rPr>
        <w:t xml:space="preserve">, missing_item_1a),</w:t>
      </w:r>
      <w:r>
        <w:br/>
      </w:r>
      <w:r>
        <w:rPr>
          <w:rStyle w:val="NormalTok"/>
        </w:rPr>
        <w:t xml:space="preserve">                            (</w:t>
      </w:r>
      <w:r>
        <w:rPr>
          <w:rStyle w:val="StringTok"/>
        </w:rPr>
        <w:t xml:space="preserve">"missing Item 7"</w:t>
      </w:r>
      <w:r>
        <w:rPr>
          <w:rStyle w:val="NormalTok"/>
        </w:rPr>
        <w:t xml:space="preserve">, missing_item_7),</w:t>
      </w:r>
      <w:r>
        <w:br/>
      </w:r>
      <w:r>
        <w:rPr>
          <w:rStyle w:val="NormalTok"/>
        </w:rPr>
        <w:t xml:space="preserve">                        ] </w:t>
      </w:r>
      <w:r>
        <w:rPr>
          <w:rStyle w:val="ControlFlowTok"/>
        </w:rPr>
        <w:t xml:space="preserve">if</w:t>
      </w:r>
      <w:r>
        <w:rPr>
          <w:rStyle w:val="NormalTok"/>
        </w:rPr>
        <w:t xml:space="preserve"> flag</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metadata </w:t>
      </w:r>
      <w:r>
        <w:rPr>
          <w:rStyle w:val="OperatorTok"/>
        </w:rPr>
        <w:t xml:space="preserve">=</w:t>
      </w:r>
      <w:r>
        <w:rPr>
          <w:rStyle w:val="NormalTok"/>
        </w:rPr>
        <w:t xml:space="preserve"> extract_basic_metadata(file_path)</w:t>
      </w:r>
      <w:r>
        <w:br/>
      </w:r>
      <w:r>
        <w:br/>
      </w:r>
      <w:r>
        <w:rPr>
          <w:rStyle w:val="NormalTok"/>
        </w:rPr>
        <w:t xml:space="preserve">            error_record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metadata,</w:t>
      </w:r>
      <w:r>
        <w:br/>
      </w:r>
      <w:r>
        <w:rPr>
          <w:rStyle w:val="NormalTok"/>
        </w:rPr>
        <w:t xml:space="preserve">                </w:t>
      </w:r>
      <w:r>
        <w:rPr>
          <w:rStyle w:val="StringTok"/>
        </w:rPr>
        <w:t xml:space="preserve">"raw_text_length"</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"item_1"</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"item_1a"</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"item_7"</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"item_1_len"</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"item_1a_len"</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"item_7_len"</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"missing_item_1"</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"missing_item_1a"</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"missing_item_7"</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records.append(error_record)</w:t>
      </w:r>
      <w:r>
        <w:br/>
      </w:r>
      <w:r>
        <w:br/>
      </w:r>
      <w:r>
        <w:rPr>
          <w:rStyle w:val="NormalTok"/>
        </w:rPr>
        <w:t xml:space="preserve">            recheck_records.append({</w:t>
      </w:r>
      <w:r>
        <w:br/>
      </w:r>
      <w:r>
        <w:rPr>
          <w:rStyle w:val="NormalTok"/>
        </w:rPr>
        <w:t xml:space="preserve">                </w:t>
      </w:r>
      <w:r>
        <w:rPr>
          <w:rStyle w:val="OperatorTok"/>
        </w:rPr>
        <w:t xml:space="preserve">**</w:t>
      </w:r>
      <w:r>
        <w:rPr>
          <w:rStyle w:val="NormalTok"/>
        </w:rPr>
        <w:t xml:space="preserve">metadata,</w:t>
      </w:r>
      <w:r>
        <w:br/>
      </w:r>
      <w:r>
        <w:rPr>
          <w:rStyle w:val="NormalTok"/>
        </w:rPr>
        <w:t xml:space="preserve">                </w:t>
      </w:r>
      <w:r>
        <w:rPr>
          <w:rStyle w:val="StringTok"/>
        </w:rPr>
        <w:t xml:space="preserve">"raw_text_length"</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"missing_item_1"</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"missing_item_1a"</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"missing_item_7"</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StringTok"/>
        </w:rPr>
        <w:t xml:space="preserve">"recheck_reason"</w:t>
      </w:r>
      <w:r>
        <w:rPr>
          <w:rStyle w:val="NormalTok"/>
        </w:rPr>
        <w:t xml:space="preserve">: </w:t>
      </w:r>
      <w:r>
        <w:rPr>
          <w:rStyle w:val="StringTok"/>
        </w:rPr>
        <w:t xml:space="preserve">"parser/runtime error"</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i </w:t>
      </w:r>
      <w:r>
        <w:rPr>
          <w:rStyle w:val="OperatorTok"/>
        </w:rPr>
        <w:t xml:space="preserve">==</w:t>
      </w:r>
      <w:r>
        <w:rPr>
          <w:rStyle w:val="NormalTok"/>
        </w:rPr>
        <w:t xml:space="preserve"> </w:t>
      </w:r>
      <w:r>
        <w:rPr>
          <w:rStyle w:val="BuiltInTok"/>
        </w:rPr>
        <w:t xml:space="preserve">len</w:t>
      </w:r>
      <w:r>
        <w:rPr>
          <w:rStyle w:val="NormalTok"/>
        </w:rPr>
        <w:t xml:space="preserve">(html_files):</w:t>
      </w:r>
      <w:r>
        <w:br/>
      </w:r>
      <w:r>
        <w:rPr>
          <w:rStyle w:val="NormalTok"/>
        </w:rPr>
        <w:t xml:space="preserve">            </w:t>
      </w:r>
      <w:r>
        <w:rPr>
          <w:rStyle w:val="BuiltInTok"/>
        </w:rPr>
        <w:t xml:space="preserve">print</w:t>
      </w:r>
      <w:r>
        <w:rPr>
          <w:rStyle w:val="NormalTok"/>
        </w:rPr>
        <w:t xml:space="preserve">(</w:t>
      </w:r>
      <w:r>
        <w:rPr>
          <w:rStyle w:val="SpecialStringTok"/>
        </w:rPr>
        <w:t xml:space="preserve">f"Processed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(html_files)</w:t>
      </w:r>
      <w:r>
        <w:rPr>
          <w:rStyle w:val="SpecialCharTok"/>
        </w:rPr>
        <w:t xml:space="preserve">}</w:t>
      </w:r>
      <w:r>
        <w:rPr>
          <w:rStyle w:val="SpecialStringTok"/>
        </w:rPr>
        <w:t xml:space="preserve"> files"</w:t>
      </w:r>
      <w:r>
        <w:rPr>
          <w:rStyle w:val="NormalTok"/>
        </w:rPr>
        <w:t xml:space="preserve">)</w:t>
      </w:r>
      <w:r>
        <w:br/>
      </w:r>
      <w:r>
        <w:br/>
      </w:r>
      <w:r>
        <w:rPr>
          <w:rStyle w:val="NormalTok"/>
        </w:rPr>
        <w:t xml:space="preserve">    df_sections </w:t>
      </w:r>
      <w:r>
        <w:rPr>
          <w:rStyle w:val="OperatorTok"/>
        </w:rPr>
        <w:t xml:space="preserve">=</w:t>
      </w:r>
      <w:r>
        <w:rPr>
          <w:rStyle w:val="NormalTok"/>
        </w:rPr>
        <w:t xml:space="preserve"> pd.DataFrame(records)</w:t>
      </w:r>
      <w:r>
        <w:br/>
      </w:r>
      <w:r>
        <w:rPr>
          <w:rStyle w:val="NormalTok"/>
        </w:rPr>
        <w:t xml:space="preserve">    df_recheck </w:t>
      </w:r>
      <w:r>
        <w:rPr>
          <w:rStyle w:val="OperatorTok"/>
        </w:rPr>
        <w:t xml:space="preserve">=</w:t>
      </w:r>
      <w:r>
        <w:rPr>
          <w:rStyle w:val="NormalTok"/>
        </w:rPr>
        <w:t xml:space="preserve"> pd.DataFrame(recheck_records)</w:t>
      </w:r>
      <w:r>
        <w:br/>
      </w:r>
      <w:r>
        <w:br/>
      </w:r>
      <w:r>
        <w:rPr>
          <w:rStyle w:val="NormalTok"/>
        </w:rPr>
        <w:t xml:space="preserve">    </w:t>
      </w:r>
      <w:r>
        <w:rPr>
          <w:rStyle w:val="ControlFlowTok"/>
        </w:rPr>
        <w:t xml:space="preserve">if</w:t>
      </w:r>
      <w:r>
        <w:rPr>
          <w:rStyle w:val="NormalTok"/>
        </w:rPr>
        <w:t xml:space="preserve"> save_outputs:</w:t>
      </w:r>
      <w:r>
        <w:br/>
      </w:r>
      <w:r>
        <w:rPr>
          <w:rStyle w:val="NormalTok"/>
        </w:rPr>
        <w:t xml:space="preserve">        df_sections.to_csv(OUTPUT_DIR </w:t>
      </w:r>
      <w:r>
        <w:rPr>
          <w:rStyle w:val="OperatorTok"/>
        </w:rPr>
        <w:t xml:space="preserve">/</w:t>
      </w:r>
      <w:r>
        <w:rPr>
          <w:rStyle w:val="NormalTok"/>
        </w:rPr>
        <w:t xml:space="preserve"> </w:t>
      </w:r>
      <w:r>
        <w:rPr>
          <w:rStyle w:val="StringTok"/>
        </w:rPr>
        <w:t xml:space="preserve">"sec_10k_2024_sections.csv"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df_sections.to_json(</w:t>
      </w:r>
      <w:r>
        <w:br/>
      </w:r>
      <w:r>
        <w:rPr>
          <w:rStyle w:val="NormalTok"/>
        </w:rPr>
        <w:t xml:space="preserve">            OUTPUT_DIR </w:t>
      </w:r>
      <w:r>
        <w:rPr>
          <w:rStyle w:val="OperatorTok"/>
        </w:rPr>
        <w:t xml:space="preserve">/</w:t>
      </w:r>
      <w:r>
        <w:rPr>
          <w:rStyle w:val="NormalTok"/>
        </w:rPr>
        <w:t xml:space="preserve"> </w:t>
      </w:r>
      <w:r>
        <w:rPr>
          <w:rStyle w:val="StringTok"/>
        </w:rPr>
        <w:t xml:space="preserve">"sec_10k_2024_sections.json"</w:t>
      </w:r>
      <w:r>
        <w:rPr>
          <w:rStyle w:val="NormalTok"/>
        </w:rPr>
        <w:t xml:space="preserve">,</w:t>
      </w:r>
      <w:r>
        <w:br/>
      </w:r>
      <w:r>
        <w:rPr>
          <w:rStyle w:val="NormalTok"/>
        </w:rPr>
        <w:t xml:space="preserve">            orient</w:t>
      </w:r>
      <w:r>
        <w:rPr>
          <w:rStyle w:val="OperatorTok"/>
        </w:rPr>
        <w:t xml:space="preserve">=</w:t>
      </w:r>
      <w:r>
        <w:rPr>
          <w:rStyle w:val="StringTok"/>
        </w:rPr>
        <w:t xml:space="preserve">"records"</w:t>
      </w:r>
      <w:r>
        <w:rPr>
          <w:rStyle w:val="NormalTok"/>
        </w:rPr>
        <w:t xml:space="preserve">,</w:t>
      </w:r>
      <w:r>
        <w:br/>
      </w:r>
      <w:r>
        <w:rPr>
          <w:rStyle w:val="NormalTok"/>
        </w:rPr>
        <w:t xml:space="preserve">            force_ascii</w:t>
      </w:r>
      <w:r>
        <w:rPr>
          <w:rStyle w:val="OperatorTok"/>
        </w:rPr>
        <w:t xml:space="preserve">=</w:t>
      </w:r>
      <w:r>
        <w:rPr>
          <w:rStyle w:val="VariableTok"/>
        </w:rPr>
        <w:t xml:space="preserve">False</w:t>
      </w:r>
      <w:r>
        <w:rPr>
          <w:rStyle w:val="NormalTok"/>
        </w:rPr>
        <w:t xml:space="preserve">,</w:t>
      </w:r>
      <w:r>
        <w:br/>
      </w:r>
      <w:r>
        <w:rPr>
          <w:rStyle w:val="NormalTok"/>
        </w:rPr>
        <w:t xml:space="preserve">            indent</w:t>
      </w:r>
      <w:r>
        <w:rPr>
          <w:rStyle w:val="OperatorTok"/>
        </w:rPr>
        <w:t xml:space="preserve">=</w:t>
      </w:r>
      <w:r>
        <w:rPr>
          <w:rStyle w:val="DecValTok"/>
        </w:rPr>
        <w:t xml:space="preserve">2</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df_recheck.empty:</w:t>
      </w:r>
      <w:r>
        <w:br/>
      </w:r>
      <w:r>
        <w:rPr>
          <w:rStyle w:val="NormalTok"/>
        </w:rPr>
        <w:t xml:space="preserve">            df_recheck.to_csv(OUTPUT_DIR </w:t>
      </w:r>
      <w:r>
        <w:rPr>
          <w:rStyle w:val="OperatorTok"/>
        </w:rPr>
        <w:t xml:space="preserve">/</w:t>
      </w:r>
      <w:r>
        <w:rPr>
          <w:rStyle w:val="NormalTok"/>
        </w:rPr>
        <w:t xml:space="preserve"> </w:t>
      </w:r>
      <w:r>
        <w:rPr>
          <w:rStyle w:val="StringTok"/>
        </w:rPr>
        <w:t xml:space="preserve">"sec_10k_2024_recheck.csv"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df_recheck.to_json(</w:t>
      </w:r>
      <w:r>
        <w:br/>
      </w:r>
      <w:r>
        <w:rPr>
          <w:rStyle w:val="NormalTok"/>
        </w:rPr>
        <w:t xml:space="preserve">                OUTPUT_DIR </w:t>
      </w:r>
      <w:r>
        <w:rPr>
          <w:rStyle w:val="OperatorTok"/>
        </w:rPr>
        <w:t xml:space="preserve">/</w:t>
      </w:r>
      <w:r>
        <w:rPr>
          <w:rStyle w:val="NormalTok"/>
        </w:rPr>
        <w:t xml:space="preserve"> </w:t>
      </w:r>
      <w:r>
        <w:rPr>
          <w:rStyle w:val="StringTok"/>
        </w:rPr>
        <w:t xml:space="preserve">"sec_10k_2024_recheck.json"</w:t>
      </w:r>
      <w:r>
        <w:rPr>
          <w:rStyle w:val="NormalTok"/>
        </w:rPr>
        <w:t xml:space="preserve">,</w:t>
      </w:r>
      <w:r>
        <w:br/>
      </w:r>
      <w:r>
        <w:rPr>
          <w:rStyle w:val="NormalTok"/>
        </w:rPr>
        <w:t xml:space="preserve">                orient</w:t>
      </w:r>
      <w:r>
        <w:rPr>
          <w:rStyle w:val="OperatorTok"/>
        </w:rPr>
        <w:t xml:space="preserve">=</w:t>
      </w:r>
      <w:r>
        <w:rPr>
          <w:rStyle w:val="StringTok"/>
        </w:rPr>
        <w:t xml:space="preserve">"records"</w:t>
      </w:r>
      <w:r>
        <w:rPr>
          <w:rStyle w:val="NormalTok"/>
        </w:rPr>
        <w:t xml:space="preserve">,</w:t>
      </w:r>
      <w:r>
        <w:br/>
      </w:r>
      <w:r>
        <w:rPr>
          <w:rStyle w:val="NormalTok"/>
        </w:rPr>
        <w:t xml:space="preserve">                force_ascii</w:t>
      </w:r>
      <w:r>
        <w:rPr>
          <w:rStyle w:val="OperatorTok"/>
        </w:rPr>
        <w:t xml:space="preserve">=</w:t>
      </w:r>
      <w:r>
        <w:rPr>
          <w:rStyle w:val="VariableTok"/>
        </w:rPr>
        <w:t xml:space="preserve">False</w:t>
      </w:r>
      <w:r>
        <w:rPr>
          <w:rStyle w:val="NormalTok"/>
        </w:rPr>
        <w:t xml:space="preserve">,</w:t>
      </w:r>
      <w:r>
        <w:br/>
      </w:r>
      <w:r>
        <w:rPr>
          <w:rStyle w:val="NormalTok"/>
        </w:rPr>
        <w:t xml:space="preserve">                indent</w:t>
      </w:r>
      <w:r>
        <w:rPr>
          <w:rStyle w:val="OperatorTok"/>
        </w:rPr>
        <w:t xml:space="preserve">=</w:t>
      </w:r>
      <w:r>
        <w:rPr>
          <w:rStyle w:val="DecVal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df_sections, df_recheck</w:t>
      </w:r>
    </w:p>
    <w:bookmarkStart w:id="38" w:name="build-the-corpus-dataframe"/>
    <w:p>
      <w:pPr>
        <w:pStyle w:val="Heading2"/>
      </w:pPr>
      <w:r>
        <w:t xml:space="preserve">4.1 Build the corpus dataframe</w:t>
      </w:r>
    </w:p>
    <w:p>
      <w:pPr>
        <w:pStyle w:val="SourceCode"/>
      </w:pPr>
      <w:r>
        <w:rPr>
          <w:rStyle w:val="CommentTok"/>
        </w:rPr>
        <w:t xml:space="preserve"># use the process_html_files function to build the corpus dataframe in a tuple of df_sections and df_recheck</w:t>
      </w:r>
      <w:r>
        <w:br/>
      </w:r>
      <w:r>
        <w:rPr>
          <w:rStyle w:val="NormalTok"/>
        </w:rPr>
        <w:t xml:space="preserve">df_sections, df_recheck </w:t>
      </w:r>
      <w:r>
        <w:rPr>
          <w:rStyle w:val="OperatorTok"/>
        </w:rPr>
        <w:t xml:space="preserve">=</w:t>
      </w:r>
      <w:r>
        <w:rPr>
          <w:rStyle w:val="NormalTok"/>
        </w:rPr>
        <w:t xml:space="preserve"> process_html_files(Add_the_name_of_your_html_file_list_variable_here)</w:t>
      </w:r>
      <w:r>
        <w:br/>
      </w:r>
      <w:r>
        <w:br/>
      </w:r>
      <w:r>
        <w:rPr>
          <w:rStyle w:val="CommentTok"/>
        </w:rPr>
        <w:t xml:space="preserve"># print the shapes of the resulting dataframes to check how many files were processed and how many need recheck</w:t>
      </w:r>
      <w:r>
        <w:br/>
      </w:r>
      <w:r>
        <w:rPr>
          <w:rStyle w:val="BuiltInTok"/>
        </w:rPr>
        <w:t xml:space="preserve">print</w:t>
      </w:r>
      <w:r>
        <w:rPr>
          <w:rStyle w:val="NormalTok"/>
        </w:rPr>
        <w:t xml:space="preserve">(</w:t>
      </w:r>
      <w:r>
        <w:rPr>
          <w:rStyle w:val="StringTok"/>
        </w:rPr>
        <w:t xml:space="preserve">"Main corpus shape:"</w:t>
      </w:r>
      <w:r>
        <w:rPr>
          <w:rStyle w:val="NormalTok"/>
        </w:rPr>
        <w:t xml:space="preserve">, df_sections.shape)</w:t>
      </w:r>
      <w:r>
        <w:br/>
      </w:r>
      <w:r>
        <w:rPr>
          <w:rStyle w:val="BuiltInTok"/>
        </w:rPr>
        <w:t xml:space="preserve">print</w:t>
      </w:r>
      <w:r>
        <w:rPr>
          <w:rStyle w:val="NormalTok"/>
        </w:rPr>
        <w:t xml:space="preserve">(</w:t>
      </w:r>
      <w:r>
        <w:rPr>
          <w:rStyle w:val="StringTok"/>
        </w:rPr>
        <w:t xml:space="preserve">"Recheck shape:"</w:t>
      </w:r>
      <w:r>
        <w:rPr>
          <w:rStyle w:val="NormalTok"/>
        </w:rPr>
        <w:t xml:space="preserve">, df_recheck.shape)</w:t>
      </w:r>
    </w:p>
    <w:p>
      <w:pPr>
        <w:pStyle w:val="SourceCode"/>
      </w:pPr>
      <w:r>
        <w:rPr>
          <w:rStyle w:val="VerbatimChar"/>
        </w:rPr>
        <w:t xml:space="preserve">Processed 25/25 files</w:t>
      </w:r>
      <w:r>
        <w:br/>
      </w:r>
      <w:r>
        <w:rPr>
          <w:rStyle w:val="VerbatimChar"/>
        </w:rPr>
        <w:t xml:space="preserve">Main corpus shape: (25, 14)</w:t>
      </w:r>
      <w:r>
        <w:br/>
      </w:r>
      <w:r>
        <w:rPr>
          <w:rStyle w:val="VerbatimChar"/>
        </w:rPr>
        <w:t xml:space="preserve">Recheck shape: (7, 9)</w:t>
      </w:r>
    </w:p>
    <w:p>
      <w:pPr>
        <w:pStyle w:val="SourceCode"/>
      </w:pPr>
      <w:r>
        <w:rPr>
          <w:rStyle w:val="CommentTok"/>
        </w:rPr>
        <w:t xml:space="preserve"># Use this as diagnostic to check the df. Uncomment it for final run</w:t>
      </w:r>
      <w:r>
        <w:br/>
      </w:r>
      <w:r>
        <w:rPr>
          <w:rStyle w:val="NormalTok"/>
        </w:rPr>
        <w:t xml:space="preserve">df_sections.head().style.hide(axis</w:t>
      </w:r>
      <w:r>
        <w:rPr>
          <w:rStyle w:val="OperatorTok"/>
        </w:rPr>
        <w:t xml:space="preserve">=</w:t>
      </w:r>
      <w:r>
        <w:rPr>
          <w:rStyle w:val="StringTok"/>
        </w:rPr>
        <w:t xml:space="preserve">"index"</w:t>
      </w:r>
      <w:r>
        <w:rPr>
          <w:rStyle w:val="NormalTok"/>
        </w:rPr>
        <w:t xml:space="preserve">)</w:t>
      </w:r>
    </w:p>
    <w:bookmarkStart w:id="37" w:name="T_d7dad"/>
    <w:tbl>
      <w:tblPr>
        <w:tblStyle w:val="Table"/>
        <w:tblW w:type="auto" w:w="0"/>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file_name</w:t>
            </w:r>
          </w:p>
        </w:tc>
        <w:tc>
          <w:tcPr/>
          <w:p>
            <w:pPr>
              <w:pStyle w:val="Compact"/>
            </w:pPr>
            <w:r>
              <w:t xml:space="preserve">file_path</w:t>
            </w:r>
          </w:p>
        </w:tc>
        <w:tc>
          <w:tcPr/>
          <w:p>
            <w:pPr>
              <w:pStyle w:val="Compact"/>
            </w:pPr>
            <w:r>
              <w:t xml:space="preserve">raw_text_length</w:t>
            </w:r>
          </w:p>
        </w:tc>
        <w:tc>
          <w:tcPr/>
          <w:p>
            <w:pPr>
              <w:pStyle w:val="Compact"/>
            </w:pPr>
            <w:r>
              <w:t xml:space="preserve">item_1</w:t>
            </w:r>
          </w:p>
        </w:tc>
        <w:tc>
          <w:tcPr/>
          <w:p>
            <w:pPr>
              <w:pStyle w:val="Compact"/>
            </w:pPr>
            <w:r>
              <w:t xml:space="preserve">item_1a</w:t>
            </w:r>
          </w:p>
        </w:tc>
        <w:tc>
          <w:tcPr/>
          <w:p>
            <w:pPr>
              <w:pStyle w:val="Compact"/>
            </w:pPr>
            <w:r>
              <w:t xml:space="preserve">item_7</w:t>
            </w:r>
          </w:p>
        </w:tc>
        <w:tc>
          <w:tcPr/>
          <w:p>
            <w:pPr>
              <w:pStyle w:val="Compact"/>
            </w:pPr>
            <w:r>
              <w:t xml:space="preserve">item_1_len</w:t>
            </w:r>
          </w:p>
        </w:tc>
        <w:tc>
          <w:tcPr/>
          <w:p>
            <w:pPr>
              <w:pStyle w:val="Compact"/>
            </w:pPr>
            <w:r>
              <w:t xml:space="preserve">item_1a_len</w:t>
            </w:r>
          </w:p>
        </w:tc>
        <w:tc>
          <w:tcPr/>
          <w:p>
            <w:pPr>
              <w:pStyle w:val="Compact"/>
            </w:pPr>
            <w:r>
              <w:t xml:space="preserve">item_7_len</w:t>
            </w:r>
          </w:p>
        </w:tc>
        <w:tc>
          <w:tcPr/>
          <w:p>
            <w:pPr>
              <w:pStyle w:val="Compact"/>
            </w:pPr>
            <w:r>
              <w:t xml:space="preserve">missing_item_1</w:t>
            </w:r>
          </w:p>
        </w:tc>
        <w:tc>
          <w:tcPr/>
          <w:p>
            <w:pPr>
              <w:pStyle w:val="Compact"/>
            </w:pPr>
            <w:r>
              <w:t xml:space="preserve">missing_item_1a</w:t>
            </w:r>
          </w:p>
        </w:tc>
        <w:tc>
          <w:tcPr/>
          <w:p>
            <w:pPr>
              <w:pStyle w:val="Compact"/>
            </w:pPr>
            <w:r>
              <w:t xml:space="preserve">missing_item_7</w:t>
            </w:r>
          </w:p>
        </w:tc>
        <w:tc>
          <w:tcPr/>
          <w:p>
            <w:pPr>
              <w:pStyle w:val="Compact"/>
            </w:pPr>
            <w:r>
              <w:t xml:space="preserve">status</w:t>
            </w:r>
          </w:p>
        </w:tc>
        <w:tc>
          <w:tcPr/>
          <w:p>
            <w:pPr>
              <w:pStyle w:val="Compact"/>
            </w:pPr>
            <w:r>
              <w:t xml:space="preserve">error</w:t>
            </w:r>
          </w:p>
        </w:tc>
      </w:tr>
      <w:tr>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631418</w:t>
            </w:r>
          </w:p>
        </w:tc>
        <w:tc>
          <w:tcPr/>
          <w:p>
            <w:pPr>
              <w:pStyle w:val="Compact"/>
            </w:pPr>
            <w:r>
              <w:t xml:space="preserve">ITEM 1. DESCRIPTION OF BUSINESS</w:t>
            </w:r>
            <w:r>
              <w:t xml:space="preserve"> </w:t>
            </w:r>
            <w:r>
              <w:t xml:space="preserve">Incorporation and Early History</w:t>
            </w:r>
            <w:r>
              <w:t xml:space="preserve"> </w:t>
            </w:r>
            <w:r>
              <w:t xml:space="preserve">We were incorporated in the State of Idaho in August 1968 under the name Silver Crystal Mines, Inc., to engage in the business of exploring for precious metal deposits and advancing them toward production. We ceased exploration activities during the 1990’s and became virtually inactive. In December 2003, a group of investors purchased 80-percent of the issued and outstanding common stock from the then-controlling management team. In January 2004, we affected a one-for-four reverse split of our issued and outstanding shares of common stock and increased the number of our authorized shares of common stock to 100,000,000 with a par value of $0.001.</w:t>
            </w:r>
            <w:r>
              <w:t xml:space="preserve"> </w:t>
            </w:r>
            <w:r>
              <w:t xml:space="preserve">In February 2004, our name was changed to Timberline Resources Corporation. Since the reorganization, we have been in an exploration stage evaluating, acquiring, and exploring mineral prospects with potential for economic deposits of precious and base metals. We define a prospect as a mining property, the value of which has not been determined by exploration. In August 2008, we reincorporated into the State of Delaware pursuant to a merger agreement approved by our shareholders.</w:t>
            </w:r>
            <w:r>
              <w:t xml:space="preserve"> </w:t>
            </w:r>
            <w:r>
              <w:t xml:space="preserve">In July 2007, we closed our purchase of the Butte Highlands Gold Project. In October 2008, we announced that we had agreed to form a 50/50 joint venture at the Butte Highlands Project. In July 2009, we finalized the joint venture agreement with Highland Mining, LLC (“Highland”) to create Butte Highlands JV, LLC (“BHJV”). Under terms of the joint venture agreement, development began in the summer of 2009, with Highland funding all mine development costs through development. Both Timberline’s and Highland’s 50-percent share of costs were to be paid out of net proceeds from future mine production. On January 29, 2016, we executed a Member Interest Purchase Agreement (the “Purchase Agreement”) with New Jersey Mining Company pursuant to which we sold all of our 50% interest in BHJV.</w:t>
            </w:r>
            <w:r>
              <w:t xml:space="preserve"> </w:t>
            </w:r>
            <w:r>
              <w:t xml:space="preserve">In June 2010, we closed our acquisition of Staccato Gold Resources Ltd. (“Staccato Gold”), a Canadian-based resource company that was in the business of acquiring, exploring, and developing mineral properties with a focus on gold exploration in the dominant gold producing trends in Nevada. As a result of this acquisition, we obtained Staccato’s flagship gold exploration project (“Lookout Mountain”), and several other projects at various stages of exploration in the Battle Mountain/Eureka gold trend in north-central Nevada, along with Staccato Gold’s wholly owned U.S. subsidiary, BH Minerals USA, Inc. (“BH Minerals”).</w:t>
            </w:r>
            <w:r>
              <w:t xml:space="preserve"> </w:t>
            </w:r>
            <w:r>
              <w:t xml:space="preserve">In August 2014, we closed our acquisition of Wolfpack Gold (Nevada) Corp. (“Wolfpack US”), a U.S. company and a wholly owned subsidiary of Wolfpack Gold Corp., a Canadian-based resource company (“Wolfpack Gold”), that was in the business of acquiring, exploring, and developing mineral properties with a focus on gold exploration in the dominant gold producing trends in Nevada. As a result of this acquisition, we obtained cash and several projects at various stages of exploration in the gold trends in Nevada.</w:t>
            </w:r>
            <w:r>
              <w:t xml:space="preserve"> </w:t>
            </w:r>
            <w:r>
              <w:t xml:space="preserve">5</w:t>
            </w:r>
            <w:r>
              <w:t xml:space="preserve"> </w:t>
            </w:r>
            <w:r>
              <w:t xml:space="preserve">Table of Contents</w:t>
            </w:r>
            <w:r>
              <w:t xml:space="preserve"> </w:t>
            </w:r>
            <w:r>
              <w:t xml:space="preserve">On March 17, 2015, Timberline signed a definitive option agreement to purchase 100% ownership in the Talapoosa Project in Nevada from Gunpoint Exploration Ltd. (Gunpoint). The Talapoosa Project is located in western Nevada and contains a resource of over 1 million ounces of gold. Under terms of the agreement Timberline paid Gunpoint $300,000 in cash and 2,000,000 shares of common stock on signing the agreement and was required to pay $10,000,000 (“Option Payment”) within 30 months of the agreement date to acquire 100% ownership, subject to significant contingent payments if the price of gold traded above US $1,600 per ounce for extended periods in the five (5) ensuing years. On October 26, 2016, the agreement was amended to extend the option exercise period to March 31, 2019 with the following schedule: payment of $1,000,000 and 1,000,000 common shares of the Company by March 31, 2017, payment of $2,000,000 and 1,000,000 common shares by March 31, 2018, and a final payment of $8,000,000 and 1.5 million common shares by March 31, 2019. Timberline chose to not make the required payment due on March 31, 2018, and, therefore, the Agreement was terminated, resulting in a $3.2 million write off of a loss on abandonment of mineral rights.</w:t>
            </w:r>
            <w:r>
              <w:t xml:space="preserve"> </w:t>
            </w:r>
            <w:r>
              <w:t xml:space="preserve">In May 2018, we entered into a definitive agreement to acquire ownership interests in two joint venture agreements in Nevada from Americas Gold Exploration, Inc (“AGEI”). The acquisition included a 73.7% interest in the Paiute property joint venture with Nevada Gold Mines LLC (“Nevada Gold”), and the opportunity to earn up to 65% ownership in the Elder Creek joint venture with McEwen Mining, Inc. The acquisition of the two joint venture ownership interests, at Elder Creek with McEwen Mining and at Paiute with Nevada Gold, from AGEI closed on August 14, 2018 for consideration of ten million shares of our common stock and five million warrants to purchase shares of our common stock. An additional five million warrants with the same terms were issued to AGEI contingent upon certain achievements. Upon closing, we became the operator at both of these joint venture projects. Timberline elected to return control and ownership of the Elder Creek property to McEwen Mining in July of 2020.</w:t>
            </w:r>
            <w:r>
              <w:t xml:space="preserve"> </w:t>
            </w:r>
            <w:r>
              <w:t xml:space="preserve">The ICBM Joint Venture Earn-in Agreement has expired, and Timberline vested its property interest at 74.1%.</w:t>
            </w:r>
            <w:r>
              <w:t xml:space="preserve"> </w:t>
            </w:r>
            <w:r>
              <w:t xml:space="preserve">During the year ended September 30, 2019, the Company recognized an abandonment expense of $48,500 relating to two patented mining claims at in the New York Canyon area of the Eureka property on which the Company had ceased making advance royalty payments.</w:t>
            </w:r>
            <w:r>
              <w:t xml:space="preserve"> </w:t>
            </w:r>
            <w:r>
              <w:t xml:space="preserve">On June 28, 2019, we entered into a Limited Liability Company Agreement (the “LLC” and the “LLC Agreement”) with PM &amp; Gold Mines, Inc. (“PM&amp;G”) for the advanced exploration, and if determined feasible, the development of the Lookout Mountain Gold Project, a significant portion of the Company’s broader Eureka property located on the southern end of the Battle Mountain-Eureka Trend near Eureka, Nevada. PM&amp;G was a private firm incorporated in Nevada with an interest to explore and advance gold projects to production. The LLC Agreement called for PM&amp;G to fund exploration and development activities in two stages for earned equity in the project. Timberline was to contribute certain claims that constituted the Lookout Mountain Project and adjacent historical Oswego Mine area to the LLC in exchange for its ownership position.</w:t>
            </w:r>
            <w:r>
              <w:t xml:space="preserve"> </w:t>
            </w:r>
            <w:r>
              <w:t xml:space="preserve">Concurrent with completion of the LLC Agreement, PM&amp;G also participated in a private placement and acquired 3,367,441 shares, or 4.99%, of our common shares. The placement included the right of PM&amp;G to maintain its position in Timberline by pro-rata participation in future financings. The initial interests in the LLC were 51% PM&amp;G and 49% Timberline, subject to PM&amp;G’s contribution to the LLC in the form of an earn-in. Timberline would manage the project through at least the initial stage of investment, at which time PM&amp;G would have been vested at 51% ownership. PM&amp;G retained the right to manage all subsequent activities with or without Timberline’s participation.</w:t>
            </w:r>
            <w:r>
              <w:t xml:space="preserve"> </w:t>
            </w:r>
            <w:r>
              <w:t xml:space="preserve">Under terms of the LLC Agreement, PM&amp;G committed to $3,000,000 of work expenditure during each of the first two years following the agreement effective date of June 28, 2019. PM&amp;G committed $755,605 towards the first-year obligation due on June 28, 2020, but failed to deliver sufficient capital to meet the required first year investment. Under the terms of the agreement, after written notice and a 30-day cure period, PM&amp;G did not cure the matter and thereby resigned from the LLC Agreement, giving up all claims and rights to the property.</w:t>
            </w:r>
            <w:r>
              <w:t xml:space="preserve"> </w:t>
            </w:r>
            <w:r>
              <w:t xml:space="preserve">Overview of Our Mineral Exploration Business</w:t>
            </w:r>
            <w:r>
              <w:t xml:space="preserve"> </w:t>
            </w:r>
            <w:r>
              <w:t xml:space="preserve">We are a mineral exploration business and, if and when we establish mineral reserves, a development company. Mineral exploration is essentially a research activity that does not produce a product. Successful exploration often results in increased project value that can be realized through the optioning or selling of the claimed site to larger companies. We acquire properties which we believe have potential to host economic concentrations of minerals, particularly gold and silver. These acquisitions have and may take the form of unpatented mining claims on federal land, or leasing claims on private property owned by others. An unpatented mining claim is an interest that can be acquired in the mineral rights on open lands of the federally owned public domain. Claims are staked in accordance with the Mining Law of 1872, recorded with the federal government pursuant to laws and regulations established by the Bureau of Land Management (the Federal agency that administers America’s public lands), that grant the holder of the claim a possessory interest in the mineral rights, subject to the paramount title of the United States.</w:t>
            </w:r>
            <w:r>
              <w:t xml:space="preserve"> </w:t>
            </w:r>
            <w:r>
              <w:t xml:space="preserve">6</w:t>
            </w:r>
            <w:r>
              <w:t xml:space="preserve"> </w:t>
            </w:r>
            <w:r>
              <w:t xml:space="preserve">Table of Contents</w:t>
            </w:r>
            <w:r>
              <w:t xml:space="preserve"> </w:t>
            </w:r>
            <w:r>
              <w:t xml:space="preserve">We perform geological work to identify specific drill targets on the properties, and then collect subsurface samples by drilling to confirm the presence of mineralization (the presence of economic minerals in a specific area or geological formation). We may enter into option and joint venture agreements with other companies to fund further exploration and/or development work. It is our plan to focus on assembling a high-quality group of gold and silver exploration prospects using the experience and contacts of the management group. By such prospects, we mean properties that may have been previously identified by third parties, including prior owners such as exploration companies, as mineral prospects with potential for economic mineralization. Often these properties have been sampled, mapped and sometimes drilled, usually with indefinite results. Accordingly, such acquired projects will either have some prior exploration history or will have strong similarity to a recognized geologic ore deposit model. We place geographic emphasis on the western United States, and Nevada in particular.</w:t>
            </w:r>
            <w:r>
              <w:t xml:space="preserve"> </w:t>
            </w:r>
            <w:r>
              <w:t xml:space="preserve">The focus of our activity has been to acquire properties that we believe to be undervalued, including those that we believe to hold previously unrecognized mineral potential. Properties have been acquired through the location of unpatented mining claims (which allow the claimholder the right to mine the minerals without holding title to the property), or by negotiating lease/option agreements. Our President and CEO, Patrick Highsmith, our Vice President Exploration, Dr. Steven Osterberg, and our CFO, Ted Sharp, as well as our Directors, have experience in evaluating, staking and filing unpatented mining claims, and in negotiating and preparing transactional agreements in connection with those mining claims, including option and JV or mineral lease agreements.</w:t>
            </w:r>
            <w:r>
              <w:t xml:space="preserve"> </w:t>
            </w:r>
            <w:r>
              <w:t xml:space="preserve">The geologic potential and ore deposit models have been defined and specific drill targets identified on the majority of our properties. Our property evaluation process involves using geologic fieldwork to perform an initial evaluation of a property. If the evaluation is positive, we seek to acquire it, either by staking unpatented mining claims on open public domain, or by leasing or optioning the property from the owner of private property or the owner of unpatented claims. Once acquired, we then typically make a more detailed evaluation of the property. This detailed evaluation involves expenditures for exploration work which may include rock and soil sampling, geologic mapping, geophysics, trenching, drilling, or other means to determine if economic mineralization is present on the property.</w:t>
            </w:r>
            <w:r>
              <w:t xml:space="preserve"> </w:t>
            </w:r>
            <w:r>
              <w:t xml:space="preserve">Portions of our mineral properties at September 30, 2023 are owned by third parties and leased to us, or carry a financial commitment from us, as outlined in the following table:</w:t>
            </w:r>
            <w:r>
              <w:t xml:space="preserve"> </w:t>
            </w:r>
            <w:r>
              <w:t xml:space="preserve">Property Name</w:t>
            </w:r>
            <w:r>
              <w:t xml:space="preserve"> </w:t>
            </w:r>
            <w:r>
              <w:t xml:space="preserve">Third Party</w:t>
            </w:r>
            <w:r>
              <w:t xml:space="preserve"> </w:t>
            </w:r>
            <w:r>
              <w:t xml:space="preserve">Number of Claims</w:t>
            </w:r>
            <w:r>
              <w:t xml:space="preserve"> </w:t>
            </w:r>
            <w:r>
              <w:t xml:space="preserve">Area</w:t>
            </w:r>
            <w:r>
              <w:t xml:space="preserve"> </w:t>
            </w:r>
            <w:r>
              <w:t xml:space="preserve">Agreements/</w:t>
            </w:r>
            <w:r>
              <w:t xml:space="preserve"> </w:t>
            </w:r>
            <w:r>
              <w:t xml:space="preserve">Royalties</w:t>
            </w:r>
            <w:r>
              <w:t xml:space="preserve"> </w:t>
            </w:r>
            <w:r>
              <w:t xml:space="preserve">Lookout Mountain (Eureka)</w:t>
            </w:r>
            <w:r>
              <w:t xml:space="preserve"> </w:t>
            </w:r>
            <w:r>
              <w:t xml:space="preserve">Rocky Canyon Mining Company</w:t>
            </w:r>
            <w:r>
              <w:t xml:space="preserve"> </w:t>
            </w:r>
            <w:r>
              <w:t xml:space="preserve">373</w:t>
            </w:r>
            <w:r>
              <w:t xml:space="preserve"> </w:t>
            </w:r>
            <w:r>
              <w:t xml:space="preserve">6,368 acres</w:t>
            </w:r>
            <w:r>
              <w:t xml:space="preserve"> </w:t>
            </w:r>
            <w:r>
              <w:t xml:space="preserve">3.5% NSR + 1.5% NSR capped at $1.5 million (excludes Trevor and Dave claims); 20-year lease term commencing June 1, 2008; annual advanced royalty payment of $72,000.</w:t>
            </w:r>
            <w:r>
              <w:t xml:space="preserve"> </w:t>
            </w:r>
            <w:r>
              <w:t xml:space="preserve">Silverado</w:t>
            </w:r>
            <w:r>
              <w:t xml:space="preserve"> </w:t>
            </w:r>
            <w:r>
              <w:t xml:space="preserve">Silver International</w:t>
            </w:r>
            <w:r>
              <w:t xml:space="preserve"> </w:t>
            </w:r>
            <w:r>
              <w:t xml:space="preserve">10</w:t>
            </w:r>
            <w:r>
              <w:t xml:space="preserve"> </w:t>
            </w:r>
            <w:r>
              <w:t xml:space="preserve">100 acres</w:t>
            </w:r>
            <w:r>
              <w:t xml:space="preserve"> </w:t>
            </w:r>
            <w:r>
              <w:t xml:space="preserve">1% NSR + $10,000 Annual lease payment</w:t>
            </w:r>
            <w:r>
              <w:t xml:space="preserve"> </w:t>
            </w:r>
            <w:r>
              <w:t xml:space="preserve">Seven Troughs</w:t>
            </w:r>
            <w:r>
              <w:t xml:space="preserve"> </w:t>
            </w:r>
            <w:r>
              <w:t xml:space="preserve">Slash, Inc.</w:t>
            </w:r>
            <w:r>
              <w:t xml:space="preserve"> </w:t>
            </w:r>
            <w:r>
              <w:t xml:space="preserve">302</w:t>
            </w:r>
            <w:r>
              <w:t xml:space="preserve"> </w:t>
            </w:r>
            <w:r>
              <w:t xml:space="preserve">4,030 acres</w:t>
            </w:r>
            <w:r>
              <w:t xml:space="preserve"> </w:t>
            </w:r>
            <w:r>
              <w:t xml:space="preserve">2% NSR; 50-year lease term commencing December 31, 1975; no annual lease payments;</w:t>
            </w:r>
            <w:r>
              <w:t xml:space="preserve"> </w:t>
            </w:r>
            <w:r>
              <w:t xml:space="preserve">Paiute</w:t>
            </w:r>
            <w:r>
              <w:t xml:space="preserve"> </w:t>
            </w:r>
            <w:r>
              <w:t xml:space="preserve">Nevada Gold Mines by assignment from LAC Minerals (USA) LLC</w:t>
            </w:r>
            <w:r>
              <w:t xml:space="preserve"> </w:t>
            </w:r>
            <w:r>
              <w:t xml:space="preserve">65</w:t>
            </w:r>
            <w:r>
              <w:t xml:space="preserve"> </w:t>
            </w:r>
            <w:r>
              <w:t xml:space="preserve">1,343 acres</w:t>
            </w:r>
            <w:r>
              <w:t xml:space="preserve"> </w:t>
            </w:r>
            <w:r>
              <w:t xml:space="preserve">ICBM Joint Venture Earn-in Agreement expired. Timberline vested property interest at 74.1%.</w:t>
            </w:r>
            <w:r>
              <w:t xml:space="preserve"> </w:t>
            </w:r>
            <w:r>
              <w:t xml:space="preserve">In the case of properties deemed to be of higher risk due to higher cost exploration or those that host commodities of lesser interest to Timberline (such as base metals), we may choose to present them to larger companies for strategic partnerships. Our strategy is intended to maximize the abilities and skills of the management group, conserve capital, and provide superior leverage for investors.</w:t>
            </w:r>
            <w:r>
              <w:t xml:space="preserve"> </w:t>
            </w:r>
            <w:r>
              <w:t xml:space="preserve">7</w:t>
            </w:r>
            <w:r>
              <w:t xml:space="preserve"> </w:t>
            </w:r>
            <w:r>
              <w:t xml:space="preserve">Table of Contents</w:t>
            </w:r>
            <w:r>
              <w:t xml:space="preserve"> </w:t>
            </w:r>
            <w:r>
              <w:t xml:space="preserve">For our gold and silver prospects where drilling costs are reasonable and the likelihood of success seems favorable, we will undertake our own drilling. The target depths, the tenor of mineralization on the surface, and the general geology of the area are all factors that determine the risk as calculated by us in conducting a drilling operation. Mineral exploration is a research and development activity and is, by definition, a high-risk business that relies on numerous untested assumptions and variables. Accordingly, we make our decisions on a project-by-project basis. We do not have any steadfast formula that we apply in determining the reasonableness of drilling costs in comparison to the likelihood of success, i.e., in determining whether the probability of success seems “favorable.”</w:t>
            </w:r>
            <w:r>
              <w:t xml:space="preserve"> </w:t>
            </w:r>
            <w:r>
              <w:t xml:space="preserve">Our Competition</w:t>
            </w:r>
            <w:r>
              <w:t xml:space="preserve"> </w:t>
            </w:r>
            <w:r>
              <w:t xml:space="preserve">The mineral exploration industry is intensely competitive in all phases. In our mineral exploration activities, we compete with many companies possessing greater financial resources and technical facilities than we do for the acquisition of mineral concessions, claims, leases, and other mineral interests as well as for the recruitment and retention of qualified employees, including mining engineers, geologists, and other skilled mining professionals. We use consultants and compete with other mining companies for the man hours of consulting time required to complete our studies. We also compete with other mining companies for exploration and development equipment and services. We must overcome significant barriers to enter into the business of mineral exploration as a result of our limited operating history.</w:t>
            </w:r>
            <w:r>
              <w:t xml:space="preserve"> </w:t>
            </w:r>
            <w:r>
              <w:t xml:space="preserve">We cannot assure the reader that we will be able to compete in any of our business areas effectively with current or future competitors or that the competitive pressures faced by us will not have a material adverse effect on our business, financial condition, and operating results.</w:t>
            </w:r>
            <w:r>
              <w:t xml:space="preserve"> </w:t>
            </w:r>
            <w:r>
              <w:t xml:space="preserve">Our Offices and Other Facilities</w:t>
            </w:r>
            <w:r>
              <w:t xml:space="preserve"> </w:t>
            </w:r>
            <w:r>
              <w:t xml:space="preserve">We currently maintain our administrative office at 9030 North Hess St., Suite 161, Hayden, ID 83835. The telephone number is (866) 513-4859 (toll free) or (208) 664-4859. We also maintain warehouse space in Eureka, NV 89316.</w:t>
            </w:r>
            <w:r>
              <w:t xml:space="preserve"> </w:t>
            </w:r>
            <w:r>
              <w:t xml:space="preserve">Our Employees</w:t>
            </w:r>
            <w:r>
              <w:t xml:space="preserve"> </w:t>
            </w:r>
            <w:r>
              <w:t xml:space="preserve">We are an exploration company and currently have three employees. Management engages independent consultants under contract arrangements as necessary to execute on company strategies at the current early exploration stage of our work and expects to hire staff and additional management as necessary for implementation of our business plan.</w:t>
            </w:r>
            <w:r>
              <w:t xml:space="preserve"> </w:t>
            </w:r>
            <w:r>
              <w:t xml:space="preserve">Regulation</w:t>
            </w:r>
            <w:r>
              <w:t xml:space="preserve"> </w:t>
            </w:r>
            <w:r>
              <w:t xml:space="preserve">The exploration and mining industries operate in a legal environment that requires permits to conduct virtually all operations. These permits are required by local, state, and federal government agencies. Federal agencies that may be involved include: the U.S. Forest Service (USFS), Bureau of Land Management (BLM), Environmental Protection Agency (EPA), National Institute for Occupational Safety and Health (NIOSH), the Mine Safety and Health Administration (MSHA), and the Fish and Wildlife Service (FWS). Individual states also have various environmental regulatory bodies, such as Departments of Ecology. Local authorities, usually counties, also have control over mining activity. The various permits address such issues as prospecting, development, production, labor standards, taxes, occupational health and safety, toxic substances, air quality, water use, water discharge, water quality, noise, dust, wildlife impacts, as well as other environmental and socioeconomic issues.</w:t>
            </w:r>
            <w:r>
              <w:t xml:space="preserve"> </w:t>
            </w:r>
            <w:r>
              <w:t xml:space="preserve">Prior to receiving the necessary permits to explore or mine, a mine operator must comply with all regulatory requirements imposed by all governmental authorities having jurisdiction over the project area. Very often, in order to obtain the requisite permits, the operator must have its land reclamation, restoration, or replacement plans pre-approved. Specifically, the operator must present its plan as to how it intends to restore or replace the affected area. Often all or any of these requirements can cause delays or involve costly studies or alterations of the proposed activity or time frame of operations, in order to mitigate impacts. All of these factors make it more difficult and costlier to operate and have a negative and sometimes fatal impact on the viability of the exploration or mining operation. Finally, it is possible that future changes in these laws or regulations could have a significant impact on our business, causing those activities to be economically re-evaluated at that time. For a more detailed discussion of governmental and environmental regulatory requirements applicable to our mineral exploration business see the section titled “Description of Properties - Overview of Regulatory, Economic and Environmental Issues” below.</w:t>
            </w:r>
            <w:r>
              <w:t xml:space="preserve"> </w:t>
            </w:r>
            <w:r>
              <w:t xml:space="preserve">Reclamation</w:t>
            </w:r>
            <w:r>
              <w:t xml:space="preserve"> </w:t>
            </w:r>
            <w:r>
              <w:t xml:space="preserve">We generally are required to mitigate long-term environmental impacts of prospecting and drilling activities, which are normally minor but may require contouring, re-sloping and re-vegetating roads and drill sites. Similarly, the greater impacts of mining and mineral processing operations must also be mitigated by stabilizing, contouring, re-sloping and re-vegetating various portions of a site after operations are completed. These reclamation efforts are conducted in accordance with detailed plans, which must be reviewed and approved by the appropriate regulatory agencies and may require us to remit cash to pay for reclamation bonds. Should we cease operations without performing the required reclamation, these bonds would cover the cost of reclamation activities to be performed by the regulatory agency.</w:t>
            </w:r>
            <w:r>
              <w:t xml:space="preserve"> </w:t>
            </w:r>
            <w:r>
              <w:t xml:space="preserve">8</w:t>
            </w:r>
            <w:r>
              <w:t xml:space="preserve"> </w:t>
            </w:r>
            <w:r>
              <w:t xml:space="preserve">Table of Contents</w:t>
            </w:r>
            <w:r>
              <w:t xml:space="preserve"> </w:t>
            </w:r>
            <w:r>
              <w:t xml:space="preserve">The Commodities Market</w:t>
            </w:r>
            <w:r>
              <w:t xml:space="preserve"> </w:t>
            </w:r>
            <w:r>
              <w:t xml:space="preserve">The prices of gold and silver have fluctuated during the last several years, with the prices of gold and silver falling to their lowest levels in the past several years in 2015 and early 2016, before rebounding. In 2017, gold traded between approximately $1,151 and $1,346 per ounce. In 2018, gold traded between approximately $1,175 and $1,355 per ounce. In 2019, gold traded between approximately $1,270 and $1,547 per ounce. In 2020, gold traded between approximately $1,474 and $2,067 per ounce. In 2021, gold traded between $1,683 and $1,943 per ounce. In 2022, gold traded between approximately $1,634 and $2,039 per ounce. The price of gold was $2,048 per ounce in April 2023, but traded considerably lower during the year, reaching as low as $1,628 per ounce in November 2022, before rising back up to approximately $2,032 at the time of this writing. All of these gold prices are based on the London PM Fix Price per troy ounce of gold in U.S. dollars.</w:t>
            </w:r>
            <w:r>
              <w:t xml:space="preserve"> </w:t>
            </w:r>
            <w:r>
              <w:t xml:space="preserve">In 2017, silver traded between approximately $15.22 and $18.56 per ounce. In 2018, silver traded between approximately $13.97 and $17.52 per ounce. In 2019, silver traded between approximately $14.38 and $19.42 per ounce. In 2020, silver traded between approximately $12.01 and $28.89 per ounce. In 2021, silver traded between $21.52 and $29.58. In 2022, silver traded between $17.77 and $26.17 per ounce. The price of silver was $18.39 per ounce in October 2022, and continued to rise to a high of $26.02 in April 2023 before settling at approximately $24.19 at the time of this writing. All of these silver prices are based on the London Fix Price per troy ounce of silver in U.S. dollars.</w:t>
            </w:r>
            <w:r>
              <w:t xml:space="preserve"> </w:t>
            </w:r>
            <w:r>
              <w:t xml:space="preserve">Seasonality</w:t>
            </w:r>
            <w:r>
              <w:t xml:space="preserve"> </w:t>
            </w:r>
            <w:r>
              <w:t xml:space="preserve">Seasonality in Nevada is not a material factor to our operations. Certain surface exploration work may need to be conducted when there is no snow on the ground, but it is not a material issue.</w:t>
            </w:r>
          </w:p>
        </w:tc>
        <w:tc>
          <w:tcPr/>
          <w:p>
            <w:pPr>
              <w:pStyle w:val="Compact"/>
            </w:pPr>
            <w:r>
              <w:t xml:space="preserve">ITEM 1A. RISK FACTORS</w:t>
            </w:r>
            <w:r>
              <w:t xml:space="preserve"> </w:t>
            </w:r>
            <w:r>
              <w:t xml:space="preserve">An investment in an exploration stage mining company such as ours involves an unusually high degree of risk, known and unknown, present and potential, including, but not limited to the risks enumerated below.</w:t>
            </w:r>
            <w:r>
              <w:t xml:space="preserve"> </w:t>
            </w:r>
            <w:r>
              <w:t xml:space="preserve">Failure to successfully address the risks and uncertainties described below could have a material adverse effect on our business, financial condition and/or results of operations, and the trading price of our common stock may decline and investors may lose all or part of their investment. We cannot assure you that we will successfully address these risks or other unknown risks that may affect our business.</w:t>
            </w:r>
            <w:r>
              <w:t xml:space="preserve"> </w:t>
            </w:r>
            <w:r>
              <w:t xml:space="preserve">Estimates of mineralized material are forward-looking statements inherently subject to error. Although mineralization and reserve estimates require a high degree of assurance in the underlying data when the estimates are made, unforeseen events and uncontrollable factors can have significant adverse or positive impacts on the estimates. Actual results will inherently differ from estimates. The unforeseen events and uncontrollable factors include: geologic uncertainties including inherent sample variability, metal price fluctuations, variations in mining and processing parameters, and adverse changes in environmental or mining laws and regulations. We cannot accurately predict the timing and effects of variances from estimated values.</w:t>
            </w:r>
            <w:r>
              <w:t xml:space="preserve"> </w:t>
            </w:r>
            <w:r>
              <w:t xml:space="preserve">Risks Related to Our Company</w:t>
            </w:r>
            <w:r>
              <w:t xml:space="preserve"> </w:t>
            </w:r>
            <w:r>
              <w:t xml:space="preserve">Our ability to operate as a going concern is in doubt.</w:t>
            </w:r>
            <w:r>
              <w:t xml:space="preserve"> </w:t>
            </w:r>
            <w:r>
              <w:t xml:space="preserve">The audit opinion and notes that accompany our consolidated financial statements for the year ended September 30, 2023, disclose a ‘going concern’ qualification to our ability to continue in business. The accompanying consolidated financial statements have been prepared under the assumption that we will continue as a going concern. We have incurred losses since our inception. We do not have sufficient cash to fund normal operations and meet all of our obligations for the next 12 months. As of September 30, 2023, we have negative working capital of approximately $108,000. We will need to raise funds in the form of equity or debt financings to fund normal operations for the next 12 months.</w:t>
            </w:r>
            <w:r>
              <w:t xml:space="preserve"> </w:t>
            </w:r>
            <w:r>
              <w:t xml:space="preserve">Full disclosure of the going concern qualification appears in Part II, Item 7 - Financial Condition and Liquidity, and also in the notes to the financial statements (See Note 2 – Summary of Significant Accounting Policies.)</w:t>
            </w:r>
            <w:r>
              <w:t xml:space="preserve"> </w:t>
            </w:r>
            <w:r>
              <w:t xml:space="preserve">9</w:t>
            </w:r>
            <w:r>
              <w:t xml:space="preserve"> </w:t>
            </w:r>
            <w:r>
              <w:t xml:space="preserve">Table of Contents</w:t>
            </w:r>
            <w:r>
              <w:t xml:space="preserve"> </w:t>
            </w:r>
            <w:r>
              <w:t xml:space="preserve">We have a limited operating history on which to base an evaluation of our business and prospects.</w:t>
            </w:r>
            <w:r>
              <w:t xml:space="preserve"> </w:t>
            </w:r>
            <w:r>
              <w:t xml:space="preserve">Although we have been in the business of exploring mineral properties since our incorporation in 1968, we were inactive for many years prior to our new management in 2004. Since 2004, we have not yet established any mineral reserves. As a result, we have not had any revenues from our exploration activities. While we have had a wholly owned drilling services subsidiary which has generated revenues in past fiscal years, we no longer own that business.In addition, our operating history has been restricted to the acquisition and exploration of our mineral properties, and this does not provide a meaningful basis for an evaluation of our prospects if we ever determine that we have a mineral reserve and commence the construction and operation of a mine.Other than through conventional and typical exploration methods and procedures, we have no additional way to evaluate the likelihood of whether our mineral properties contain any mineral reserves or, if they do that they will be operated successfully.As a result, we are subject to all of the risks associated with developing and establishing new mining operations and business enterprises including:</w:t>
            </w:r>
            <w:r>
              <w:t xml:space="preserve"> </w:t>
            </w:r>
            <w:r>
              <w:t xml:space="preserve">·</w:t>
            </w:r>
            <w:r>
              <w:t xml:space="preserve"> </w:t>
            </w:r>
            <w:r>
              <w:t xml:space="preserve">completion of feasibility studies to verify reserves and commercial viability, including the ability to find sufficient gold reserves to support a commercial mining operation;</w:t>
            </w:r>
            <w:r>
              <w:t xml:space="preserve"> </w:t>
            </w:r>
            <w:r>
              <w:t xml:space="preserve">·</w:t>
            </w:r>
            <w:r>
              <w:t xml:space="preserve"> </w:t>
            </w:r>
            <w:r>
              <w:t xml:space="preserve">the timing and cost, which can be considerable, of further exploration, preparing feasibility studies, permitting and construction of infrastructure, mining, and processing facilities;</w:t>
            </w:r>
            <w:r>
              <w:t xml:space="preserve"> </w:t>
            </w:r>
            <w:r>
              <w:t xml:space="preserve">·</w:t>
            </w:r>
            <w:r>
              <w:t xml:space="preserve"> </w:t>
            </w:r>
            <w:r>
              <w:t xml:space="preserve">the availability and costs of drill equipment, exploration personnel, skilled labor, and mining and processing equipment, if required;</w:t>
            </w:r>
            <w:r>
              <w:t xml:space="preserve"> </w:t>
            </w:r>
            <w:r>
              <w:t xml:space="preserve">·</w:t>
            </w:r>
            <w:r>
              <w:t xml:space="preserve"> </w:t>
            </w:r>
            <w:r>
              <w:t xml:space="preserve">compliance with environmental and other governmental approval and permit requirements;</w:t>
            </w:r>
            <w:r>
              <w:t xml:space="preserve"> </w:t>
            </w:r>
            <w:r>
              <w:t xml:space="preserve">·</w:t>
            </w:r>
            <w:r>
              <w:t xml:space="preserve"> </w:t>
            </w:r>
            <w:r>
              <w:t xml:space="preserve">the availability of funds to finance exploration, development, and construction activities, as warranted;</w:t>
            </w:r>
            <w:r>
              <w:t xml:space="preserve"> </w:t>
            </w:r>
            <w:r>
              <w:t xml:space="preserve">·</w:t>
            </w:r>
            <w:r>
              <w:t xml:space="preserve"> </w:t>
            </w:r>
            <w:r>
              <w:t xml:space="preserve">potential opposition from non-governmental organizations, environmental groups, local groups, or local inhabitants which may delay or prevent development activities;</w:t>
            </w:r>
            <w:r>
              <w:t xml:space="preserve"> </w:t>
            </w:r>
            <w:r>
              <w:t xml:space="preserve">·</w:t>
            </w:r>
            <w:r>
              <w:t xml:space="preserve"> </w:t>
            </w:r>
            <w:r>
              <w:t xml:space="preserve">potential increases in exploration, construction, and operating costs due to changes in the cost of fuel, labor, power, materials, and supplies; and</w:t>
            </w:r>
            <w:r>
              <w:t xml:space="preserve"> </w:t>
            </w:r>
            <w:r>
              <w:t xml:space="preserve">·</w:t>
            </w:r>
            <w:r>
              <w:t xml:space="preserve"> </w:t>
            </w:r>
            <w:r>
              <w:t xml:space="preserve">potential shortages of mineral processing, construction, and other facilities-related supplies.</w:t>
            </w:r>
            <w:r>
              <w:t xml:space="preserve"> </w:t>
            </w:r>
            <w:r>
              <w:t xml:space="preserve">The costs, timing, and complexities of exploration, development, and construction activities may be increased by the location of our properties and demand by other mineral exploration and mining companies. It is common in exploration programs to experience unexpected problems and delays during drill programs and, if warranted, development, construction, and mine start-up. Accordingly, our activities may not result in profitable mining operations and we may not succeed in establishing mining operations or profitably producing metals at any of our properties. There is no history upon which to base any assumption as to the likelihood that we will prove successful, and we can provide investors with no assurance that we will generate any operating revenues or ever achieve profitable operations.</w:t>
            </w:r>
            <w:r>
              <w:t xml:space="preserve"> </w:t>
            </w:r>
            <w:r>
              <w:t xml:space="preserve">We have a history of losses and expect to continue to incur losses in the future.</w:t>
            </w:r>
            <w:r>
              <w:t xml:space="preserve"> </w:t>
            </w:r>
            <w:r>
              <w:t xml:space="preserve">We have incurred losses since inception and expect to continue to incur losses in the future. We incurred the following net losses during each of the following periods:</w:t>
            </w:r>
            <w:r>
              <w:t xml:space="preserve"> </w:t>
            </w:r>
            <w:r>
              <w:t xml:space="preserve">·</w:t>
            </w:r>
            <w:r>
              <w:t xml:space="preserve"> </w:t>
            </w:r>
            <w:r>
              <w:t xml:space="preserve">$2,180,344 for the year ended September 30, 2023</w:t>
            </w:r>
            <w:r>
              <w:t xml:space="preserve"> </w:t>
            </w:r>
            <w:r>
              <w:t xml:space="preserve">·</w:t>
            </w:r>
            <w:r>
              <w:t xml:space="preserve"> </w:t>
            </w:r>
            <w:r>
              <w:t xml:space="preserve">$5,961,907 for the year ended September 30, 2022; and</w:t>
            </w:r>
            <w:r>
              <w:t xml:space="preserve"> </w:t>
            </w:r>
            <w:r>
              <w:t xml:space="preserve">·</w:t>
            </w:r>
            <w:r>
              <w:t xml:space="preserve"> </w:t>
            </w:r>
            <w:r>
              <w:t xml:space="preserve">$4,707,815 for the year ended September 30, 2021</w:t>
            </w:r>
            <w:r>
              <w:t xml:space="preserve"> </w:t>
            </w:r>
            <w:r>
              <w:t xml:space="preserve">We had an accumulated deficit of approximately $76.5 million as of September 30, 2023. We expect to continue to incur losses unless and until such time as one of our properties enters into commercial production and generates sufficient revenues to fund continuing operations. We recognize that if we are unable to generate significant revenues from mining operations and dispositions of our properties, we will not be able to earn profits or continue operations. At this early stage of our operation, we also expect to face the risks, uncertainties, expenses, and difficulties frequently encountered by companies at the start-up stage of their business development. We cannot be sure that we will be successful in addressing these risks and uncertainties and our failure to do so could have a materially adverse effect on our financial condition.</w:t>
            </w:r>
            <w:r>
              <w:t xml:space="preserve"> </w:t>
            </w:r>
            <w:r>
              <w:t xml:space="preserve">Risks Associated with Mining and Exploration</w:t>
            </w:r>
            <w:r>
              <w:t xml:space="preserve"> </w:t>
            </w:r>
            <w:r>
              <w:t xml:space="preserve">All of our properties are in the exploration stage. There is no assurance that we can establish the existence of any mineral reserve on any of our properties in commercially exploitable quantities. Until we can do so, we cannot earn any revenues from these properties, and if we do not do so, and are unable to joint venture or sell the properties, we will lose all of the funds that we expend on exploration. If we do not discover any mineral reserve in a commercially exploitable quantity, our business could fail.</w:t>
            </w:r>
            <w:r>
              <w:t xml:space="preserve"> </w:t>
            </w:r>
            <w:r>
              <w:t xml:space="preserve">We have not established that any of our mineral properties contain any mineral reserves according to recognized reserve guidelines, nor can there be any assurance that we will be able to do so. A mineral reserve is defined by the SEC in its Regulation S-K subpart 1300 as that part of a mineral deposit, which could be economically and legally extracted or produced at the time of the reserve determination. The probability of an individual prospect ever having a "reserve" that meets the requirements of the SEC's Regulation S-K subpart 1300 is remote. Even if we do eventually discover a mineral reserve on one or more of our properties, there can be no assurance that they can be developed into producing mines to extract those minerals. Both mineral exploration and development involve a high degree of risk, and few properties that are explored are ultimately developed into producing mines.</w:t>
            </w:r>
            <w:r>
              <w:t xml:space="preserve"> </w:t>
            </w:r>
            <w:r>
              <w:t xml:space="preserve">10</w:t>
            </w:r>
            <w:r>
              <w:t xml:space="preserve"> </w:t>
            </w:r>
            <w:r>
              <w:t xml:space="preserve">Table of Contents</w:t>
            </w:r>
            <w:r>
              <w:t xml:space="preserve"> </w:t>
            </w:r>
            <w:r>
              <w:t xml:space="preserve">The commercial viability of an established mineral deposit will depend on a number of factors including, by way of example, the size, grade, and other attributes of the mineral deposit, the proximity of the mineral deposit to infrastructure such as a smelter, roads, a point for shipping, government regulation, and market prices. Most of these factors will be beyond our control, and any of them could increase costs and make extraction of any identified mineral deposit unprofitable.</w:t>
            </w:r>
            <w:r>
              <w:t xml:space="preserve"> </w:t>
            </w:r>
            <w:r>
              <w:t xml:space="preserve">Mineral operations are subject to applicable law and government regulation. Even if we discover a mineral reserve in a commercially exploitable quantity, these laws and regulations could restrict or prohibit the exploitation of that mineral reserve. If we cannot exploit any mineral reserve that we might discover on our properties, our business may fail.</w:t>
            </w:r>
            <w:r>
              <w:t xml:space="preserve"> </w:t>
            </w:r>
            <w:r>
              <w:t xml:space="preserve">Both mineral exploration and extraction require permits from various foreign, federal, state, provincial, and local governmental authorities and are governed by laws and regulations, including those with respect to prospecting, mine development, mineral production, transport, export, taxation, labor standards, occupational health, waste disposal, toxic substances, land use, environmental protection, mine safety, and other matters. Regarding our future ground disturbing activity on federal land, we will be required to obtain a permit from the US Forest Service or the Bureau of Land Management prior to commencing exploration. There can be no assurance that we will be able to obtain or maintain any of the permits required for the continued exploration of our mineral properties or for the construction and operation of a mine on our properties at economically viable costs. If we cannot accomplish these objectives, our business could face difficulty and/or fail.</w:t>
            </w:r>
            <w:r>
              <w:t xml:space="preserve"> </w:t>
            </w:r>
            <w:r>
              <w:t xml:space="preserve">We believe that we are in compliance with all material laws and regulations that currently apply to our activities, but there can be no assurance that we can continue to do so. Current laws and regulations could be amended, and we might not be able to comply with them, as amended. Further, there can be no assurance that we will be able to obtain or maintain all permits necessary for our future operations, or that we will be able to obtain them on reasonable terms. To the extent such approvals are required and are not obtained, we may be delayed or prohibited from proceeding with planned exploration or development of our mineral properties.</w:t>
            </w:r>
            <w:r>
              <w:t xml:space="preserve"> </w:t>
            </w:r>
            <w:r>
              <w:t xml:space="preserve">Environmental hazards unknown to us, which have been caused by previous or existing owners or operators of the properties, may exist on the properties in which we hold an interest. In past years, we have been engaged in exploration in northern Idaho, which is currently the site of a Federal Superfund cleanup project. Although we are no longer involved in this or other areas at present, it is possible that environmental cleanup or other environmental restoration procedures could remain to be completed or mandated by law, causing unpredictable and unexpected liabilities to arise. At the date of this Annual Report, we are not aware of any environmental issues or litigation relating to any of our current or former properties.</w:t>
            </w:r>
            <w:r>
              <w:t xml:space="preserve"> </w:t>
            </w:r>
            <w:r>
              <w:t xml:space="preserve">Future legislation and administrative changes to the mining laws could prevent us from exploring our properties.</w:t>
            </w:r>
            <w:r>
              <w:t xml:space="preserve"> </w:t>
            </w:r>
            <w:r>
              <w:t xml:space="preserve">New state and U.S. federal laws and regulations, amendments to existing laws and regulations, administrative interpretation of existing laws and regulations, or more stringent enforcement of existing laws and regulations, could have a material adverse impact on our ability to conduct exploration and mining activities. Any change in the regulatory structure making it more expensive to engage in mining activities could cause us to cease operations.</w:t>
            </w:r>
            <w:r>
              <w:t xml:space="preserve"> </w:t>
            </w:r>
            <w:r>
              <w:t xml:space="preserve">Regulations and pending legislation governing issues involving climate change could result in increased operating costs, which could have a material adverse effect on our business.</w:t>
            </w:r>
            <w:r>
              <w:t xml:space="preserve"> </w:t>
            </w:r>
            <w:r>
              <w:t xml:space="preserve">A number of governments or governmental bodies have introduced or are contemplating regulatory changes in response to various climate change interest groups and the potential impact of climate change. Legislation and increased regulation regarding climate change could impose significant costs on us, our venture partners, and our suppliers, including costs related to increased energy requirements, capital equipment, environmental monitoring and reporting, and other costs to comply with such regulations. Any adopted future climate change regulations could also negatively impact our ability to compete with companies situated in areas not subject to such limitations. Given the political significance and uncertainty around the impact of climate change and how it should be dealt with, we cannot predict how legislation and regulation will affect our financial condition, operating performance and ability to compete. Furthermore, even without such regulation, increased awareness and any adverse publicity in the global marketplace about potential impacts on climate change by us or other companies in our industry could harm our reputation. The potential physical impacts of climate change on our operations are highly uncertain and would be particular to the geographic circumstances in areas in which we operate. These may include changes in rainfall and storm patterns and intensities, water shortages, changing sea levels, and changing temperatures. These impacts may adversely impact the cost, production, and financial performance of our operations.</w:t>
            </w:r>
            <w:r>
              <w:t xml:space="preserve"> </w:t>
            </w:r>
            <w:r>
              <w:t xml:space="preserve">11</w:t>
            </w:r>
            <w:r>
              <w:t xml:space="preserve"> </w:t>
            </w:r>
            <w:r>
              <w:t xml:space="preserve">Table of Contents</w:t>
            </w:r>
            <w:r>
              <w:t xml:space="preserve"> </w:t>
            </w:r>
            <w:r>
              <w:t xml:space="preserve">If we establish the existence of a mineral reserve on any of our properties in a commercially exploitable quantity, we will require additional capital in order to develop the property into a producing mine. If we cannot raise this additional capital, we will not be able to exploit the reserve, and our business could fail.</w:t>
            </w:r>
            <w:r>
              <w:t xml:space="preserve"> </w:t>
            </w:r>
            <w:r>
              <w:t xml:space="preserve">If we do discover mineral reserves in commercially exploitable quantities on any of our properties, we will be required to expend substantial sums of money to establish the extent of the reserve, develop processes to extract it, and develop extraction and processing facilities and infrastructure. There can be no assurance that a mineral reserve will be large enough to justify commercial operations, nor can there be any assurance that we will be able to raise the funds required for development on a timely basis. If we cannot raise the necessary capital or complete the necessary facilities and infrastructure, our business may fail.</w:t>
            </w:r>
            <w:r>
              <w:t xml:space="preserve"> </w:t>
            </w:r>
            <w:r>
              <w:t xml:space="preserve">Land reclamation requirements for our properties may be burdensome and expensive.</w:t>
            </w:r>
            <w:r>
              <w:t xml:space="preserve"> </w:t>
            </w:r>
            <w:r>
              <w:t xml:space="preserve">Although variable depending on location and the governing authority, land reclamation requirements are generally imposed on mineral exploration companies (as well as companies with mining operations) in order to minimize long-term effects of land disturbance. Reclamation may include requirements to control dispersion of potentially deleterious effluents and re-establish pre-disturbance landforms and vegetation.</w:t>
            </w:r>
            <w:r>
              <w:t xml:space="preserve"> </w:t>
            </w:r>
            <w:r>
              <w:t xml:space="preserve">In order to carry out reclamation obligations imposed on us in connection with our potential development activities, we must allocate financial resources that might otherwise be spent on further exploration and development programs. We plan to set up a provision for our reclamation obligations on our properties, as appropriate, but this provision may not be adequate. If we are required to carry out unanticipated reclamation work, our financial position could be adversely affected.</w:t>
            </w:r>
            <w:r>
              <w:t xml:space="preserve"> </w:t>
            </w:r>
            <w:r>
              <w:t xml:space="preserve">Mining exploration and development are inherently hazardous and subject to conditions or events beyond our control, which could have a material adverse effect on our business and plans.</w:t>
            </w:r>
            <w:r>
              <w:t xml:space="preserve"> </w:t>
            </w:r>
            <w:r>
              <w:t xml:space="preserve">Mining and mineral exploration involves various types of risks and hazards, including:</w:t>
            </w:r>
            <w:r>
              <w:t xml:space="preserve"> </w:t>
            </w:r>
            <w:r>
              <w:t xml:space="preserve">·</w:t>
            </w:r>
            <w:r>
              <w:t xml:space="preserve"> </w:t>
            </w:r>
            <w:r>
              <w:t xml:space="preserve">environmental hazards;</w:t>
            </w:r>
            <w:r>
              <w:t xml:space="preserve"> </w:t>
            </w:r>
            <w:r>
              <w:t xml:space="preserve">·</w:t>
            </w:r>
            <w:r>
              <w:t xml:space="preserve"> </w:t>
            </w:r>
            <w:r>
              <w:t xml:space="preserve">power outages;</w:t>
            </w:r>
            <w:r>
              <w:t xml:space="preserve"> </w:t>
            </w:r>
            <w:r>
              <w:t xml:space="preserve">·</w:t>
            </w:r>
            <w:r>
              <w:t xml:space="preserve"> </w:t>
            </w:r>
            <w:r>
              <w:t xml:space="preserve">metallurgical and other processing problems;</w:t>
            </w:r>
            <w:r>
              <w:t xml:space="preserve"> </w:t>
            </w:r>
            <w:r>
              <w:t xml:space="preserve">·</w:t>
            </w:r>
            <w:r>
              <w:t xml:space="preserve"> </w:t>
            </w:r>
            <w:r>
              <w:t xml:space="preserve">unusual or unexpected geological formations;</w:t>
            </w:r>
            <w:r>
              <w:t xml:space="preserve"> </w:t>
            </w:r>
            <w:r>
              <w:t xml:space="preserve">·</w:t>
            </w:r>
            <w:r>
              <w:t xml:space="preserve"> </w:t>
            </w:r>
            <w:r>
              <w:t xml:space="preserve">personal injury, flooding, fire, explosions, cave-ins, landslides, and rock-bursts;</w:t>
            </w:r>
            <w:r>
              <w:t xml:space="preserve"> </w:t>
            </w:r>
            <w:r>
              <w:t xml:space="preserve">·</w:t>
            </w:r>
            <w:r>
              <w:t xml:space="preserve"> </w:t>
            </w:r>
            <w:r>
              <w:t xml:space="preserve">inability to obtain suitable or adequate machinery, equipment, or labor;</w:t>
            </w:r>
            <w:r>
              <w:t xml:space="preserve"> </w:t>
            </w:r>
            <w:r>
              <w:t xml:space="preserve">·</w:t>
            </w:r>
            <w:r>
              <w:t xml:space="preserve"> </w:t>
            </w:r>
            <w:r>
              <w:t xml:space="preserve">metals losses;</w:t>
            </w:r>
            <w:r>
              <w:t xml:space="preserve"> </w:t>
            </w:r>
            <w:r>
              <w:t xml:space="preserve">·</w:t>
            </w:r>
            <w:r>
              <w:t xml:space="preserve"> </w:t>
            </w:r>
            <w:r>
              <w:t xml:space="preserve">fluctuations in exploration, development, and production costs;</w:t>
            </w:r>
            <w:r>
              <w:t xml:space="preserve"> </w:t>
            </w:r>
            <w:r>
              <w:t xml:space="preserve">·</w:t>
            </w:r>
            <w:r>
              <w:t xml:space="preserve"> </w:t>
            </w:r>
            <w:r>
              <w:t xml:space="preserve">labor disputes;</w:t>
            </w:r>
            <w:r>
              <w:t xml:space="preserve"> </w:t>
            </w:r>
            <w:r>
              <w:t xml:space="preserve">·</w:t>
            </w:r>
            <w:r>
              <w:t xml:space="preserve"> </w:t>
            </w:r>
            <w:r>
              <w:t xml:space="preserve">unanticipated variations in grade;</w:t>
            </w:r>
            <w:r>
              <w:t xml:space="preserve"> </w:t>
            </w:r>
            <w:r>
              <w:t xml:space="preserve">·</w:t>
            </w:r>
            <w:r>
              <w:t xml:space="preserve"> </w:t>
            </w:r>
            <w:r>
              <w:t xml:space="preserve">mechanical equipment failure; and</w:t>
            </w:r>
            <w:r>
              <w:t xml:space="preserve"> </w:t>
            </w:r>
            <w:r>
              <w:t xml:space="preserve">·</w:t>
            </w:r>
            <w:r>
              <w:t xml:space="preserve"> </w:t>
            </w:r>
            <w:r>
              <w:t xml:space="preserve">periodic interruptions due to inclement or hazardous weather conditions.</w:t>
            </w:r>
            <w:r>
              <w:t xml:space="preserve"> </w:t>
            </w:r>
            <w:r>
              <w:t xml:space="preserve">These risks could result in damage to, or destruction of, mineral properties, production facilities, or other properties, personal injury, environmental damage, delays in mining, increased production costs, monetary losses, and possible legal liability.</w:t>
            </w:r>
            <w:r>
              <w:t xml:space="preserve"> </w:t>
            </w:r>
            <w:r>
              <w:t xml:space="preserve">Mineral exploration and development is subject to extraordinary operating risks. We do not currently insure against these risks. In the event of a cave-in or similar occurrence, our liability may exceed our resources, which would have an adverse impact on our Company.</w:t>
            </w:r>
            <w:r>
              <w:t xml:space="preserve"> </w:t>
            </w:r>
            <w:r>
              <w:t xml:space="preserve">Mineral exploration, development, and production involve many risks, which even a combination of experience, knowledge, and careful evaluation may not be able to overcome. Our operations will be subject to all the hazards and risks inherent in the exploration, development and production of minerals, including liability for pollution, cave-ins or similar hazards against which we cannot insure or against which we may elect not to insure. Any such event could result in work stoppages and damage to property, including damage to the environment. We do not currently maintain any insurance coverage against these operating hazards. The payment of any liabilities that arise from any such occurrence could have a material adverse impact on our Company.</w:t>
            </w:r>
            <w:r>
              <w:t xml:space="preserve"> </w:t>
            </w:r>
            <w:r>
              <w:t xml:space="preserve">12</w:t>
            </w:r>
            <w:r>
              <w:t xml:space="preserve"> </w:t>
            </w:r>
            <w:r>
              <w:t xml:space="preserve">Table of Contents</w:t>
            </w:r>
            <w:r>
              <w:t xml:space="preserve"> </w:t>
            </w:r>
            <w:r>
              <w:t xml:space="preserve">Increased costs could affect our financial condition.</w:t>
            </w:r>
            <w:r>
              <w:t xml:space="preserve"> </w:t>
            </w:r>
            <w:r>
              <w:t xml:space="preserve">We anticipate that costs at our projects that we may explore or develop will frequently be subject to variation from one year to the next due to a number of factors, such as changing ore grade, metallurgy, and revisions to mine plans, if any, in response to the physical shape and location of the ore body. In addition, costs are affected by the price of commodities such as fuel, rubber, and electricity. Such commodities are at times subject to volatile price movements, including increases that could make production at certain operations less profitable. A material increase in costs at any significant location could have a significant effect on our profitability.</w:t>
            </w:r>
            <w:r>
              <w:t xml:space="preserve"> </w:t>
            </w:r>
            <w:r>
              <w:t xml:space="preserve">A shortage of equipment and supplies could adversely affect our ability to operate our business.</w:t>
            </w:r>
            <w:r>
              <w:t xml:space="preserve"> </w:t>
            </w:r>
            <w:r>
              <w:t xml:space="preserve">We are dependent on various supplies and equipment to carry out our mining exploration and, if warranted, development operations. Any shortage of such supplies, equipment, and parts could have a material adverse effect on our ability to carry out our operations and, therefore, limit or increase the cost of production.</w:t>
            </w:r>
            <w:r>
              <w:t xml:space="preserve"> </w:t>
            </w:r>
            <w:r>
              <w:t xml:space="preserve">Estimates of mineralized material are subject to evaluation uncertainties that could result in project failure.</w:t>
            </w:r>
            <w:r>
              <w:t xml:space="preserve"> </w:t>
            </w:r>
            <w:r>
              <w:t xml:space="preserve">Our exploration and future mining operations, if any, are and would be faced with risks associated with being able to accurately predict the quantity and quality of mineralized material within the earth using statistical sampling techniques. Estimates of any mineralized material on any of our properties would be made using samples obtained from appropriately placed trenches, test pits, and underground workings and intelligently designed drilling. There is an inherent variability of assays between check and duplicate samples taken adjacent to each other and between sampling points that cannot be reasonably eliminated. Additionally, there also may be unknown geologic details that have not been identified or correctly appreciated at the current level of accumulated knowledge about our properties. This could result in uncertainties that cannot be reasonably eliminated from the process of estimating mineralized material. If these estimates were to prove to be unreliable, we could implement an exploitation plan that may not lead to commercially viable operations in the future.</w:t>
            </w:r>
            <w:r>
              <w:t xml:space="preserve"> </w:t>
            </w:r>
            <w:r>
              <w:t xml:space="preserve">Mineral prices are subject to dramatic and unpredictable fluctuations.</w:t>
            </w:r>
            <w:r>
              <w:t xml:space="preserve"> </w:t>
            </w:r>
            <w:r>
              <w:t xml:space="preserve">We expect to derive revenues, if any, from the eventual extraction and sale of precious metals such as gold and silver. The price of those commodities has fluctuated widely in recent years, and is affected by numerous factors beyond our control, including international, economic and political trends, expectations of inflation, currency exchange fluctuations, interest rates, global or regional consumptive patterns, speculative activities and increased production due to new extraction developments, and improved extraction and production methods. The effect of these factors on the price of precious metals, and, therefore, the economic viability of any of our exploration projects, cannot accurately be predicted.</w:t>
            </w:r>
            <w:r>
              <w:t xml:space="preserve"> </w:t>
            </w:r>
            <w:r>
              <w:t xml:space="preserve">The mining industry is highly competitive and there is no assurance that we will continue to be successful in acquiring mineral claims. If we cannot continue to acquire properties to explore for mineralized material, we may be required to reduce or cease exploration activity and/or operations.</w:t>
            </w:r>
            <w:r>
              <w:t xml:space="preserve"> </w:t>
            </w:r>
            <w:r>
              <w:t xml:space="preserve">The mineral exploration, development, and production industry is largely fragmented. We compete with other exploration companies looking for mineral properties and the minerals that can be produced from them. While we compete with other exploration companies in the effort to locate and license mineral properties, we do not compete with them for the removal or sales of mineral products from our properties if we should eventually discover the presence of them in quantities sufficient to make production economically feasible. Readily available markets exist worldwide for the sale of gold and other mineral products. Therefore, we will likely be able to sell any gold or mineral products that we identify and produce.</w:t>
            </w:r>
            <w:r>
              <w:t xml:space="preserve"> </w:t>
            </w:r>
            <w:r>
              <w:t xml:space="preserve">There are hundreds of public and private companies that are actively engaged in mineral exploration. A representative sample of exploration companies that are similar to us in size, financial resources, and primary objective include such publicly traded mineral exploration companies as Allegiant Gold Ltd. (AUAU.V), NuLegacy Gold Corp (NUG.V), Comstock Mining Inc. (LODE), Viva Gold Corp (VAUCF), Nevgold Corp (NAUFF), Ridgeline Minerals Corp (RDGMF) and Summa Silver Corp (SSVR).</w:t>
            </w:r>
            <w:r>
              <w:t xml:space="preserve"> </w:t>
            </w:r>
            <w:r>
              <w:t xml:space="preserve">Many of our competitors have greater financial resources and technical facilities. Accordingly, we will attempt to compete primarily through the knowledge and experience of our management. This competition could adversely affect our ability to acquire suitable prospects for exploration in the future. Accordingly, there can be no assurance that we will acquire any interest in additional mineral properties that might yield reserves or result in commercial mining operations.</w:t>
            </w:r>
            <w:r>
              <w:t xml:space="preserve"> </w:t>
            </w:r>
            <w:r>
              <w:t xml:space="preserve">13</w:t>
            </w:r>
            <w:r>
              <w:t xml:space="preserve"> </w:t>
            </w:r>
            <w:r>
              <w:t xml:space="preserve">Table of Contents</w:t>
            </w:r>
            <w:r>
              <w:t xml:space="preserve"> </w:t>
            </w:r>
            <w:r>
              <w:t xml:space="preserve">Third parties may challenge our rights to our mineral properties, or the agreements that permit us to explore our properties may expire, if we fail to timely renew them and pay the required fees.</w:t>
            </w:r>
            <w:r>
              <w:t xml:space="preserve"> </w:t>
            </w:r>
            <w:r>
              <w:t xml:space="preserve">In connection with the acquisition of our mineral properties, we sometimes conduct only limited reviews of title and related matters and obtain certain representations regarding ownership. These limited reviews do not necessarily preclude third parties from challenging our title and, furthermore, our title may be challenged as defective. Consequently, there can be no assurance that we hold good and marketable title to all of our mining concessions and mining claims. If any of our concessions or claims were challenged, we could incur significant costs and lose valuable time in defending such a challenge. These costs or an adverse ruling with regards to any challenge of our titles could have a material adverse effect on our financial position or results of operations. There can be no assurance that any such disputes or challenges will be resolved in our favor.</w:t>
            </w:r>
            <w:r>
              <w:t xml:space="preserve"> </w:t>
            </w:r>
            <w:r>
              <w:t xml:space="preserve">We are not aware of challenges to the location or area of any of our mining claims. There is, however, no guarantee that title to the claims will not be challenged or impugned in the future.</w:t>
            </w:r>
            <w:r>
              <w:t xml:space="preserve"> </w:t>
            </w:r>
            <w:r>
              <w:t xml:space="preserve">Acquisitions and integration issues may expose us to risks.</w:t>
            </w:r>
            <w:r>
              <w:t xml:space="preserve"> </w:t>
            </w:r>
            <w:r>
              <w:t xml:space="preserve">Our business strategy includes making targeted acquisitions. Any acquisition that we make may be of a significant size, may change the scale of our business and operations, and may expose us to new geographic, political, operating, financial, and geological risks. Our success in our acquisition activities depends on our ability to identify suitable acquisition candidates, negotiate acceptable terms for any such acquisition and integrate the acquired operations successfully with our own. Any acquisitions would be accompanied by risks. For example, there may be significant decreases in commodity prices after we have committed to complete the transaction and have established the purchase price or exchange ratio; a potential mineralized property may prove to be below expectations; we may have difficulty integrating and assimilating the operations and personnel of any acquired companies, realizing anticipated synergies and maximizing the financial and strategic position of the combined enterprise and maintaining uniform standards, policies and controls across the organization; the integration of the acquired business or assets may disrupt our ongoing business and our relationships with employees, customers, suppliers, and contractors; and the acquired business or assets may have unknown liabilities which may be significant. If we choose to use equity securities as consideration for such an acquisition, existing shareholders may suffer dilution. Alternatively, we may choose to finance any such acquisition with our existing resources. There can be no assurance that we would be successful in overcoming these risks or any other problems encountered in connection with such acquisitions.</w:t>
            </w:r>
            <w:r>
              <w:t xml:space="preserve"> </w:t>
            </w:r>
            <w:r>
              <w:t xml:space="preserve">Joint ventures and other partnerships in relation to our properties may expose us to risks.</w:t>
            </w:r>
            <w:r>
              <w:t xml:space="preserve"> </w:t>
            </w:r>
            <w:r>
              <w:t xml:space="preserve">We have in the past, and may in the future, entered into joint ventures or other partnership arrangements with other parties in relation to the exploration, development, and production of certain of the properties in which we have an interest. Joint ventures can often require unanimous approval of the parties to the joint venture or their representatives for certain fundamental decisions such as an increase or reduction of registered capital, merger, division, dissolution, amendments of constating documents, and the pledge of joint venture assets, which means that each joint venture party may have a veto right with respect to such decisions which could lead to a deadlock in the operations of the joint venture or partnership. Further, we may be unable to exert control over strategic decisions made in respect of such properties. Any failure of such other companies to meet their obligations to us or to third parties, or any disputes with respect to the parties' respective rights and obligations, could have a material adverse effect on the joint ventures or their properties and, therefore, could have a material adverse effect on our results of operations, financial performance, cash flows, and the price of our common stock.</w:t>
            </w:r>
            <w:r>
              <w:t xml:space="preserve"> </w:t>
            </w:r>
            <w:r>
              <w:t xml:space="preserve">Risks Related to Our Company</w:t>
            </w:r>
            <w:r>
              <w:t xml:space="preserve"> </w:t>
            </w:r>
            <w:r>
              <w:t xml:space="preserve">Minimal staffing may be reasonably likely to materially affect the Company’s internal control over financial reporting</w:t>
            </w:r>
            <w:r>
              <w:t xml:space="preserve"> </w:t>
            </w:r>
            <w:r>
              <w:t xml:space="preserve">With a very limited staff, it is difficult to maintain appropriate segregation of duties in the initiating and recording of transactions, thereby creating a segregation of duties weakness. Due to the significance of segregation of duties to the preparation of reliable financial statements, this weakness may result in more than a remote likelihood that a material misstatement or lack of disclosure within the annual or interim financial statements not be prevented or detected.</w:t>
            </w:r>
            <w:r>
              <w:t xml:space="preserve"> </w:t>
            </w:r>
            <w:r>
              <w:t xml:space="preserve">Conflicts of Interest</w:t>
            </w:r>
            <w:r>
              <w:t xml:space="preserve"> </w:t>
            </w:r>
            <w:r>
              <w:t xml:space="preserve">Certain of our officers and directors may be or become associated with other businesses, including natural resource companies that acquire interests in mineral properties. Such associations may give rise to conflicts of interest from time to time. Our directors are required by Delaware’s General Corporation Law to act honestly and in good faith with a view to our best interests and to disclose any interest which they may have in any of our projects or opportunities. In general, if a conflict of interest arises at a meeting of the board of directors, any director in a conflict will disclose his interest and abstain from voting on such matter or, if he does vote, his vote will not be counted.</w:t>
            </w:r>
            <w:r>
              <w:t xml:space="preserve"> </w:t>
            </w:r>
            <w:r>
              <w:t xml:space="preserve">14</w:t>
            </w:r>
            <w:r>
              <w:t xml:space="preserve"> </w:t>
            </w:r>
            <w:r>
              <w:t xml:space="preserve">Table of Contents</w:t>
            </w:r>
            <w:r>
              <w:t xml:space="preserve"> </w:t>
            </w:r>
            <w:r>
              <w:t xml:space="preserve">We have not adopted any separate formal corporate policy regarding conflicts of interest; however, other corporate governance measures have been adopted, such as creating a directors’ audit committee requiring independent directors. Additionally, our Code of Ethics does address areas of possible conflicts of interest. As of the date of filing of this report, we had two independent directors on our board of directors (Leigh Freeman and Pamela Saxton). We have formed three committees to ensure our legal compliance. We established an independent audit committee consisting of two independent directors, both of whom were determined to be “financially literate” and one of whom was designated as the “financial expert.” We also formed a compensation committee comprised entirely of independent directors and a corporate governance and nominating committee, the majority of which is comprised of independent directors. At this time, we feel that these committees and our Code of Ethics provide sufficient corporate governance for our purposes.</w:t>
            </w:r>
            <w:r>
              <w:t xml:space="preserve"> </w:t>
            </w:r>
            <w:r>
              <w:t xml:space="preserve">Dependence on Key Management Employees and Contractors</w:t>
            </w:r>
            <w:r>
              <w:t xml:space="preserve"> </w:t>
            </w:r>
            <w:r>
              <w:t xml:space="preserve">Our ability to continue our exploration and development activities and to develop a competitive edge in the marketplace depends, in large part, on our ability to attract and maintain qualified key management personnel. Competition for such personnel is intense, and there can be no assurance that we will be able to attract and retain such personnel. Our development now and in the future will depend on the efforts of key management figures such as Patrick Highsmith, Steven Osterberg, and Ted Sharp. The loss of any of these key people could have a material adverse effect on our business. In this regard, we have attempted to reduce the risk associated with the loss of key personnel and have obtained directors and officers insurance coverage. In addition, our shareholders have approved our 2015 Stock and Incentive Plan and 2018 Incentive Plan so that we can provide incentives for our key personnel.</w:t>
            </w:r>
            <w:r>
              <w:t xml:space="preserve"> </w:t>
            </w:r>
            <w:r>
              <w:t xml:space="preserve">We may not realize the benefits of Eureka, Paiute, Seven Troughs and other acquired growth projects.</w:t>
            </w:r>
            <w:r>
              <w:t xml:space="preserve"> </w:t>
            </w:r>
            <w:r>
              <w:t xml:space="preserve">As part of our strategy, we will continue existing efforts and initiate new efforts to develop gold and other mineral properties. We have three such project areas, including Eureka, Paiute and Seven Troughs. A number of risks and uncertainties are associated with the development of these types of projects, including political, regulatory, design, construction, labor, operating, technical and technological risks, and uncertainties relating to capital and other costs and financing risks. The failure to successfully develop any of these initiatives could have a material adverse effect on our financial position and results of operations.</w:t>
            </w:r>
            <w:r>
              <w:t xml:space="preserve"> </w:t>
            </w:r>
            <w:r>
              <w:t xml:space="preserve">As part of our business model, we pursue a strategy that may cause us to expend significant resources exploring properties that may not become revenue-producing sites.</w:t>
            </w:r>
            <w:r>
              <w:t xml:space="preserve"> </w:t>
            </w:r>
            <w:r>
              <w:t xml:space="preserve">Part of our business model is to pursue a strategy which includes significant exploration activities, such as proposed exploration and, if warranted, development at the Eureka, Paiute, and the Seven Troughs Projects. Because of the nature of exploration for precious metals, a property’s exploration potential is not known until a significant amount of geologic information has been generated. We may spend significant resources exploring and developing the projects and gathering certain geologic information only to determine that the project is not capable of being a revenue-producing property for us.</w:t>
            </w:r>
            <w:r>
              <w:t xml:space="preserve"> </w:t>
            </w:r>
            <w:r>
              <w:t xml:space="preserve">Our business is subject to evolving corporate governance and public disclosure regulations that have increased both our compliance costs and the risk of noncompliance, which could have an adverse effect on our stock price.</w:t>
            </w:r>
            <w:r>
              <w:t xml:space="preserve"> </w:t>
            </w:r>
            <w:r>
              <w:t xml:space="preserve">We are subject to changing rules and regulations promulgated by a number of governmental and self-regulated organizations, including the SEC, the Public Company Accounting Oversight Board (“PCAOB”) and the Financial Accounting Standards Board. These rules and regulations continue to evolve in scope and complexity, and many new requirements have been created in response to laws enacted by Congress, making compliance more difficult and uncertain. For example, on July 21, 2010, Congress passed the Dodd-Frank Wall Street Reform and Consumer Protection Act (the “Dodd-Frank Act”) with increased disclosure obligations for public companies and mining companies in the United States. Our efforts to comply with the Dodd-Frank Act and other new regulations have resulted in, and are likely to continue to result in, increased general and administrative expenses and a diversion of our management’s time and attention from operating activities to compliance activities.</w:t>
            </w:r>
            <w:r>
              <w:t xml:space="preserve"> </w:t>
            </w:r>
            <w:r>
              <w:t xml:space="preserve">We are required to comply with Canadian securities regulations and are subject to additional regulatory scrutiny in Canada.</w:t>
            </w:r>
            <w:r>
              <w:t xml:space="preserve"> </w:t>
            </w:r>
            <w:r>
              <w:t xml:space="preserve">We are a “reporting issuer” in the Canadian provinces of British Columbia and Alberta. As a result, our disclosure outside the United States differs from the disclosure contained in our SEC filings. Our reserve and resource estimates disseminated outside the United States are not directly comparable to those made in filings subject to SEC reporting and disclosure requirements, as we generally report reserves and resources in accordance with Canadian practices. These practices are different from the practices used to report reserve and resource estimates in reports and other materials filed with the SEC. It is Canadian practice to report measured, indicated, and inferred resources, which are generally not permitted in disclosures filed with the SEC. In the United States, mineralization may not be classified as a “reserve” unless the determination has been made that the mineralization could be economically and legally produced or extracted at the time the reserve determination is made. United States investors are cautioned not to assume that all or any part of measured or indicated resources will ever be converted into reserves. Further, “inferred resources” have a great amount of uncertainty as to their existence and as to whether they can be mined legally or economically. Disclosure of “contained ounces” is permitted disclosure under Canadian regulations; however, the SEC only permits issuers to report “resources” as in-place tonnage and grade without reference to unit measures. Accordingly, information concerning descriptions of mineralization, reserves, and resources contained in disclosures released outside the United States may not be comparable to information made public by other United States companies subject to the reporting and disclosure requirements of the SEC.</w:t>
            </w:r>
            <w:r>
              <w:t xml:space="preserve"> </w:t>
            </w:r>
            <w:r>
              <w:t xml:space="preserve">15</w:t>
            </w:r>
            <w:r>
              <w:t xml:space="preserve"> </w:t>
            </w:r>
            <w:r>
              <w:t xml:space="preserve">Table of Contents</w:t>
            </w:r>
            <w:r>
              <w:t xml:space="preserve"> </w:t>
            </w:r>
            <w:r>
              <w:t xml:space="preserve">We are also subject to increased regulatory scrutiny and costs associated with complying with securities legislation in Canada. For example, we are subject to civil liability for misrepresentations in written disclosure and oral statements. Legislation has been enacted in these provinces which creates a right of action for damages against a reporting issuer, its directors and certain of its officers in the event that the reporting issuer or a person with actual, implied, or apparent authority to act or speak on behalf of the reporting issuer releases a document or makes a public oral statement that contains a misrepresentation or the reporting issuer fails to make timely disclosure of a material change. We do not anticipate any particular regulation that would be difficult to comply with. However, failure to comply with regulations may result in civil awards, fines, penalties, and orders that could have an adverse effect on us.</w:t>
            </w:r>
            <w:r>
              <w:t xml:space="preserve"> </w:t>
            </w:r>
            <w:r>
              <w:t xml:space="preserve">Risks Associated with Our Common Stock</w:t>
            </w:r>
            <w:r>
              <w:t xml:space="preserve"> </w:t>
            </w:r>
            <w:r>
              <w:t xml:space="preserve">Our stock price has been volatile and your investment in our common stock could suffer a decline in value.</w:t>
            </w:r>
            <w:r>
              <w:t xml:space="preserve"> </w:t>
            </w:r>
            <w:r>
              <w:t xml:space="preserve">Our common stock is quoted on the OTCQB Market (“OTCQB”) and traded on the TSX Venture Exchange (“TSX-V”). The market price of our common stock may fluctuate significantly in response to a number of factors, some of which are beyond our control. These factors include price fluctuations of precious metals, government regulations, disputes regarding mining claims, broad stock market fluctuations, and general economic conditions in the United States and Canada.</w:t>
            </w:r>
            <w:r>
              <w:t xml:space="preserve"> </w:t>
            </w:r>
            <w:r>
              <w:t xml:space="preserve">We do not intend to pay any dividends on shares of our common stock in the near future.</w:t>
            </w:r>
            <w:r>
              <w:t xml:space="preserve"> </w:t>
            </w:r>
            <w:r>
              <w:t xml:space="preserve">We do not currently anticipate declaring and paying dividends to our shareholders in the near future, and any future decision as to the payment of dividends will be at the discretion of our board of directors and will depend upon our earnings, financial position, capital requirements, plans for expansion, and such other factors as our board of directors deems relevant. It is our current intention to apply net earnings, if any, in the foreseeable future to finance the growth and development of our business.</w:t>
            </w:r>
            <w:r>
              <w:t xml:space="preserve"> </w:t>
            </w:r>
            <w:r>
              <w:t xml:space="preserve">Investors’ interests in our Company will be diluted and investors may suffer dilution in their net book value per share, if we issue additional employee/director/consultant options or if we sell additional shares and/or warrants to finance our operations.</w:t>
            </w:r>
            <w:r>
              <w:t xml:space="preserve"> </w:t>
            </w:r>
            <w:r>
              <w:t xml:space="preserve">We have not generated material revenue from exploration since the commencement of our exploration stage in January 2004. In order to further expand our company and meet our objectives, any additional growth and/or expanded exploration activity may need to be financed through sale and issuance of additional shares, including, but not limited to, raising finances to explore our properties. Furthermore, to finance any acquisition activity, should that activity be properly approved, and depending on the outcome of our exploration programs, we may also need to issue additional shares to finance future acquisitions, growth and/or additional exploration programs at any or all of our projects or to acquire additional properties. We may also in the future grant to some or all of our directors, officers, insiders, and key employees options to purchase our common shares and stock unit awards as non-cash incentives. The issuance of any equity securities could, and the issuance of any additional shares will, cause our existing shareholders to experience dilution of their ownership interests.</w:t>
            </w:r>
            <w:r>
              <w:t xml:space="preserve"> </w:t>
            </w:r>
            <w:r>
              <w:t xml:space="preserve">If we issue additional shares or decide to enter into joint ventures with other parties in order to raise financing through the sale of equity securities, investors' interests in our Company will be diluted and investors may suffer dilution in their net book value per share depending on the price at which such securities are sold. As of September 30, 2023, there are also outstanding options and warrants granted that are exercisable into 17,898,522 common shares. If all of these options and warrants were exercised, the underlying shares would represent approximately 9.32% of our issued and outstanding shares. If all of these options and warrants are exercised and the underlying shares are issued, such issuance will cause a reduction in the proportionate ownership and voting power of all other shareholders. The dilution may result in a decline in the market price of our shares.</w:t>
            </w:r>
            <w:r>
              <w:t xml:space="preserve"> </w:t>
            </w:r>
            <w:r>
              <w:t xml:space="preserve">16</w:t>
            </w:r>
            <w:r>
              <w:t xml:space="preserve"> </w:t>
            </w:r>
            <w:r>
              <w:t xml:space="preserve">Table of Contents</w:t>
            </w:r>
            <w:r>
              <w:t xml:space="preserve"> </w:t>
            </w:r>
            <w:r>
              <w:t xml:space="preserve">We are subject to the continued listing criteria of the TSX-V and our failure to satisfy these criteria may result in delisting of our shares of common stock</w:t>
            </w:r>
            <w:r>
              <w:t xml:space="preserve"> </w:t>
            </w:r>
            <w:r>
              <w:t xml:space="preserve">.</w:t>
            </w:r>
            <w:r>
              <w:t xml:space="preserve"> </w:t>
            </w:r>
            <w:r>
              <w:t xml:space="preserve">Our shares of common stock are currently listed on the TSX-V. In order to maintain the listing, we must maintain certain share prices, financial, and share distribution targets, including maintaining a minimum amount of shareholders’ equity and a minimum number of public shareholders. In addition to objective standards, the TSX-V may delist our securities if, in their discretionary opinion: (i) our financial condition and/or operating results appear unsatisfactory; (ii) it appears that the extent of public distribution or the aggregate market value of the security has become so reduced as to make continued listing on TSX-V inadvisable; (iii) we sell or dispose of principal operating assets or cease to be an operating company; (iv) we fail to comply with the listing requirements of the TSX-V; (v) our shares of common stock sell at what the TSX-V considers a “low selling price” and if we fail to correct this via a reverse split of shares after notification by the TSX-V; or (vi) any other event occurs or any condition exists which makes continued listing on the TSX-V, in their opinion, inadvisable.</w:t>
            </w:r>
            <w:r>
              <w:t xml:space="preserve"> </w:t>
            </w:r>
            <w:r>
              <w:t xml:space="preserve">If the TSX-V delists our shares of common stock, investors may face material adverse consequences, including, but not limited to, a lack of trading market for our securities, reduced liquidity, decreased analyst coverage of our securities, and an inability for us to obtain additional financing to fund our operations.</w:t>
            </w:r>
          </w:p>
        </w:tc>
        <w:tc>
          <w:tcPr/>
          <w:p>
            <w:pPr>
              <w:pStyle w:val="Compact"/>
            </w:pPr>
            <w:r>
              <w:t xml:space="preserve">ITEM 7. MANAGEMENT'S DISCUSSION AND ANALYSIS OF FINANCIAL CONDITION AND RESULTS OF OPERATION</w:t>
            </w:r>
            <w:r>
              <w:t xml:space="preserve"> </w:t>
            </w:r>
            <w:r>
              <w:t xml:space="preserve">You should read the following discussion and analysis of our financial condition and results of operations together with our financial statements and related notes appearing elsewhere in this report. This discussion and analysis contains forward-looking statements that involve risks, uncertainties and assumptions. Our actual results may differ materially from those anticipated in these forward-looking statements as a result of many factors, including, but not limited to, those set forth under “Risk Factors and Uncertainties” and elsewhere in this document.</w:t>
            </w:r>
            <w:r>
              <w:t xml:space="preserve"> </w:t>
            </w:r>
            <w:r>
              <w:t xml:space="preserve">See “Cautionary Note Regarding Forward-Looking Statements” above.</w:t>
            </w:r>
            <w:r>
              <w:t xml:space="preserve"> </w:t>
            </w:r>
            <w:r>
              <w:t xml:space="preserve">Overview</w:t>
            </w:r>
            <w:r>
              <w:t xml:space="preserve"> </w:t>
            </w:r>
            <w:r>
              <w:t xml:space="preserve">We are an exploration company, using tried and proven methods to search for gold, silver, and other metals as become indicated, on properties located in the State of Nevada in the Western United States. Our significant properties consist of our Eureka Projects (Lookout Mountain, Windfall, Oswego and other targets) in the Battle Mountain - Eureka Trend located in the North-Central portion of the state, and the Seven Troughs Project, located in the Northwest portion of the state.</w:t>
            </w:r>
            <w:r>
              <w:t xml:space="preserve"> </w:t>
            </w:r>
            <w:r>
              <w:t xml:space="preserve">We raised funds to acquire and explore these properties through private placements of our common stock and warrants with investors, through debt placements, and through joint venture arrangements with other mining exploration and development companies in our business sector. Our business plans employ strategies to locate and analyze gold and silver properties to determine the existence, quantity and quality of mineral deposits and advance those deposits for the benefit of our shareholders. We may seek to develop those properties ourselves or engage larger mining companies to purchase, develop, joint venture and otherwise exploit the properties for the purpose of production of these discovered precious metals.</w:t>
            </w:r>
            <w:r>
              <w:t xml:space="preserve"> </w:t>
            </w:r>
            <w:r>
              <w:t xml:space="preserve">65</w:t>
            </w:r>
            <w:r>
              <w:t xml:space="preserve"> </w:t>
            </w:r>
            <w:r>
              <w:t xml:space="preserve">Table of Contents</w:t>
            </w:r>
            <w:r>
              <w:t xml:space="preserve"> </w:t>
            </w:r>
            <w:r>
              <w:t xml:space="preserve">Fiscal 2023 Accomplishments</w:t>
            </w:r>
            <w:r>
              <w:t xml:space="preserve"> </w:t>
            </w:r>
            <w:r>
              <w:t xml:space="preserve">Technical Report Summary and Updated Loockout Mountain Gold Resources:</w:t>
            </w:r>
            <w:r>
              <w:t xml:space="preserve"> </w:t>
            </w:r>
            <w:r>
              <w:t xml:space="preserve">During the 2023 fiscal year, RESPEC Company LLC completed a mineral resource estimate and an initial Technical Report Summary (TRS) for the Lookout Mountain gold deposit. The TRS and mineral resource disclosure is a requirement S-K 1300, which governs US mining projects. The updated mineral resource estimate is summarized in Table 2 below. The resource estimate has been constrained by optimized open pits utilizing revenue and cost inputs as summarized in the Notes to Table 2 below.</w:t>
            </w:r>
            <w:r>
              <w:t xml:space="preserve"> </w:t>
            </w:r>
            <w:r>
              <w:t xml:space="preserve">Table 2. Updated Lookout Mountain Project Gold Resources</w:t>
            </w:r>
            <w:r>
              <w:t xml:space="preserve"> </w:t>
            </w:r>
            <w:r>
              <w:t xml:space="preserve">Notes:</w:t>
            </w:r>
            <w:r>
              <w:t xml:space="preserve"> </w:t>
            </w:r>
            <w:r>
              <w:t xml:space="preserve">·</w:t>
            </w:r>
            <w:r>
              <w:t xml:space="preserve"> </w:t>
            </w:r>
            <w:r>
              <w:t xml:space="preserve">The Mineral Resources are comprised of oxidized model blocks that lie within optimized pits at a cutoff grade of 0.005 oz Au/ton plus unoxidized blocks within the optimized pits at a 0.055 oz Au/ton cutoff.</w:t>
            </w:r>
            <w:r>
              <w:t xml:space="preserve"> </w:t>
            </w:r>
            <w:r>
              <w:t xml:space="preserve">·</w:t>
            </w:r>
            <w:r>
              <w:t xml:space="preserve"> </w:t>
            </w:r>
            <w:r>
              <w:t xml:space="preserve">Mineral Resources that are not Mineral Reserves do not have demonstrated economic viability.</w:t>
            </w:r>
            <w:r>
              <w:t xml:space="preserve"> </w:t>
            </w:r>
            <w:r>
              <w:t xml:space="preserve">·</w:t>
            </w:r>
            <w:r>
              <w:t xml:space="preserve"> </w:t>
            </w:r>
            <w:r>
              <w:t xml:space="preserve">The Mineral Resources are potentially amenable to open pit mining methods and are therefore constrained by optimized pits created using a gold price of US$1,800/oz, a throughput rate of 10,000 tons/day, assumed metallurgical recoveries of 80% for heap-leaching of oxidized materials and 86% for toll milling of unoxidized materials, a mining cost of US$2.50/ton, heap-leaching processing cost of $3.60/ton, toll milling cost of $80.00/ton, general and administrative costs of $0.83/ton processed, a reclamation cost of $0.25/ton processed, refining cost of $3.00/oz Au produced, and an NSR royalty of 3.5%. This study does not constitute an Initial Assessment under S-K 1300.</w:t>
            </w:r>
            <w:r>
              <w:t xml:space="preserve"> </w:t>
            </w:r>
            <w:r>
              <w:t xml:space="preserve">·</w:t>
            </w:r>
            <w:r>
              <w:t xml:space="preserve"> </w:t>
            </w:r>
            <w:r>
              <w:t xml:space="preserve">The effective date of the resource estimate is December 31, 2022.</w:t>
            </w:r>
            <w:r>
              <w:t xml:space="preserve"> </w:t>
            </w:r>
            <w:r>
              <w:t xml:space="preserve">·</w:t>
            </w:r>
            <w:r>
              <w:t xml:space="preserve"> </w:t>
            </w:r>
            <w:r>
              <w:t xml:space="preserve">Rounding may result in apparent discrepancies between tons, grade, and contained metal content.</w:t>
            </w:r>
            <w:r>
              <w:t xml:space="preserve"> </w:t>
            </w:r>
            <w:r>
              <w:t xml:space="preserve">·</w:t>
            </w:r>
            <w:r>
              <w:t xml:space="preserve"> </w:t>
            </w:r>
            <w:r>
              <w:t xml:space="preserve">Technical Report Summary is authored by Steven Osterberg, PhD, PG (Timberline’s qualified person) and RESPEC Company LLC of Reno, Nevada</w:t>
            </w:r>
            <w:r>
              <w:t xml:space="preserve"> </w:t>
            </w:r>
            <w:r>
              <w:t xml:space="preserve">The S-K 1300 mineral resource estimate reflects our first limited economic analysis on the project. The TRS documents much work that has been accomplished over the last several years at Lookout Mountain, including initial metallurgical, environmental, and engineering studies. Advancing the deposit to pit-constrained resources has also identified opportunities for growth and optimization of the project towards economic viability. The recommendations from this study, as well as the exciting developments in the district, highlight the potential growth for both gold and silver at the Eureka Project.</w:t>
            </w:r>
            <w:r>
              <w:t xml:space="preserve"> </w:t>
            </w:r>
            <w:r>
              <w:t xml:space="preserve">In November 2023 the Company released the updated mineral resource estimate (MRE) for the Lookout Mountain gold deposit under Canadian National Instrument (NI) 43-101, Companion Policy 43-101CP, and Form 43-101F1, which is a Canadian Securities Administrators’ requirement for mining projects governing the disclosure of mineral reserves and resources.</w:t>
            </w:r>
            <w:r>
              <w:t xml:space="preserve"> </w:t>
            </w:r>
            <w:r>
              <w:t xml:space="preserve">2023 Lookout Mountain Project Gold Exploration:</w:t>
            </w:r>
            <w:r>
              <w:t xml:space="preserve"> </w:t>
            </w:r>
            <w:r>
              <w:t xml:space="preserve">The FY 2023 exploration program continued to focus primarily on exploration drilling in the Water Well Zone (WWZ) to test the extent of the gold mineralization at the contact between the Dunderberg and Hamburg formations. Three drill holes from the 2022 - 2023 drill program tested the southern end of the WWZ, constituting approximately 3,670 feet (1,119m) out of the 21,856 feet (6,662 m) program. The Company reported these results during early calendar year 2023. This drilling continued to confirm the consistent presence of gold mineralization at the key contact, but the results also encountered numerous faults that complicate the WWZ deposit – resulting in apparent gaps, as well as zones of enrichment, in the mineralization. Timberline geologists believe that recent drilling is within the footprint of a significant discovery at the WWZ, and the best potential for expansion by surface drilling lies to the east (downdip) and south.</w:t>
            </w:r>
            <w:r>
              <w:t xml:space="preserve"> </w:t>
            </w:r>
            <w:r>
              <w:t xml:space="preserve">66</w:t>
            </w:r>
            <w:r>
              <w:t xml:space="preserve"> </w:t>
            </w:r>
            <w:r>
              <w:t xml:space="preserve">Table of Contents</w:t>
            </w:r>
            <w:r>
              <w:t xml:space="preserve"> </w:t>
            </w:r>
            <w:r>
              <w:t xml:space="preserve">Assay highlights from the three FY 2023 drillholes in the southern WWZ are included below (using a cutoff grade of 0.3 g/t for gold):</w:t>
            </w:r>
            <w:r>
              <w:t xml:space="preserve"> </w:t>
            </w:r>
            <w:r>
              <w:t xml:space="preserve">·</w:t>
            </w:r>
            <w:r>
              <w:t xml:space="preserve"> </w:t>
            </w:r>
            <w:r>
              <w:t xml:space="preserve">BHSE-225C: 29.0m at 1.06 grams per tonne (g/t) gold from 294.7m depth, including</w:t>
            </w:r>
            <w:r>
              <w:t xml:space="preserve"> </w:t>
            </w:r>
            <w:r>
              <w:t xml:space="preserve">o</w:t>
            </w:r>
            <w:r>
              <w:t xml:space="preserve"> </w:t>
            </w:r>
            <w:r>
              <w:t xml:space="preserve">9.1m at 2.17 g/t gold from 305.4m depth; and</w:t>
            </w:r>
            <w:r>
              <w:t xml:space="preserve"> </w:t>
            </w:r>
            <w:r>
              <w:t xml:space="preserve">o</w:t>
            </w:r>
            <w:r>
              <w:t xml:space="preserve"> </w:t>
            </w:r>
            <w:r>
              <w:t xml:space="preserve">1.5m at 3.01 g/t gold from 308.5m depth;</w:t>
            </w:r>
            <w:r>
              <w:t xml:space="preserve"> </w:t>
            </w:r>
            <w:r>
              <w:t xml:space="preserve">·</w:t>
            </w:r>
            <w:r>
              <w:t xml:space="preserve"> </w:t>
            </w:r>
            <w:r>
              <w:t xml:space="preserve">BHSE-231C: 8.5m at 2.38 g/t gold from 303.9m depth, including</w:t>
            </w:r>
            <w:r>
              <w:t xml:space="preserve"> </w:t>
            </w:r>
            <w:r>
              <w:t xml:space="preserve">o</w:t>
            </w:r>
            <w:r>
              <w:t xml:space="preserve"> </w:t>
            </w:r>
            <w:r>
              <w:t xml:space="preserve">4.0m at 3.63 g/t gold from 308.5m depth;</w:t>
            </w:r>
            <w:r>
              <w:t xml:space="preserve"> </w:t>
            </w:r>
            <w:r>
              <w:t xml:space="preserve">·</w:t>
            </w:r>
            <w:r>
              <w:t xml:space="preserve"> </w:t>
            </w:r>
            <w:r>
              <w:t xml:space="preserve">BHSE-241C: 1.5m at 3.40 g/t gold from 305.4m depth;</w:t>
            </w:r>
            <w:r>
              <w:t xml:space="preserve"> </w:t>
            </w:r>
            <w:r>
              <w:t xml:space="preserve">·</w:t>
            </w:r>
            <w:r>
              <w:t xml:space="preserve"> </w:t>
            </w:r>
            <w:r>
              <w:t xml:space="preserve">BHSE-241C: 25.9m at 0.72 g/t gold from 314.6m depth; including</w:t>
            </w:r>
            <w:r>
              <w:t xml:space="preserve"> </w:t>
            </w:r>
            <w:r>
              <w:t xml:space="preserve">o</w:t>
            </w:r>
            <w:r>
              <w:t xml:space="preserve"> </w:t>
            </w:r>
            <w:r>
              <w:t xml:space="preserve">7.6m at 1.3 g/t gold from 314.6m depth; and</w:t>
            </w:r>
            <w:r>
              <w:t xml:space="preserve"> </w:t>
            </w:r>
            <w:r>
              <w:t xml:space="preserve">o</w:t>
            </w:r>
            <w:r>
              <w:t xml:space="preserve"> </w:t>
            </w:r>
            <w:r>
              <w:t xml:space="preserve">1.5m at 3.65 g/t gold from 314.6m depth.</w:t>
            </w:r>
            <w:r>
              <w:t xml:space="preserve"> </w:t>
            </w:r>
            <w:r>
              <w:t xml:space="preserve">Additional exploration drilling completed early in FY 2023 tested the northern limits of the WWZ and its association with the Lookout Mountain gold resource. Four drillholes, constituting approximately 5,960 feet (1,817m) of the approximately 21,850 feet (6,662m) drill program, began in 2022 and finished in 2023.</w:t>
            </w:r>
            <w:r>
              <w:t xml:space="preserve"> </w:t>
            </w:r>
            <w:r>
              <w:t xml:space="preserve">Four drillholes in the northern WWZ encountered significant gold mineralization, while two holes intersected significant lead-zinc-silver, including drillhole BHSE-237C which cut more than 200m of strongly enriched silver. Assay highlights from the drilling include (using cutoff grades of 0.3 g/t for gold and 1.0 g/t for silver):</w:t>
            </w:r>
            <w:r>
              <w:t xml:space="preserve"> </w:t>
            </w:r>
            <w:r>
              <w:t xml:space="preserve">·</w:t>
            </w:r>
            <w:r>
              <w:t xml:space="preserve"> </w:t>
            </w:r>
            <w:r>
              <w:t xml:space="preserve">BHSE-238C: 16.8m at 2.64 grams per tonne (g/t) gold from 178.9m depth, including</w:t>
            </w:r>
            <w:r>
              <w:t xml:space="preserve"> </w:t>
            </w:r>
            <w:r>
              <w:t xml:space="preserve">o</w:t>
            </w:r>
            <w:r>
              <w:t xml:space="preserve"> </w:t>
            </w:r>
            <w:r>
              <w:t xml:space="preserve">4.6m at 4.45 g/t gold from 182.0m depth;</w:t>
            </w:r>
            <w:r>
              <w:t xml:space="preserve"> </w:t>
            </w:r>
            <w:r>
              <w:t xml:space="preserve">·</w:t>
            </w:r>
            <w:r>
              <w:t xml:space="preserve"> </w:t>
            </w:r>
            <w:r>
              <w:t xml:space="preserve">BHSE-221C: 6.1m at 1.83 g/t gold from 332.8m depth, including</w:t>
            </w:r>
            <w:r>
              <w:t xml:space="preserve"> </w:t>
            </w:r>
            <w:r>
              <w:t xml:space="preserve">o</w:t>
            </w:r>
            <w:r>
              <w:t xml:space="preserve"> </w:t>
            </w:r>
            <w:r>
              <w:t xml:space="preserve">1.5m at 3.59 g/t gold from 335.9m depth;</w:t>
            </w:r>
            <w:r>
              <w:t xml:space="preserve"> </w:t>
            </w:r>
            <w:r>
              <w:t xml:space="preserve">·</w:t>
            </w:r>
            <w:r>
              <w:t xml:space="preserve"> </w:t>
            </w:r>
            <w:r>
              <w:t xml:space="preserve">BHSE-239C: 9.4m at 1.09 g/t gold from 194.5m depth;</w:t>
            </w:r>
            <w:r>
              <w:t xml:space="preserve"> </w:t>
            </w:r>
            <w:r>
              <w:t xml:space="preserve">·</w:t>
            </w:r>
            <w:r>
              <w:t xml:space="preserve"> </w:t>
            </w:r>
            <w:r>
              <w:t xml:space="preserve">BHSE-239C: 6.1m at 1.33 g/t gold from 313.0m depth;</w:t>
            </w:r>
            <w:r>
              <w:t xml:space="preserve"> </w:t>
            </w:r>
            <w:r>
              <w:t xml:space="preserve">·</w:t>
            </w:r>
            <w:r>
              <w:t xml:space="preserve"> </w:t>
            </w:r>
            <w:r>
              <w:t xml:space="preserve">BHSE-239C: 3.1m at 3.77 g/t gold from 439.5m depth;</w:t>
            </w:r>
            <w:r>
              <w:t xml:space="preserve"> </w:t>
            </w:r>
            <w:r>
              <w:t xml:space="preserve">·</w:t>
            </w:r>
            <w:r>
              <w:t xml:space="preserve"> </w:t>
            </w:r>
            <w:r>
              <w:t xml:space="preserve">BHSE-221C: 35.1m at 10.1 g/t silver from 329.8m depth;</w:t>
            </w:r>
            <w:r>
              <w:t xml:space="preserve"> </w:t>
            </w:r>
            <w:r>
              <w:t xml:space="preserve">·</w:t>
            </w:r>
            <w:r>
              <w:t xml:space="preserve"> </w:t>
            </w:r>
            <w:r>
              <w:t xml:space="preserve">BHSE-237C: 79.2m at 8.2 g/t silver from 297.8m depth; and</w:t>
            </w:r>
            <w:r>
              <w:t xml:space="preserve"> </w:t>
            </w:r>
            <w:r>
              <w:t xml:space="preserve">·</w:t>
            </w:r>
            <w:r>
              <w:t xml:space="preserve"> </w:t>
            </w:r>
            <w:r>
              <w:t xml:space="preserve">BHSE-237C: 30.5m at 12.2 g/t silver from 393.8m depth.</w:t>
            </w:r>
            <w:r>
              <w:t xml:space="preserve"> </w:t>
            </w:r>
            <w:r>
              <w:t xml:space="preserve">The overlapping CTG gold and older CRD silver mineralization is becoming characteristic of the Eureka area, as is now in evidence at various places along more than 8 km of the trend from i80 Gold’s Ruby Hill Mine in the north to the WWZ in the south.</w:t>
            </w:r>
            <w:r>
              <w:t xml:space="preserve"> </w:t>
            </w:r>
            <w:r>
              <w:t xml:space="preserve">2023 Exploration Permitting at Lookout Mountain</w:t>
            </w:r>
            <w:r>
              <w:t xml:space="preserve"> </w:t>
            </w:r>
            <w:r>
              <w:t xml:space="preserve">Permitting at Lookout Mountain was also advanced during 2023. Field activities such as exploration drilling are completed at Lookout Mountain under the provisions of an exploration Plan of Operations (PoO) initially approved by the BLM in 2010 and subject to annual Work Plan Amendments. In 2023, to support ongoing exploration, our environmental consultant completed an updated cultural resources field review to avoid potential site-specific impacts caused by drill-activities. Field work by archeologists was completed in 2022 with follow-up analysis including review by the State Historic Preservation Office (SHPO) continuing into 2023. A final report was submitted to the BLM in July 2023. Based on the field review, the number and cumulative size of sites which will require additional site-specific screening and potential mitigation prior to completion of drilling activities has been reduced. Management does not consider the avoidance areas to be a significant impediment to planned exploration activities as they are typically small areas around which drill sites and access roads can be positioned.</w:t>
            </w:r>
            <w:r>
              <w:t xml:space="preserve"> </w:t>
            </w:r>
            <w:r>
              <w:t xml:space="preserve">67</w:t>
            </w:r>
            <w:r>
              <w:t xml:space="preserve"> </w:t>
            </w:r>
            <w:r>
              <w:t xml:space="preserve">Table of Contents</w:t>
            </w:r>
            <w:r>
              <w:t xml:space="preserve"> </w:t>
            </w:r>
            <w:r>
              <w:t xml:space="preserve">2023 Priorities for District Exploration – Carlin-type Gold and Carbonate Replacement Deposits:</w:t>
            </w:r>
            <w:r>
              <w:t xml:space="preserve"> </w:t>
            </w:r>
            <w:r>
              <w:t xml:space="preserve">Ongoing analysis of district exploration data has defined three primary target areas for Timberline at Eureka: New York Canyon, Windfall Trend, and Lookout-WWZ-Oswego areas. These target areas, or sub-districts, include the potential for discovery of additional Carlin-type gold and gold-bearing carbonate-replacement deposits.</w:t>
            </w:r>
            <w:r>
              <w:t xml:space="preserve"> </w:t>
            </w:r>
            <w:r>
              <w:t xml:space="preserve">2023 New York Canyon Target</w:t>
            </w:r>
            <w:r>
              <w:t xml:space="preserve"> </w:t>
            </w:r>
            <w:r>
              <w:t xml:space="preserve">During Q3/FY2023, the Company completed acquisition of additional fractional interests in three of nine patented claims previously acquired at New York Canyon. At New York Canyon, rocks sampled from Ordovician Hanson Creek formation outcrops carry high-grade gold and silver. Selected rock samples collected on and around the patented claims yielded gold assays of 55, 32, 23.3, 22.5, and 14.95 g/t and silver assays of 750, 582.5, 558, 555, and 299 g/t. There are small historical mines and prospects over the area, which further highlight the prospectivity. However, this area remains undrilled because these patented claims have been held by private parties for many years and never consolidated by one company.</w:t>
            </w:r>
            <w:r>
              <w:t xml:space="preserve"> </w:t>
            </w:r>
            <w:r>
              <w:t xml:space="preserve">Maps, tables and figures in Part I of this Annual Report include these results reported for the Company’s fiscal year 2023.</w:t>
            </w:r>
            <w:r>
              <w:t xml:space="preserve"> </w:t>
            </w:r>
            <w:r>
              <w:t xml:space="preserve">Summary of gold prices</w:t>
            </w:r>
            <w:r>
              <w:t xml:space="preserve"> </w:t>
            </w:r>
            <w:r>
              <w:t xml:space="preserve">Fiscal year 2023 has seen continuing strong trends in the gold price from a low of approximately $1,628 to a high of approximately $2,048 per ounce, with a trend moving around $1,871 per ounce at year end. We believe the global economic environment and monetary climate continue to favor a strong gold price for the foreseeable future. While volatility is to be expected, our expectation is that we can identify and pursue opportunities to advance our projects and take advantage of the current gold price and market volatility.</w:t>
            </w:r>
            <w:r>
              <w:t xml:space="preserve"> </w:t>
            </w:r>
            <w:r>
              <w:t xml:space="preserve">Exploration Plans and Budgets</w:t>
            </w:r>
            <w:r>
              <w:t xml:space="preserve"> </w:t>
            </w:r>
            <w:r>
              <w:t xml:space="preserve">Our exploration focus during fiscal 2024 will continue to be on the Eureka Project. Our financial and human resources will be dedicated to the advancement of the Lookout Mountain, Water Well, Oswego, and other targets across the property. The results of our drilling, mapping, geochemical and geophysical work completed during fiscal years 2020 and 2021 exploration seasons significantly advanced our understanding of the overall geologic setting of the Eureka Project, highlighting several areas with potential for significant gold mineralization. The drilling results of fiscal 2022 significantly added to the geology and mineralization of our target areas in the Eureka Project and the analysis performed during fiscal 2023 expanded our understanding of the drill results from prior years, which will guide our fiscal 2024 exploration plan.</w:t>
            </w:r>
            <w:r>
              <w:t xml:space="preserve"> </w:t>
            </w:r>
            <w:r>
              <w:t xml:space="preserve">Execution of any 2024 exploration activities will be contingent upon our ability to secure additional financing prior to the exploration season. Our preliminary exploration budget for fiscal 2024 is expected to exceed $3.0 million, funded largely by additional financing activities as we enter into the new 2024 calendar year. Details of the exploration plan for fiscal 2024 will follow anticipated financing successes, which will determine the nature and extent of an exploration program.</w:t>
            </w:r>
            <w:r>
              <w:t xml:space="preserve"> </w:t>
            </w:r>
            <w:r>
              <w:t xml:space="preserve">Results of Operations for Years Ended September 30, 2023 and 2022</w:t>
            </w:r>
            <w:r>
              <w:t xml:space="preserve"> </w:t>
            </w:r>
            <w:r>
              <w:t xml:space="preserve">Consolidated Results</w:t>
            </w:r>
            <w:r>
              <w:t xml:space="preserve"> </w:t>
            </w:r>
            <w:r>
              <w:t xml:space="preserve">Year Ended September 30,</w:t>
            </w:r>
            <w:r>
              <w:t xml:space="preserve"> </w:t>
            </w:r>
            <w:r>
              <w:t xml:space="preserve">2023</w:t>
            </w:r>
            <w:r>
              <w:t xml:space="preserve"> </w:t>
            </w:r>
            <w:r>
              <w:t xml:space="preserve">2022</w:t>
            </w:r>
            <w:r>
              <w:t xml:space="preserve"> </w:t>
            </w:r>
            <w:r>
              <w:t xml:space="preserve">Exploration expenses:</w:t>
            </w:r>
            <w:r>
              <w:t xml:space="preserve"> </w:t>
            </w:r>
            <w:r>
              <w:t xml:space="preserve">Eureka/Lookout Mountain, net of non-cash expenses</w:t>
            </w:r>
            <w:r>
              <w:t xml:space="preserve"> </w:t>
            </w:r>
            <w:r>
              <w:t xml:space="preserve">1,022,032</w:t>
            </w:r>
            <w:r>
              <w:t xml:space="preserve"> </w:t>
            </w:r>
            <w:r>
              <w:t xml:space="preserve">$</w:t>
            </w:r>
            <w:r>
              <w:t xml:space="preserve"> </w:t>
            </w:r>
            <w:r>
              <w:t xml:space="preserve">4,614,490</w:t>
            </w:r>
            <w:r>
              <w:t xml:space="preserve"> </w:t>
            </w:r>
            <w:r>
              <w:t xml:space="preserve">Total exploration expenditures</w:t>
            </w:r>
            <w:r>
              <w:t xml:space="preserve"> </w:t>
            </w:r>
            <w:r>
              <w:t xml:space="preserve">1,022,032</w:t>
            </w:r>
            <w:r>
              <w:t xml:space="preserve"> </w:t>
            </w:r>
            <w:r>
              <w:t xml:space="preserve">4,614,490</w:t>
            </w:r>
            <w:r>
              <w:t xml:space="preserve"> </w:t>
            </w:r>
            <w:r>
              <w:t xml:space="preserve">Non-cash expenses:</w:t>
            </w:r>
            <w:r>
              <w:t xml:space="preserve"> </w:t>
            </w:r>
            <w:r>
              <w:t xml:space="preserve">Stock option and stock issuance expense</w:t>
            </w:r>
            <w:r>
              <w:t xml:space="preserve"> </w:t>
            </w:r>
            <w:r>
              <w:t xml:space="preserve">84,962</w:t>
            </w:r>
            <w:r>
              <w:t xml:space="preserve"> </w:t>
            </w:r>
            <w:r>
              <w:t xml:space="preserve">44,321</w:t>
            </w:r>
            <w:r>
              <w:t xml:space="preserve"> </w:t>
            </w:r>
            <w:r>
              <w:t xml:space="preserve">Depreciation, amortization, and accretion</w:t>
            </w:r>
            <w:r>
              <w:t xml:space="preserve"> </w:t>
            </w:r>
            <w:r>
              <w:t xml:space="preserve">6,860</w:t>
            </w:r>
            <w:r>
              <w:t xml:space="preserve"> </w:t>
            </w:r>
            <w:r>
              <w:t xml:space="preserve">5,912</w:t>
            </w:r>
            <w:r>
              <w:t xml:space="preserve"> </w:t>
            </w:r>
            <w:r>
              <w:t xml:space="preserve">Total non-cash expenses</w:t>
            </w:r>
            <w:r>
              <w:t xml:space="preserve"> </w:t>
            </w:r>
            <w:r>
              <w:t xml:space="preserve">91,822</w:t>
            </w:r>
            <w:r>
              <w:t xml:space="preserve"> </w:t>
            </w:r>
            <w:r>
              <w:t xml:space="preserve">50,233</w:t>
            </w:r>
            <w:r>
              <w:t xml:space="preserve"> </w:t>
            </w:r>
            <w:r>
              <w:t xml:space="preserve">Operating expenses paid in cash:</w:t>
            </w:r>
            <w:r>
              <w:t xml:space="preserve"> </w:t>
            </w:r>
            <w:r>
              <w:t xml:space="preserve">Salaries and benefits, net of non-cash expenses</w:t>
            </w:r>
            <w:r>
              <w:t xml:space="preserve"> </w:t>
            </w:r>
            <w:r>
              <w:t xml:space="preserve">281,128</w:t>
            </w:r>
            <w:r>
              <w:t xml:space="preserve"> </w:t>
            </w:r>
            <w:r>
              <w:t xml:space="preserve">293,097</w:t>
            </w:r>
            <w:r>
              <w:t xml:space="preserve"> </w:t>
            </w:r>
            <w:r>
              <w:t xml:space="preserve">Professional fees expense</w:t>
            </w:r>
            <w:r>
              <w:t xml:space="preserve"> </w:t>
            </w:r>
            <w:r>
              <w:t xml:space="preserve">213,348</w:t>
            </w:r>
            <w:r>
              <w:t xml:space="preserve"> </w:t>
            </w:r>
            <w:r>
              <w:t xml:space="preserve">181,811</w:t>
            </w:r>
            <w:r>
              <w:t xml:space="preserve"> </w:t>
            </w:r>
            <w:r>
              <w:t xml:space="preserve">Other general and administrative expenses</w:t>
            </w:r>
            <w:r>
              <w:t xml:space="preserve"> </w:t>
            </w:r>
            <w:r>
              <w:t xml:space="preserve">516,420</w:t>
            </w:r>
            <w:r>
              <w:t xml:space="preserve"> </w:t>
            </w:r>
            <w:r>
              <w:t xml:space="preserve">551,815</w:t>
            </w:r>
            <w:r>
              <w:t xml:space="preserve"> </w:t>
            </w:r>
            <w:r>
              <w:t xml:space="preserve">Interest and other (income) expense, net of non-cash expenses</w:t>
            </w:r>
            <w:r>
              <w:t xml:space="preserve"> </w:t>
            </w:r>
            <w:r>
              <w:t xml:space="preserve">55,594</w:t>
            </w:r>
            <w:r>
              <w:t xml:space="preserve"> </w:t>
            </w:r>
            <w:r>
              <w:t xml:space="preserve">270,461</w:t>
            </w:r>
            <w:r>
              <w:t xml:space="preserve"> </w:t>
            </w:r>
            <w:r>
              <w:t xml:space="preserve">Income tax provision (benefit)</w:t>
            </w:r>
            <w:r>
              <w:t xml:space="preserve"> </w:t>
            </w:r>
            <w:r>
              <w:t xml:space="preserve">-</w:t>
            </w:r>
            <w:r>
              <w:t xml:space="preserve"> </w:t>
            </w:r>
            <w:r>
              <w:t xml:space="preserve">-</w:t>
            </w:r>
            <w:r>
              <w:t xml:space="preserve"> </w:t>
            </w:r>
            <w:r>
              <w:t xml:space="preserve">Net loss</w:t>
            </w:r>
            <w:r>
              <w:t xml:space="preserve"> </w:t>
            </w:r>
            <w:r>
              <w:t xml:space="preserve">$</w:t>
            </w:r>
            <w:r>
              <w:t xml:space="preserve"> </w:t>
            </w:r>
            <w:r>
              <w:t xml:space="preserve">2,180,344</w:t>
            </w:r>
            <w:r>
              <w:t xml:space="preserve"> </w:t>
            </w:r>
            <w:r>
              <w:t xml:space="preserve">$</w:t>
            </w:r>
            <w:r>
              <w:t xml:space="preserve"> </w:t>
            </w:r>
            <w:r>
              <w:t xml:space="preserve">5,961,907</w:t>
            </w:r>
            <w:r>
              <w:t xml:space="preserve"> </w:t>
            </w:r>
            <w:r>
              <w:t xml:space="preserve">68</w:t>
            </w:r>
            <w:r>
              <w:t xml:space="preserve"> </w:t>
            </w:r>
            <w:r>
              <w:t xml:space="preserve">Table of Contents</w:t>
            </w:r>
            <w:r>
              <w:t xml:space="preserve"> </w:t>
            </w:r>
            <w:r>
              <w:t xml:space="preserve">Our consolidated net loss for the fiscal year ended September 30, 2023 decreased significantly from the prior year, primarily as a result of our decreased exploration program during fiscal year ended September 30, 2023 compared to the same period of 2022, which included significant increases in drilling and geophysical activities during fiscal year ended September 30, 2022. We also experienced significant increases in shared-based compensation. Professional fees expenses were higher as a result of increased utilization of financial professionals during fiscal 2023. General and administrative expenses decreased. Other expenses for fiscal 2023 were significantly lower than the prior year.</w:t>
            </w:r>
            <w:r>
              <w:t xml:space="preserve"> </w:t>
            </w:r>
            <w:r>
              <w:t xml:space="preserve">Financial Condition and Liquidity</w:t>
            </w:r>
            <w:r>
              <w:t xml:space="preserve"> </w:t>
            </w:r>
            <w:r>
              <w:t xml:space="preserve">At September 30, 2023, we had assets of $14,795,875, consisting of cash of $98,224, property, mineral rights and equipment, net of depreciation, of $14,155,178, reclamation bonds of $528,643, and other assets in the amount of $13,830.</w:t>
            </w:r>
            <w:r>
              <w:t xml:space="preserve"> </w:t>
            </w:r>
            <w:r>
              <w:t xml:space="preserve">On September 30, 2023, we had total liabilities of $358,095 and total assets of $14,795,875. This compares to total liabilities of $1,157,467 and total assets of $16,972,229 on September 30, 2022. As of September 30, 2023, our liabilities consist of $144,040 for asset retirement obligations and $214,055 of trade payables and accrued expenses. Of these liabilities, $214,055 are due within 12 months. The decrease in liabilities compared to September 30, 2023 is largely due the senior unsecured note payable - related party and accrued interest payable – related party that was paid during September 30, 2023. The decrease in total current assets was due to a decrease in cash.</w:t>
            </w:r>
            <w:r>
              <w:t xml:space="preserve"> </w:t>
            </w:r>
            <w:r>
              <w:t xml:space="preserve">On September 30, 2023, we had negative working capital of $107,701 and stockholders’ equity of $14,437,780 compared to working capital of $1,423,723 and stockholders’ equity of $15,814,762 for the year ended September 30, 2022. Working capital experienced an unfavorable change because of a decrease in cash with other liabilities affected positively or negatively by individual small changes in other components of liabilities.</w:t>
            </w:r>
            <w:r>
              <w:t xml:space="preserve"> </w:t>
            </w:r>
            <w:r>
              <w:t xml:space="preserve">During the fiscal year ended September 30, 2023, we used cash from operating activities of $2,626,470, compared to $5,325,134 used for fiscal 2022. There was a net loss of $2,180,344 for fiscal 2023 compared to a net loss of $5,961,907 for fiscal 2022. The causal factors are disclosed above in the comparative table and discussion above.</w:t>
            </w:r>
            <w:r>
              <w:t xml:space="preserve"> </w:t>
            </w:r>
            <w:r>
              <w:t xml:space="preserve">At the end of fiscal 2023, Timberline Resources Corp has accumulated approximately $58.3 million and $22.9 million in federal and state net operating losses, respectively, which may enable us to generate like amounts in net income prior to incurring any significant income tax obligation. Federal net operating losses of $44.8 million will expire in various amounts from 2024 through 2038, while $13.5 million do not expire and the usage of these loss carryforwards is limited to 80% of taxable income. The state net operating losses will expire in fiscal years ending September 30, 2023 through September 30, 2043.</w:t>
            </w:r>
            <w:r>
              <w:t xml:space="preserve"> </w:t>
            </w:r>
            <w:r>
              <w:t xml:space="preserve">Additionally, BH Minerals has total federal net operating loss carryforwards of approximately $25.8 million, of which $15.8 million expire in fiscal years ending September 30, 2025 through September 30, 2038. Federal net operating loss carryforwards of $10.0 million will not expire and the usage of these loss carryforwards is limited to 80% of taxable income.</w:t>
            </w:r>
            <w:r>
              <w:t xml:space="preserve"> </w:t>
            </w:r>
            <w:r>
              <w:t xml:space="preserve">At September 30, 2022, the Company also has approximately $6.7 million in net operating loss carryforwards in Canada which will expire in fiscal years ending September 30, 2024 through September 30, 2032.</w:t>
            </w:r>
            <w:r>
              <w:t xml:space="preserve"> </w:t>
            </w:r>
            <w:r>
              <w:t xml:space="preserve">During the fiscal year ended September 30, 2023, we used cash of $161,302 from investing activities, compared with cash used by investment activities of $149,717 in fiscal 2022. During fiscal 2023, we paid $161,302 to purchase mineral rights. During fiscal 2022, we paid $209,770 to purchase mineral properties, while receiving a refund of reclamation bonds of $10,053, and a non-refundable payment per a memorandum of understanding for sale of mineral rights of $50,000.</w:t>
            </w:r>
            <w:r>
              <w:t xml:space="preserve"> </w:t>
            </w:r>
            <w:r>
              <w:t xml:space="preserve">During the fiscal year ended September 30, 2023, cash of $447,409 was provided by financing activities, compared to cash of $4,586,086 provided during the fiscal year ended September 30, 2022. For the fiscal year ended September 30, 2023, cash of $718,400 was provided through the sale of stock, net of offering costs, and we used $270,991 for payments of debt. This compares to cash of $4,439,587 provided through the sale of stock and warrants, net of offering costs and $146,499 was provided from exercise of warrants for the fiscal year ended September 30, 2022.</w:t>
            </w:r>
            <w:r>
              <w:t xml:space="preserve"> </w:t>
            </w:r>
            <w:r>
              <w:t xml:space="preserve">Going Concern:</w:t>
            </w:r>
            <w:r>
              <w:t xml:space="preserve"> </w:t>
            </w:r>
            <w:r>
              <w:t xml:space="preserve">These consolidated financial statements have been prepared on the basis that the Company will continue as going concern, which contemplates the realization of our assets and the settlement of our liabilities in the normal course of our operations. Disruptions in the credit and financial markets over the past several years have had a material adverse impact on a number of financial institutions and investors and have limited access to capital and credit for many companies. In addition, commodity prices and mining equities have seen significant volatility which increases the risk to precious metal investors. Market disruptions and alternative investment options, among other things, make it more difficult for us to obtain, or increase our cost of obtaining, capital and financing for our operations. Our access to additional capital may not be available on terms acceptable to us or at all. If we are unable to obtain financing through equity investments, we will seek multiple solutions including, but not limited to, asset sales, corporate transactions, credit facilities or debenture issuances in order to continue as a going concern.</w:t>
            </w:r>
            <w:r>
              <w:t xml:space="preserve"> </w:t>
            </w:r>
            <w:r>
              <w:t xml:space="preserve">69</w:t>
            </w:r>
            <w:r>
              <w:t xml:space="preserve"> </w:t>
            </w:r>
            <w:r>
              <w:t xml:space="preserve">Table of Contents</w:t>
            </w:r>
            <w:r>
              <w:t xml:space="preserve"> </w:t>
            </w:r>
            <w:r>
              <w:t xml:space="preserve">At September 30, 2023, we had negative working capital of $107,701. We have $214,055 outstanding in current liabilities and a cash balance of $98,224. As of the date of this Annual Report on Form 10-K, we do not have sufficient cash to meet our normal operating commitments for the next 12 months. Therefore, we expect to be required to engage in financial transactions to increase our cash balance or decrease our cash obligations in the near term. Such cash-raising efforts may include equity financings, corporate transactions, joint venture agreements, sales of assets, credit facilities or debenture issuances, or other strategic transactions.</w:t>
            </w:r>
            <w:r>
              <w:t xml:space="preserve"> </w:t>
            </w:r>
            <w:r>
              <w:t xml:space="preserve">The audit opinion and notes that accompany our consolidated financial statements for the year ended September 30, 2023 disclose a ‘going concern’ qualification to our ability to continue in business. The accompanying consolidated financial statements have been prepared under the assumption that we will continue as a going concern. We have incurred losses since our inception. We do not have sufficient cash to fund normal operations and meet all of our obligations for the next 12 months without deferring payment on certain current liabilities and/or raising additional funds. The consolidated financial statements do not include any adjustments that might be necessary should we be unable to continue as a going concern. We believe that the going concern condition cannot be removed with confidence until the Company has entered into a business climate where funding of its activities is more assured. If the going concern basis were not appropriate for these financial statements, adjustments would be necessary in the carrying value of assets and liabilities, the reported expenses and the balance sheet classifications used.</w:t>
            </w:r>
            <w:r>
              <w:t xml:space="preserve"> </w:t>
            </w:r>
            <w:r>
              <w:t xml:space="preserve">We plan, as funding allows, to follow up on our positive drill results on our Eureka and Paiute Projects. Principally, we plan to execute drilling as part of the ongoing exploration program at Eureka. Also, subject to available capital, we may continue prudent exploration programs on our material exploration properties and/or fund some exploratory activities on early-stage properties.</w:t>
            </w:r>
            <w:r>
              <w:t xml:space="preserve"> </w:t>
            </w:r>
            <w:r>
              <w:t xml:space="preserve">We will require additional funding and/or reductions in exploration and administrative expenditures in future periods. Given current economic conditions, we cannot provide assurance that necessary financing transactions will be available on terms acceptable to us, or at all. Without additional financing, we would have to curtail our exploration and other expenditures while we seek alternative funding arrangements to provide sufficient capital to meet our ongoing, non-discretionary expenditures, and maintain our primary mineral properties. If we cannot obtain sufficient additional financing, we may be unable to make required property payments on a timely basis and be forced to return some or all of our leased or optioned properties to the underlying owners.</w:t>
            </w:r>
            <w:r>
              <w:t xml:space="preserve"> </w:t>
            </w:r>
            <w:r>
              <w:t xml:space="preserve">Financing activities</w:t>
            </w:r>
            <w:r>
              <w:t xml:space="preserve"> </w:t>
            </w:r>
            <w:r>
              <w:t xml:space="preserve">Private Placements:</w:t>
            </w:r>
            <w:r>
              <w:t xml:space="preserve"> </w:t>
            </w:r>
            <w:r>
              <w:t xml:space="preserve">On August 30, 2023, we closed a non-brokered private placement of the Company to accredited investors at a price of $0.05 per unit. Units consist of one common share and one-half class O warrant shares. We issued 14,570,000 common shares for cash proceeds of $728,500. Finders fees in the amount of $10,100 were paid to licensed brokers and consultants in association with the offering. The warrants have a term of three years and are exercisable at $0.08 per common share.</w:t>
            </w:r>
            <w:r>
              <w:t xml:space="preserve"> </w:t>
            </w:r>
            <w:r>
              <w:t xml:space="preserve">On May 2, 2022, we closed a non-brokered private placement of the Company to accredited investors at a price of $0.25 per common share. We issued 18,933,705 common shares for cash proceeds of $4,733,426. Finders fees in the amount of $293,839 and 1,016,022 Series N Warrants were paid and issued, respectively, to licensed brokers and consultants in association with the offering. The warrants have a term of 18 months and are exercisable at $0.25 per common share.</w:t>
            </w:r>
            <w:r>
              <w:t xml:space="preserve"> </w:t>
            </w:r>
            <w:r>
              <w:t xml:space="preserve">The private placement offerings were completed under Rule 506(b) of Regulation D promulgated by the SEC under the Securities Act of 1933, as amended, solely to persons who qualified as accredited investors. Subscribers who were resident in Canada were required to qualify as accredited investors under Canadian National Instrument 45-106 Prospectus Exemptions.</w:t>
            </w:r>
            <w:r>
              <w:t xml:space="preserve"> </w:t>
            </w:r>
            <w:r>
              <w:t xml:space="preserve">Off-Balance Sheet Arrangements</w:t>
            </w:r>
            <w:r>
              <w:t xml:space="preserve"> </w:t>
            </w:r>
            <w:r>
              <w:t xml:space="preserve">We do not have any off-balance-sheet arrangements that are reasonably likely to have a current or future effect on our financial condition, revenues, results of operations, liquidity, or capital expenditures.</w:t>
            </w:r>
            <w:r>
              <w:t xml:space="preserve"> </w:t>
            </w:r>
            <w:r>
              <w:t xml:space="preserve">70</w:t>
            </w:r>
            <w:r>
              <w:t xml:space="preserve"> </w:t>
            </w:r>
            <w:r>
              <w:t xml:space="preserve">Table of Contents</w:t>
            </w:r>
            <w:r>
              <w:t xml:space="preserve"> </w:t>
            </w:r>
            <w:r>
              <w:t xml:space="preserve">Subsequent Events</w:t>
            </w:r>
            <w:r>
              <w:t xml:space="preserve"> </w:t>
            </w:r>
            <w:r>
              <w:t xml:space="preserve">On December 27, 2023, we closed a $630,000 non-brokered private placement offering of units of the Company at a price of $0.04 per unit solely to persons who qualify as accredited investors under Rule 506(b) of Regulation D under the Securities Act of 1933, as amended. Each unit consists of one share of our common stock and one four-year warrant, with each warrant exercisable to acquire one share of our common stock at a price of $0.06 per share. A total of 15,750,000 common shares and 15,750,000 warrants were issued.</w:t>
            </w:r>
            <w:r>
              <w:t xml:space="preserve"> </w:t>
            </w:r>
            <w:r>
              <w:t xml:space="preserve">Critical Accounting Policies and Estimates</w:t>
            </w:r>
            <w:r>
              <w:t xml:space="preserve"> </w:t>
            </w:r>
            <w:r>
              <w:t xml:space="preserve">See Note 2 to our consolidated financial statements contained in Item 8 of this Annual Report for a complete summary of the significant accounting policies used in the presentation of our financial statements. As described in Note 2, we are required to make estimates and assumptions that affect the reported amounts and related disclosures of assets, liabilities, revenue, and expenses. We believe that our most critical accounting estimates are related to asset impairments and asset retirement obligations.</w:t>
            </w:r>
            <w:r>
              <w:t xml:space="preserve"> </w:t>
            </w:r>
            <w:r>
              <w:t xml:space="preserve">Our critical accounting policies and estimates are as follows:</w:t>
            </w:r>
            <w:r>
              <w:t xml:space="preserve"> </w:t>
            </w:r>
            <w:r>
              <w:t xml:space="preserve">Asset Impairments</w:t>
            </w:r>
            <w:r>
              <w:t xml:space="preserve"> </w:t>
            </w:r>
            <w:r>
              <w:t xml:space="preserve">Significant property acquisition payments for active exploration properties and the fair value of equity instruments, including common shares and warrants, issued for properties are capitalized. The evaluation of our mineral properties for impairment is based on market conditions for minerals, underlying mineralized material associated with the properties, and future costs that may be required for ultimate realization through mining operations or by sale. If no mineable ore body is discovered, or market conditions for minerals deteriorate, there is the potential for a material adjustment to the value assigned to mineral properties.</w:t>
            </w:r>
            <w:r>
              <w:t xml:space="preserve"> </w:t>
            </w:r>
            <w:r>
              <w:t xml:space="preserve">We review the carrying value of long-lived assets for impairment whenever events and circumstances indicate that the carrying value of an asset may not be recoverable from the estimated future cash flows expected to result from its use and eventual disposition. In cases where undiscounted expected future cash flows are less than the carrying value, an impairment or abandonment loss is recognized equal to an amount by which the carrying value exceeds the fair value of the asset. The factors considered by management in performing this assessment include current operating results, trends and prospects, the manner in which the asset is used, and the effects of obsolescence, demand, competition, and other economic factors.</w:t>
            </w:r>
            <w:r>
              <w:t xml:space="preserve"> </w:t>
            </w:r>
            <w:r>
              <w:t xml:space="preserve">Asset Retirement Obligations</w:t>
            </w:r>
            <w:r>
              <w:t xml:space="preserve"> </w:t>
            </w:r>
            <w:r>
              <w:t xml:space="preserve">We have an obligation to reclaim our properties after the surface has been disturbed by exploration methods at the site. As a result, we have recorded a liability for the fair value of the reclamation costs we expect to incur in association with our Eureka Property. We estimate applicable inflation and credit-adjusted risk-free rates, as well as expected reclamation time frames. To the extent that the estimated reclamation costs change, such changes will impact future reclamation expense recorded. A liability is recognized for the present value of estimated environmental remediation (asset retirement obligation) in the period in which the liability is incurred, if a reasonable estimate of fair value can be made. The offsetting balance is charged to the related long-lived asset. Adjustments are made to the liability for changes resulting from passage of time and changes to either the timing or amount of the original present value estimate underlying the obligation.</w:t>
            </w:r>
          </w:p>
        </w:tc>
        <w:tc>
          <w:tcPr/>
          <w:p>
            <w:pPr>
              <w:pStyle w:val="Compact"/>
            </w:pPr>
            <w:r>
              <w:t xml:space="preserve">20977</w:t>
            </w:r>
          </w:p>
        </w:tc>
        <w:tc>
          <w:tcPr/>
          <w:p>
            <w:pPr>
              <w:pStyle w:val="Compact"/>
            </w:pPr>
            <w:r>
              <w:t xml:space="preserve">42494</w:t>
            </w:r>
          </w:p>
        </w:tc>
        <w:tc>
          <w:tcPr/>
          <w:p>
            <w:pPr>
              <w:pStyle w:val="Compact"/>
            </w:pPr>
            <w:r>
              <w:t xml:space="preserve">28679</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ok</w:t>
            </w:r>
          </w:p>
        </w:tc>
        <w:tc>
          <w:tcPr/>
          <w:p>
            <w:pPr>
              <w:pStyle w:val="Compact"/>
            </w:pPr>
            <w:r>
              <w:t xml:space="preserve">None</w:t>
            </w:r>
          </w:p>
        </w:tc>
      </w:tr>
      <w:tr>
        <w:tc>
          <w:tcPr/>
          <w:p>
            <w:pPr>
              <w:pStyle w:val="Compact"/>
            </w:pPr>
            <w:r>
              <w:t xml:space="preserve">20240102_10-K_edgar_data_1827855_0001683168-24-000004.html</w:t>
            </w:r>
          </w:p>
        </w:tc>
        <w:tc>
          <w:tcPr/>
          <w:p>
            <w:pPr>
              <w:pStyle w:val="Compact"/>
            </w:pPr>
            <w:r>
              <w:t xml:space="preserve">..\data\SEC-10K-2024-HTML\20240102_10-K_edgar_data_1827855_0001683168-24-000004.html</w:t>
            </w:r>
          </w:p>
        </w:tc>
        <w:tc>
          <w:tcPr/>
          <w:p>
            <w:pPr>
              <w:pStyle w:val="Compact"/>
            </w:pPr>
            <w:r>
              <w:t xml:space="preserve">803318</w:t>
            </w:r>
          </w:p>
        </w:tc>
        <w:tc>
          <w:tcPr/>
          <w:p>
            <w:pPr>
              <w:pStyle w:val="Compact"/>
            </w:pPr>
            <w:r>
              <w:t xml:space="preserve">Item 1. Description of Business.</w:t>
            </w:r>
            <w:r>
              <w:t xml:space="preserve"> </w:t>
            </w:r>
            <w:r>
              <w:t xml:space="preserve">GENERAL INFORMATION ABOUT OUR COMPANY</w:t>
            </w:r>
            <w:r>
              <w:t xml:space="preserve"> </w:t>
            </w:r>
            <w:r>
              <w:t xml:space="preserve">Medicale Corp (“we,” “our”</w:t>
            </w:r>
            <w:r>
              <w:t xml:space="preserve"> </w:t>
            </w:r>
            <w:r>
              <w:t xml:space="preserve">or the “Company”) was incorporated in the State of Nevada on August 17, 2020. To date we have not generated revenue from our</w:t>
            </w:r>
            <w:r>
              <w:t xml:space="preserve"> </w:t>
            </w:r>
            <w:r>
              <w:t xml:space="preserve">business operations. Furthermore, as we are still in the early stages of developing our business and expect to operate at a loss as we</w:t>
            </w:r>
            <w:r>
              <w:t xml:space="preserve"> </w:t>
            </w:r>
            <w:r>
              <w:t xml:space="preserve">grow our business. There is little historical financial information about our Company upon which to base an evaluation of our performance</w:t>
            </w:r>
            <w:r>
              <w:t xml:space="preserve"> </w:t>
            </w:r>
            <w:r>
              <w:t xml:space="preserve">or to make a decision regarding an investment in our shares. We cannot guarantee that we will be successful in our business operations</w:t>
            </w:r>
            <w:r>
              <w:t xml:space="preserve"> </w:t>
            </w:r>
            <w:r>
              <w:t xml:space="preserve">or that we will achieve significant, if any, level of market acceptance for our proposed business operations and products. Our business</w:t>
            </w:r>
            <w:r>
              <w:t xml:space="preserve"> </w:t>
            </w:r>
            <w:r>
              <w:t xml:space="preserve">could be subject to any or all of the problems, expenses, delays and risks inherent in the establishment of a new business enterprise,</w:t>
            </w:r>
            <w:r>
              <w:t xml:space="preserve"> </w:t>
            </w:r>
            <w:r>
              <w:t xml:space="preserve">including limited capital resources, possible changes in consumer interest, possible cost overruns due to price and cost increases in</w:t>
            </w:r>
            <w:r>
              <w:t xml:space="preserve"> </w:t>
            </w:r>
            <w:r>
              <w:t xml:space="preserve">services or products we require.</w:t>
            </w:r>
            <w:r>
              <w:t xml:space="preserve"> </w:t>
            </w:r>
            <w:r>
              <w:t xml:space="preserve">We have never been subject to any bankruptcy proceedings.</w:t>
            </w:r>
            <w:r>
              <w:t xml:space="preserve"> </w:t>
            </w:r>
            <w:r>
              <w:t xml:space="preserve">The principal place of business is now located at 9314 Forest Hill Blvd #929, Wellington, FL 33411. Our telephone number is (407)245-7339.</w:t>
            </w:r>
            <w:r>
              <w:t xml:space="preserve"> </w:t>
            </w:r>
            <w:r>
              <w:t xml:space="preserve">As of the date of this report, the Company had not</w:t>
            </w:r>
            <w:r>
              <w:t xml:space="preserve"> </w:t>
            </w:r>
            <w:r>
              <w:t xml:space="preserve">yet commenced any operations. All activity through the date of this report relates to preserving cash, attempting to raise capital, and</w:t>
            </w:r>
            <w:r>
              <w:t xml:space="preserve"> </w:t>
            </w:r>
            <w:r>
              <w:t xml:space="preserve">continuing the Company’s public reporting.</w:t>
            </w:r>
          </w:p>
        </w:tc>
        <w:tc>
          <w:tcPr/>
          <w:p>
            <w:pPr>
              <w:pStyle w:val="Compact"/>
            </w:pPr>
            <w:r>
              <w:t xml:space="preserve">nan</w:t>
            </w:r>
          </w:p>
        </w:tc>
        <w:tc>
          <w:tcPr/>
          <w:p>
            <w:pPr>
              <w:pStyle w:val="Compact"/>
            </w:pPr>
            <w:r>
              <w:t xml:space="preserve">Item 7. Management’s Discussion and Analysis</w:t>
            </w:r>
            <w:r>
              <w:t xml:space="preserve"> </w:t>
            </w:r>
            <w:r>
              <w:t xml:space="preserve">of Financial Condition and Results of Operations.</w:t>
            </w:r>
            <w:r>
              <w:t xml:space="preserve"> </w:t>
            </w:r>
            <w:r>
              <w:t xml:space="preserve">We are a development stage corporation with limited</w:t>
            </w:r>
            <w:r>
              <w:t xml:space="preserve"> </w:t>
            </w:r>
            <w:r>
              <w:t xml:space="preserve">operations and no revenues from our business operations. Our auditors have issued a going concern opinion. This means that our auditors</w:t>
            </w:r>
            <w:r>
              <w:t xml:space="preserve"> </w:t>
            </w:r>
            <w:r>
              <w:t xml:space="preserve">believe there is substantial doubt that we can continue as an on-going business for the next twelve months. We do not anticipate that</w:t>
            </w:r>
            <w:r>
              <w:t xml:space="preserve"> </w:t>
            </w:r>
            <w:r>
              <w:t xml:space="preserve">we will generate significant revenues until we have raised the funds necessary to conduct a marketing program.</w:t>
            </w:r>
            <w:r>
              <w:t xml:space="preserve"> </w:t>
            </w:r>
            <w:r>
              <w:t xml:space="preserve">PLAN OF OPERATION</w:t>
            </w:r>
            <w:r>
              <w:t xml:space="preserve"> </w:t>
            </w:r>
            <w:r>
              <w:t xml:space="preserve">FISCAL YEAR ENDED SEPTEMBER 30, 2023 COMPARED TO FISCAL</w:t>
            </w:r>
            <w:r>
              <w:t xml:space="preserve"> </w:t>
            </w:r>
            <w:r>
              <w:t xml:space="preserve">YEAR ENDED SEPTEMBER 30, 2023.</w:t>
            </w:r>
            <w:r>
              <w:t xml:space="preserve"> </w:t>
            </w:r>
            <w:r>
              <w:t xml:space="preserve">Our net loss for the fiscal year ended September 30,</w:t>
            </w:r>
            <w:r>
              <w:t xml:space="preserve"> </w:t>
            </w:r>
            <w:r>
              <w:t xml:space="preserve">2023 was $37,138 compared to a net loss of $46,419 during the fiscal year ended September 30, 2022. In September 30, 2023 and September</w:t>
            </w:r>
            <w:r>
              <w:t xml:space="preserve"> </w:t>
            </w:r>
            <w:r>
              <w:t xml:space="preserve">30, 2022 the Company had generated $445 and Nil respectively.</w:t>
            </w:r>
            <w:r>
              <w:t xml:space="preserve"> </w:t>
            </w:r>
            <w:r>
              <w:t xml:space="preserve">All revenue generated by the Company was done so by</w:t>
            </w:r>
            <w:r>
              <w:t xml:space="preserve"> </w:t>
            </w:r>
            <w:r>
              <w:t xml:space="preserve">operations that have been discontinued.</w:t>
            </w:r>
            <w:r>
              <w:t xml:space="preserve"> </w:t>
            </w:r>
            <w:r>
              <w:t xml:space="preserve">Expenses incurred were $37,593 during fiscal year</w:t>
            </w:r>
            <w:r>
              <w:t xml:space="preserve"> </w:t>
            </w:r>
            <w:r>
              <w:t xml:space="preserve">ended September 30, 2023 compared to $44,019 during fiscal year ended September 30, 2022. Expenses increased due to the Company’s</w:t>
            </w:r>
            <w:r>
              <w:t xml:space="preserve"> </w:t>
            </w:r>
            <w:r>
              <w:t xml:space="preserve">operational activities.</w:t>
            </w:r>
            <w:r>
              <w:t xml:space="preserve"> </w:t>
            </w:r>
            <w:r>
              <w:t xml:space="preserve">The number of shares outstanding was 5,920,000</w:t>
            </w:r>
            <w:r>
              <w:t xml:space="preserve"> </w:t>
            </w:r>
            <w:r>
              <w:t xml:space="preserve">for the fiscal year ended September 30, 2023 and September 30, 2022.</w:t>
            </w:r>
            <w:r>
              <w:t xml:space="preserve"> </w:t>
            </w:r>
            <w:r>
              <w:t xml:space="preserve">2</w:t>
            </w:r>
            <w:r>
              <w:t xml:space="preserve"> </w:t>
            </w:r>
            <w:r>
              <w:t xml:space="preserve">LIQUIDITY AND CAPITAL RESOURCES</w:t>
            </w:r>
            <w:r>
              <w:t xml:space="preserve"> </w:t>
            </w:r>
            <w:r>
              <w:t xml:space="preserve">FISCAL YEAR ENDED September 30, 2023 and 2022.</w:t>
            </w:r>
            <w:r>
              <w:t xml:space="preserve"> </w:t>
            </w:r>
            <w:r>
              <w:t xml:space="preserve">As of September 30, 2023, our total assets were $159.</w:t>
            </w:r>
            <w:r>
              <w:t xml:space="preserve"> </w:t>
            </w:r>
            <w:r>
              <w:t xml:space="preserve">As of September 30, 2022, our total assets were $0.</w:t>
            </w:r>
            <w:r>
              <w:t xml:space="preserve"> </w:t>
            </w:r>
            <w:r>
              <w:t xml:space="preserve">Cash Flows from Operating Activities</w:t>
            </w:r>
            <w:r>
              <w:t xml:space="preserve"> </w:t>
            </w:r>
            <w:r>
              <w:t xml:space="preserve">We have not generated positive cash flows from operating</w:t>
            </w:r>
            <w:r>
              <w:t xml:space="preserve"> </w:t>
            </w:r>
            <w:r>
              <w:t xml:space="preserve">activities. For the fiscal year ended September 30, 2023, net cash flows used in operating activities was $25,739. For the fiscal year</w:t>
            </w:r>
            <w:r>
              <w:t xml:space="preserve"> </w:t>
            </w:r>
            <w:r>
              <w:t xml:space="preserve">ended September 30, 2022, net cash flows used in operating activities was $24,619.</w:t>
            </w:r>
            <w:r>
              <w:t xml:space="preserve"> </w:t>
            </w:r>
            <w:r>
              <w:t xml:space="preserve">Cash Flows from Investing Activities</w:t>
            </w:r>
            <w:r>
              <w:t xml:space="preserve"> </w:t>
            </w:r>
            <w:r>
              <w:t xml:space="preserve">We have not generated cash flows from investing activities</w:t>
            </w:r>
            <w:r>
              <w:t xml:space="preserve"> </w:t>
            </w:r>
            <w:r>
              <w:t xml:space="preserve">for the fiscal years ended September 30, 2023, and 2022.</w:t>
            </w:r>
            <w:r>
              <w:t xml:space="preserve"> </w:t>
            </w:r>
            <w:r>
              <w:t xml:space="preserve">Cash Flows from Financing Activities</w:t>
            </w:r>
            <w:r>
              <w:t xml:space="preserve"> </w:t>
            </w:r>
            <w:r>
              <w:t xml:space="preserve">We have financed our operations primarily from either</w:t>
            </w:r>
            <w:r>
              <w:t xml:space="preserve"> </w:t>
            </w:r>
            <w:r>
              <w:t xml:space="preserve">advances from our sole executive or the issuance of equity. For the fiscal year ended September 30, 2023, net cash provided by financing</w:t>
            </w:r>
            <w:r>
              <w:t xml:space="preserve"> </w:t>
            </w:r>
            <w:r>
              <w:t xml:space="preserve">activities was $25,898. For the fiscal year ended September 30, 2022, net cash from financing activities was $6,144.</w:t>
            </w:r>
            <w:r>
              <w:t xml:space="preserve"> </w:t>
            </w:r>
            <w:r>
              <w:t xml:space="preserve">OFF-BALANCE SHEET ARRANGEMENTS</w:t>
            </w:r>
            <w:r>
              <w:t xml:space="preserve"> </w:t>
            </w:r>
            <w:r>
              <w:t xml:space="preserve">We have no off-balance sheet arrangements that have</w:t>
            </w:r>
            <w:r>
              <w:t xml:space="preserve"> </w:t>
            </w:r>
            <w:r>
              <w:t xml:space="preserve">or are reasonably likely to have a current or future effect on our financial condition, changes in financial condition, revenues or expenses,</w:t>
            </w:r>
            <w:r>
              <w:t xml:space="preserve"> </w:t>
            </w:r>
            <w:r>
              <w:t xml:space="preserve">results of operations, liquidity, capital expenditures or capital resources.</w:t>
            </w:r>
            <w:r>
              <w:t xml:space="preserve"> </w:t>
            </w:r>
            <w:r>
              <w:t xml:space="preserve">GOING CONCERN</w:t>
            </w:r>
            <w:r>
              <w:t xml:space="preserve"> </w:t>
            </w:r>
            <w:r>
              <w:t xml:space="preserve">There is no historical financial information about</w:t>
            </w:r>
            <w:r>
              <w:t xml:space="preserve"> </w:t>
            </w:r>
            <w:r>
              <w:t xml:space="preserve">us upon which to base an evaluation of our performance. We are in start-up stage operations and have not generated any revenues. We cannot</w:t>
            </w:r>
            <w:r>
              <w:t xml:space="preserve"> </w:t>
            </w:r>
            <w:r>
              <w:t xml:space="preserve">guarantee we will be successful in our business operations. Our business is subject to risks inherent in the establishment of a new business</w:t>
            </w:r>
            <w:r>
              <w:t xml:space="preserve"> </w:t>
            </w:r>
            <w:r>
              <w:t xml:space="preserve">enterprise, including limited capital resources and possible cost overruns due to price and cost increases in services and products.</w:t>
            </w:r>
            <w:r>
              <w:t xml:space="preserve"> </w:t>
            </w:r>
            <w:r>
              <w:t xml:space="preserve">We have no assurance that future financing will be</w:t>
            </w:r>
            <w:r>
              <w:t xml:space="preserve"> </w:t>
            </w:r>
            <w:r>
              <w:t xml:space="preserve">available to us on acceptable terms. If financing is not available on satisfactory terms, we may be unable to continue, develop or expand</w:t>
            </w:r>
            <w:r>
              <w:t xml:space="preserve"> </w:t>
            </w:r>
            <w:r>
              <w:t xml:space="preserve">our operations. Equity financing could result in additional dilution to existing shareholders.</w:t>
            </w:r>
            <w:r>
              <w:t xml:space="preserve"> </w:t>
            </w:r>
            <w:r>
              <w:t xml:space="preserve">The extent of the impact of the coronavirus (“COVID-19”)</w:t>
            </w:r>
            <w:r>
              <w:t xml:space="preserve"> </w:t>
            </w:r>
            <w:r>
              <w:t xml:space="preserve">outbreak on the financial performance of the Company will depend on future developments, including the duration and spread of the outbreak</w:t>
            </w:r>
            <w:r>
              <w:t xml:space="preserve"> </w:t>
            </w:r>
            <w:r>
              <w:t xml:space="preserve">and related advisories and restrictions and the impact of COVID-19 on the overall economy, all of which are highly uncertain and cannot</w:t>
            </w:r>
            <w:r>
              <w:t xml:space="preserve"> </w:t>
            </w:r>
            <w:r>
              <w:t xml:space="preserve">be predicted. If the overall economy is impacted for an extended period, the Company’s future operating results may be materially</w:t>
            </w:r>
            <w:r>
              <w:t xml:space="preserve"> </w:t>
            </w:r>
            <w:r>
              <w:t xml:space="preserve">adversely affected.</w:t>
            </w:r>
            <w:r>
              <w:t xml:space="preserve"> </w:t>
            </w:r>
            <w:r>
              <w:t xml:space="preserve">3</w:t>
            </w:r>
            <w:r>
              <w:t xml:space="preserve"> </w:t>
            </w:r>
            <w:r>
              <w:t xml:space="preserve">Critical Accounting Policies</w:t>
            </w:r>
            <w:r>
              <w:t xml:space="preserve"> </w:t>
            </w:r>
            <w:r>
              <w:t xml:space="preserve">The discussion and analysis of our financial condition</w:t>
            </w:r>
            <w:r>
              <w:t xml:space="preserve"> </w:t>
            </w:r>
            <w:r>
              <w:t xml:space="preserve">and results of operations are based upon our financial statements, which have been prepared in accordance with the accounting principles</w:t>
            </w:r>
            <w:r>
              <w:t xml:space="preserve"> </w:t>
            </w:r>
            <w:r>
              <w:t xml:space="preserve">generally accepted in the United States of America. Preparing financial statements requires management to make estimates and assumptions</w:t>
            </w:r>
            <w:r>
              <w:t xml:space="preserve"> </w:t>
            </w:r>
            <w:r>
              <w:t xml:space="preserve">that affect the reported amounts of assets, liabilities, and expenses. These estimates and assumptions are affected by management’s</w:t>
            </w:r>
            <w:r>
              <w:t xml:space="preserve"> </w:t>
            </w:r>
            <w:r>
              <w:t xml:space="preserve">application of accounting policies. We believe that understanding the basis and nature of the estimates and assumptions involved with</w:t>
            </w:r>
            <w:r>
              <w:t xml:space="preserve"> </w:t>
            </w:r>
            <w:r>
              <w:t xml:space="preserve">the following aspects of our financial statements is critical to an understanding of our financial statements.</w:t>
            </w:r>
            <w:r>
              <w:t xml:space="preserve"> </w:t>
            </w:r>
            <w:r>
              <w:t xml:space="preserve">Use of Estimates</w:t>
            </w:r>
            <w:r>
              <w:t xml:space="preserve"> </w:t>
            </w:r>
            <w:r>
              <w:t xml:space="preserve">The preparation of financial statements in conformity</w:t>
            </w:r>
            <w:r>
              <w:t xml:space="preserve"> </w:t>
            </w:r>
            <w:r>
              <w:t xml:space="preserve">with accounting principles generally accepted in the United States of America requires management to make estimates and assumptions that</w:t>
            </w:r>
            <w:r>
              <w:t xml:space="preserve"> </w:t>
            </w:r>
            <w:r>
              <w:t xml:space="preserve">affect the reported amounts of assets and liabilities and disclosure of contingent assets and liabilities at the date of the financial</w:t>
            </w:r>
            <w:r>
              <w:t xml:space="preserve"> </w:t>
            </w:r>
            <w:r>
              <w:t xml:space="preserve">statements. The estimates and judgments will also affect the reported amounts for certain expenses during the reporting period. Actual</w:t>
            </w:r>
            <w:r>
              <w:t xml:space="preserve"> </w:t>
            </w:r>
            <w:r>
              <w:t xml:space="preserve">results could differ from these good faith estimates and judgments.</w:t>
            </w:r>
          </w:p>
        </w:tc>
        <w:tc>
          <w:tcPr/>
          <w:p>
            <w:pPr>
              <w:pStyle w:val="Compact"/>
            </w:pPr>
            <w:r>
              <w:t xml:space="preserve">1511</w:t>
            </w:r>
          </w:p>
        </w:tc>
        <w:tc>
          <w:tcPr/>
          <w:p>
            <w:pPr>
              <w:pStyle w:val="Compact"/>
            </w:pPr>
            <w:r>
              <w:t xml:space="preserve">0</w:t>
            </w:r>
          </w:p>
        </w:tc>
        <w:tc>
          <w:tcPr/>
          <w:p>
            <w:pPr>
              <w:pStyle w:val="Compact"/>
            </w:pPr>
            <w:r>
              <w:t xml:space="preserve">5263</w:t>
            </w:r>
          </w:p>
        </w:tc>
        <w:tc>
          <w:tcPr/>
          <w:p>
            <w:pPr>
              <w:pStyle w:val="Compact"/>
            </w:pPr>
            <w:r>
              <w:t xml:space="preserve">False</w:t>
            </w:r>
          </w:p>
        </w:tc>
        <w:tc>
          <w:tcPr/>
          <w:p>
            <w:pPr>
              <w:pStyle w:val="Compact"/>
            </w:pPr>
            <w:r>
              <w:t xml:space="preserve">True</w:t>
            </w:r>
          </w:p>
        </w:tc>
        <w:tc>
          <w:tcPr/>
          <w:p>
            <w:pPr>
              <w:pStyle w:val="Compact"/>
            </w:pPr>
            <w:r>
              <w:t xml:space="preserve">False</w:t>
            </w:r>
          </w:p>
        </w:tc>
        <w:tc>
          <w:tcPr/>
          <w:p>
            <w:pPr>
              <w:pStyle w:val="Compact"/>
            </w:pPr>
            <w:r>
              <w:t xml:space="preserve">recheck</w:t>
            </w:r>
          </w:p>
        </w:tc>
        <w:tc>
          <w:tcPr/>
          <w:p>
            <w:pPr>
              <w:pStyle w:val="Compact"/>
            </w:pPr>
            <w:r>
              <w:t xml:space="preserve">None</w:t>
            </w:r>
          </w:p>
        </w:tc>
      </w:tr>
      <w:tr>
        <w:tc>
          <w:tcPr/>
          <w:p>
            <w:pPr>
              <w:pStyle w:val="Compact"/>
            </w:pPr>
            <w:r>
              <w:t xml:space="preserve">20240102_10-K_edgar_data_90168_0000090168-23-000083.html</w:t>
            </w:r>
          </w:p>
        </w:tc>
        <w:tc>
          <w:tcPr/>
          <w:p>
            <w:pPr>
              <w:pStyle w:val="Compact"/>
            </w:pPr>
            <w:r>
              <w:t xml:space="preserve">..\data\SEC-10K-2024-HTML\20240102_10-K_edgar_data_90168_0000090168-23-000083.html</w:t>
            </w:r>
          </w:p>
        </w:tc>
        <w:tc>
          <w:tcPr/>
          <w:p>
            <w:pPr>
              <w:pStyle w:val="Compact"/>
            </w:pPr>
            <w:r>
              <w:t xml:space="preserve">3699455</w:t>
            </w:r>
          </w:p>
        </w:tc>
        <w:tc>
          <w:tcPr/>
          <w:p>
            <w:pPr>
              <w:pStyle w:val="Compact"/>
            </w:pPr>
            <w:r>
              <w:t xml:space="preserve">Item 1. Business</w:t>
            </w:r>
            <w:r>
              <w:t xml:space="preserve"> </w:t>
            </w:r>
            <w:r>
              <w:t xml:space="preserve">A.</w:t>
            </w:r>
            <w:r>
              <w:t xml:space="preserve"> </w:t>
            </w:r>
            <w:r>
              <w:t xml:space="preserve">The Company</w:t>
            </w:r>
            <w:r>
              <w:t xml:space="preserve"> </w:t>
            </w:r>
            <w:r>
              <w:t xml:space="preserve">SIFCO Industries, Inc. ("SIFCO," "Company," "we" or "our"), an Ohio corporation, was incorporated in 1916. The executive offices of the Company are located at 970 East 64th Street, Cleveland, Ohio 44103, and its telephone number is (216) 881-8600.</w:t>
            </w:r>
            <w:r>
              <w:t xml:space="preserve"> </w:t>
            </w:r>
            <w:r>
              <w:t xml:space="preserve">SIFCO is engaged in the production of forgings, sub-assemblies, and machined components primarily for the Aerospace and Energy ("A&amp;E") markets. The processes and services include forging, heat-treating, chemical processing and machining. The Company's operations are conducted in a single business segment. Information relating to the Company's financial results is set forth in the consolidated financial statements included in Item 8 of this Annual Report on Form 10-K.</w:t>
            </w:r>
            <w:r>
              <w:t xml:space="preserve"> </w:t>
            </w:r>
            <w:r>
              <w:t xml:space="preserve">Cybersecurity Incident</w:t>
            </w:r>
            <w:r>
              <w:t xml:space="preserve"> </w:t>
            </w:r>
            <w:r>
              <w:t xml:space="preserve">As reported on Forms 8-K filed January 6, 2023 and February 10, 2023, the Company became aware of unauthorized access to the Company's systems on December 30, 2022. The Company’s domestic operations were impacted by this Cybersecurity Incident ("Cyber Incident") which resulted in production delays and delayed shipments due to information access limitations. The Company immediately initiated response protocols and an investigation, engaging cyber security experts to assist with the assessment of the incident and to help determine what data was impacted. The Company has since completed data recovery and restoration from the cyber incident. See Note 11</w:t>
            </w:r>
            <w:r>
              <w:t xml:space="preserve"> </w:t>
            </w:r>
            <w:r>
              <w:t xml:space="preserve">, Commitments and Contingencies.</w:t>
            </w:r>
            <w:r>
              <w:t xml:space="preserve"> </w:t>
            </w:r>
            <w:r>
              <w:t xml:space="preserve">B.</w:t>
            </w:r>
            <w:r>
              <w:t xml:space="preserve"> </w:t>
            </w:r>
            <w:r>
              <w:t xml:space="preserve">Principal Products and Services</w:t>
            </w:r>
            <w:r>
              <w:t xml:space="preserve"> </w:t>
            </w:r>
            <w:r>
              <w:t xml:space="preserve">Operations</w:t>
            </w:r>
            <w:r>
              <w:t xml:space="preserve"> </w:t>
            </w:r>
            <w:r>
              <w:t xml:space="preserve">SIFCO is a manufacturer of forgings and machined components for the Aerospace and Defense, Energy and Commercial Space markets. We provide our customers with envelope and precision forgings, rough and finished machined components, as well as sub-assemblies. SIFCO services both original equipment manufacturers ("OEM"), Tier 1 and Tier 2 suppliers, and aftermarket service providers with products that range in size from approximately 2 to 1,200 pounds. The Company's strategic vision is to build a leading A&amp;E company positioned for long-term, stable growth and profitability.</w:t>
            </w:r>
            <w:r>
              <w:t xml:space="preserve"> </w:t>
            </w:r>
            <w:r>
              <w:t xml:space="preserve">SIFCO's long-term plan is to have a balance comprised of military and commercial aerospace revenues, supplemented with energy, commercial space, and adjacent market components. In fiscal 2023, commercial and military revenues accounted for 55.6% and 44.4% of revenues, respectively, compared with 47.4% in commercial revenues and 52.6% in military revenues in fiscal 2022. The Company's capabilities are focused on supplying critical components, consisting primarily of steel, high temperature alloys, nickel alloys, titanium and aluminum.</w:t>
            </w:r>
            <w:r>
              <w:t xml:space="preserve"> </w:t>
            </w:r>
            <w:r>
              <w:t xml:space="preserve">SIFCO operates from multiple locations. SIFCO manufacturing facilities are located in Cleveland, Ohio ("Cleveland"); Orange, California ("Orange"); and Maniago, Italy ("Maniago"). SIFCO's operations are AS 9100D and/or ISO 9001:2015 certified and the Company also holds multiple National Aerospace and Defense Contractors Accreditation Program (“NADCAP”) certifications and site approvals from key OEM customers. During fiscal year 2022, the Company was subject to a NADCAP audit in Orange pursuant to which maintenance issues were identified that required remediation in order to meet the requisite qualifications for NADCAP Certification. The Company temporarily lost NADCAP Certification at its Orange location in the third quarter of fiscal 2022 and was required to outsource the process that required such certification to a third party. The Company regained such NADCAP Certification in Orange in the first quarter of fiscal 2023 and was able to fully resume operations.</w:t>
            </w:r>
            <w:r>
              <w:t xml:space="preserve"> </w:t>
            </w:r>
            <w:r>
              <w:t xml:space="preserve">The Company's success is not dependent on patents, trademarks, licenses or franchises.</w:t>
            </w:r>
            <w:r>
              <w:t xml:space="preserve"> </w:t>
            </w:r>
            <w:r>
              <w:t xml:space="preserve">Raw Materials</w:t>
            </w:r>
            <w:r>
              <w:t xml:space="preserve"> </w:t>
            </w:r>
            <w:r>
              <w:t xml:space="preserve">While the residual effects from the COVID-19 pandemic disrupted the global supply chain and availability of raw materials, SIFCO generally has multiple sources for its raw materials, which consist primarily of high-quality metals essential to its business. Suppliers of such materials are located principally in North America and Europe. SIFCO generally does not depend on a single source for the supply of its materials. Due to the limited supply of certain raw materials, some material is provided by a small number of suppliers; however, SIFCO believes that its sources are adequate for its busines</w:t>
            </w:r>
            <w:r>
              <w:t xml:space="preserve"> </w:t>
            </w:r>
            <w:r>
              <w:t xml:space="preserve">s. The Company has experienced delays in the supply chain, which could effect our ability to timely obtain materials and components from our suppliers in the quantities we require or on favorable ter</w:t>
            </w:r>
            <w:r>
              <w:t xml:space="preserve"> </w:t>
            </w:r>
            <w:r>
              <w:t xml:space="preserve">ms. As a result of supply chain disruptions and inflationary pressures, the Company has experienced increases in pricing for raw materials which could effect our customer demand and cost.</w:t>
            </w:r>
            <w:r>
              <w:t xml:space="preserve"> </w:t>
            </w:r>
            <w:r>
              <w:t xml:space="preserve">4</w:t>
            </w:r>
            <w:r>
              <w:t xml:space="preserve"> </w:t>
            </w:r>
            <w:r>
              <w:t xml:space="preserve">Table of Contents</w:t>
            </w:r>
            <w:r>
              <w:t xml:space="preserve"> </w:t>
            </w:r>
            <w:r>
              <w:t xml:space="preserve">However, SIFCO believes that its ability to pass through raw material costs on certain contractual agreements and discrete orders limits this exposure. For those contractual agreements, in which pass through pricing is not permissible, a material adverse effect upon the profitability of one or more of the affected contracts, future period financial reporting and performance may result.</w:t>
            </w:r>
            <w:r>
              <w:t xml:space="preserve"> </w:t>
            </w:r>
            <w:r>
              <w:t xml:space="preserve">Products</w:t>
            </w:r>
            <w:r>
              <w:t xml:space="preserve"> </w:t>
            </w:r>
            <w:r>
              <w:t xml:space="preserve">SIFCO’s products are made primarily of steel, high temperature alloys, nickel alloy, titanium and aluminum. SIFCO's product offerings include: OEM and aftermarket components for aircraft and industrial gas turbine engines; steam turbine blades; structural airframe components; aircraft landing gear components; aircraft wheels and brakes; critical rotating components for helicopters; and commercial/industrial products. SIFCO also provides heat-treatment, surface-treatment, non-destructive testing and select machining and sub-assembly of forged components.</w:t>
            </w:r>
            <w:r>
              <w:t xml:space="preserve"> </w:t>
            </w:r>
            <w:r>
              <w:t xml:space="preserve">Industry</w:t>
            </w:r>
            <w:r>
              <w:t xml:space="preserve"> </w:t>
            </w:r>
            <w:r>
              <w:t xml:space="preserve">The performance of the domestic and international air transport industry, the energy industry, as well as government defense spending, directly and significantly impact the performance of SIFCO. The residual impacts of COVID-19 continue to be assessed by the Company. While demand for travel declined at a rapid pace beginning in the second half of our fiscal 2020, commercial air travel has progressively shown signs of recovery to pre-pandemic levels in fiscal 2023 with increasing air traffic, in both domestic and international markets.</w:t>
            </w:r>
            <w:r>
              <w:t xml:space="preserve"> </w:t>
            </w:r>
            <w:r>
              <w:t xml:space="preserve">•</w:t>
            </w:r>
            <w:r>
              <w:t xml:space="preserve"> </w:t>
            </w:r>
            <w:r>
              <w:t xml:space="preserve">SIFCO supplies new and spare components to the U.S. military for aircraft, helicopters, vehicles, and munitions. The Company's top programs include Blackhawk (H60), C-130, F-18 and F-35. The defense budget in the United States varies from year to year, driven by defense procurement policy and government budget constraints. Coming out of the pandemic, the defense aerospace market has been impacted by COVID overproduction and build rates. Uncertainty may arise if the government reprioritizes funding as a result of, among other factors, potential changes in the threat environment, defense spending levels, government priorities, political leadership, procurement strategy, military strategy and planning, and broader changes in social, economic or political demands or priorities. Certain programs in which the Company participates have seen favorable trends, which are expected to continue.</w:t>
            </w:r>
            <w:r>
              <w:t xml:space="preserve"> </w:t>
            </w:r>
            <w:r>
              <w:t xml:space="preserve">•</w:t>
            </w:r>
            <w:r>
              <w:t xml:space="preserve"> </w:t>
            </w:r>
            <w:r>
              <w:t xml:space="preserve">SIFCO supplies components for commercial aircraft, principally for large aircraft produced by Boeing and Airbus, and for general aviation. Domestic and international travel are now at pre-pandemic levels. Build rates, particularly the Boeing 777-9 (formerly 777X), 787, 737 MAX and the Airbus A350, declined and partially rebounded in 2022, but not as quickly as previously anticipated. In fiscal year 2023, build rates on these platforms continued to rebound.</w:t>
            </w:r>
            <w:r>
              <w:t xml:space="preserve"> </w:t>
            </w:r>
            <w:r>
              <w:t xml:space="preserve">•</w:t>
            </w:r>
            <w:r>
              <w:t xml:space="preserve"> </w:t>
            </w:r>
            <w:r>
              <w:t xml:space="preserve">SIFCO supplies new and spare components to the energy industry, particularly the industrial gas and steam turbine markets. While alternative energy markets continue to strengthen, oil and gas prices are expected to rebound given rising gas prices from historic lows. As such, it's currently anticipated that purchases of parts and supplies within the industry will increase. SIFCO has positioned itself to be less dependent on OEM production, but with flexibility to address the demand cycle in this segment as well as continuing to support the aftermarket.</w:t>
            </w:r>
            <w:r>
              <w:t xml:space="preserve"> </w:t>
            </w:r>
            <w:r>
              <w:t xml:space="preserve">•</w:t>
            </w:r>
            <w:r>
              <w:t xml:space="preserve"> </w:t>
            </w:r>
            <w:r>
              <w:t xml:space="preserve">SIFCO supplies components to the commercial space industry, which is rapidly evolving. An increasing number of companies are participating in the space launch and reentry programs, which brings continuous development, innovation in technologies, and new approaches in this market. We believe there is an opportunity for SIFCO to gain an increased market share as this industry continues to evolve and grow.</w:t>
            </w:r>
            <w:r>
              <w:t xml:space="preserve"> </w:t>
            </w:r>
            <w:r>
              <w:t xml:space="preserve">•</w:t>
            </w:r>
            <w:r>
              <w:t xml:space="preserve"> </w:t>
            </w:r>
            <w:r>
              <w:t xml:space="preserve">SIFCO supplies components to the semiconductor industry, for use in the manufacture of microchips. These components require very challenging material properties and purity. Our technical expertise has allowed SIFCO to gain customer certifications for a variety of materials in the this application. We believe this market holds growth opportunity for SIFCO.</w:t>
            </w:r>
            <w:r>
              <w:t xml:space="preserve"> </w:t>
            </w:r>
            <w:r>
              <w:t xml:space="preserve">Competition</w:t>
            </w:r>
            <w:r>
              <w:t xml:space="preserve"> </w:t>
            </w:r>
            <w:r>
              <w:t xml:space="preserve">SIFCO competes with numerous companies, both in and tangential to the A&amp;E industry, of which fifteen are known by SIFCO. SIFCO competes with both U.S. and non-U.S. suppliers of forgings, some of which are significantly larger than SIFCO; however, our competitors range from companies focused on the A&amp;E markets to large diversified corporations that may also have business interests outside of the A&amp;E markets to smaller companies that offer a limited portfolio of products in this market. SIFCO believes that it has an advantage and distinguishes itself in the primary markets it serves due to its: (i) demonstrated A&amp;E expertise; (ii) focus on quality and customer service; (iii) operating initiatives such as SMART (Streamlined Manufacturing Activities to Reduce Time/Cost) and Six Sigma; and (iv) broad range of capabilities and offerings. As customers establish and utilize new facilities throughout the world, SIFCO will continue to encounter non-U.S. competition. SIFCO believes it can expand its market share by (i) continuing to increase capacity utilization; (ii) broadening its product lines through</w:t>
            </w:r>
            <w:r>
              <w:t xml:space="preserve"> </w:t>
            </w:r>
            <w:r>
              <w:t xml:space="preserve">5</w:t>
            </w:r>
            <w:r>
              <w:t xml:space="preserve"> </w:t>
            </w:r>
            <w:r>
              <w:t xml:space="preserve">Table of Contents</w:t>
            </w:r>
            <w:r>
              <w:t xml:space="preserve"> </w:t>
            </w:r>
            <w:r>
              <w:t xml:space="preserve">investment in equipment that expands its manufacturing capabilities; and (iii) developing new customers in markets where the participants require similar technical competence and service as those in the A&amp;E industries. See further discussion of the risks relating to competition SIFCO faces in Item 1A.</w:t>
            </w:r>
            <w:r>
              <w:t xml:space="preserve"> </w:t>
            </w:r>
            <w:r>
              <w:t xml:space="preserve">Risk Factors</w:t>
            </w:r>
            <w:r>
              <w:t xml:space="preserve"> </w:t>
            </w:r>
            <w:r>
              <w:t xml:space="preserve">.</w:t>
            </w:r>
            <w:r>
              <w:t xml:space="preserve"> </w:t>
            </w:r>
            <w:r>
              <w:t xml:space="preserve">Government Contracts</w:t>
            </w:r>
            <w:r>
              <w:t xml:space="preserve"> </w:t>
            </w:r>
            <w:r>
              <w:t xml:space="preserve">Companies, such as SIFCO, that supply equipment and products to the U.S. military are subject to certain risks related to commercial relationships with the U.S. government and its agencies. Under the terms of these agreements, it is possible for demand and build rates to fluctuate or for the U.S. government to terminate existing contracts.</w:t>
            </w:r>
            <w:r>
              <w:t xml:space="preserve"> </w:t>
            </w:r>
            <w:r>
              <w:t xml:space="preserve">Customers</w:t>
            </w:r>
            <w:r>
              <w:t xml:space="preserve"> </w:t>
            </w:r>
            <w:r>
              <w:t xml:space="preserve">During fiscal 2023, SIFCO had one direct customer that accounted for 12% of consolidated net sales; and 32% of the Company's consolidated net sales were from three customers and their direct subcontractors, which individually accounted for 12%, 10% and 10% of net sales, respectively. SIFCO believes that the loss of sales to such customers would result in a material adverse impact on the business. However, SIFCO has maintained a business relationship with these customers for many years and is currently conducting business with them under multi-year agreements. Although there is no assurance that these relationships will continue, as one or more major customers have reduced their purchases, SIFCO has generally been successful in gaining new business, thereby avoiding a material adverse impact on the Company. SIFCO relies on its ability to adapt its services and operations to changing requirements of the market in general and its customers in particular. No material part of SIFCO’s business is seasonal. For additional financial information about geographic areas, refer to Note 12,</w:t>
            </w:r>
            <w:r>
              <w:t xml:space="preserve"> </w:t>
            </w:r>
            <w:r>
              <w:t xml:space="preserve">Business Information</w:t>
            </w:r>
            <w:r>
              <w:t xml:space="preserve"> </w:t>
            </w:r>
            <w:r>
              <w:t xml:space="preserve">.</w:t>
            </w:r>
            <w:r>
              <w:t xml:space="preserve"> </w:t>
            </w:r>
            <w:r>
              <w:t xml:space="preserve">Backlog of Orders</w:t>
            </w:r>
            <w:r>
              <w:t xml:space="preserve"> </w:t>
            </w:r>
            <w:r>
              <w:t xml:space="preserve">SIFCO’s total backlog as of September 30, 2023</w:t>
            </w:r>
            <w:r>
              <w:t xml:space="preserve"> </w:t>
            </w:r>
            <w:r>
              <w:t xml:space="preserve">increased to $120.1 million, co</w:t>
            </w:r>
            <w:r>
              <w:t xml:space="preserve"> </w:t>
            </w:r>
            <w:r>
              <w:t xml:space="preserve">mpared with $81.9 million as of September 30, 2022. Orders for delivery scheduled in the upcoming fiscal year 2024</w:t>
            </w:r>
            <w:r>
              <w:t xml:space="preserve"> </w:t>
            </w:r>
            <w:r>
              <w:t xml:space="preserve">increased to $89.6 m</w:t>
            </w:r>
            <w:r>
              <w:t xml:space="preserve"> </w:t>
            </w:r>
            <w:r>
              <w:t xml:space="preserve">illion compared with $65.5 million scheduled in fiscal 2023. Orders may be subject to modification or cancellation by the customer with limited charges. The increase in total backlog as of September 30, 2023 compared with the previous year is primarily</w:t>
            </w:r>
            <w:r>
              <w:t xml:space="preserve"> </w:t>
            </w:r>
            <w:r>
              <w:t xml:space="preserve">due to tim</w:t>
            </w:r>
            <w:r>
              <w:t xml:space="preserve"> </w:t>
            </w:r>
            <w:r>
              <w:t xml:space="preserve">ing of annual awards, SIFCO's customers adjusting orders due to recovery within the commercial airline industry, new content awarded, and extended raw material lead times.</w:t>
            </w:r>
            <w:r>
              <w:t xml:space="preserve"> </w:t>
            </w:r>
            <w:r>
              <w:t xml:space="preserve">Backlog information may not be indic</w:t>
            </w:r>
            <w:r>
              <w:t xml:space="preserve"> </w:t>
            </w:r>
            <w:r>
              <w:t xml:space="preserve">ative of future sales.</w:t>
            </w:r>
            <w:r>
              <w:t xml:space="preserve"> </w:t>
            </w:r>
            <w:r>
              <w:t xml:space="preserve">C.</w:t>
            </w:r>
            <w:r>
              <w:t xml:space="preserve"> </w:t>
            </w:r>
            <w:r>
              <w:t xml:space="preserve">Regulatory Matters</w:t>
            </w:r>
            <w:r>
              <w:t xml:space="preserve"> </w:t>
            </w:r>
            <w:r>
              <w:t xml:space="preserve">The Company is subject to a number of domestic and foreign regulations relating to our operations worldwide and is required to comply with various environmental, health, and employee safety laws and regulations. The Company believes that it is in compliance with these laws and regulations. Historically, compliance with such laws and regulations have not had, and are not presently expected to have a material effect on capital expenditures, earnings or competitive position of the Company or its subsidiaries under existing regulations and interpretations. Nevertheless, the Company cannot guarantee that, in the future, it will not incur additional costs for compliance or that such costs will not be material.</w:t>
            </w:r>
            <w:r>
              <w:t xml:space="preserve"> </w:t>
            </w:r>
            <w:r>
              <w:t xml:space="preserve">D.</w:t>
            </w:r>
            <w:r>
              <w:t xml:space="preserve"> </w:t>
            </w:r>
            <w:r>
              <w:t xml:space="preserve">Human Capital Management</w:t>
            </w:r>
            <w:r>
              <w:t xml:space="preserve"> </w:t>
            </w:r>
            <w:r>
              <w:t xml:space="preserve">SIFCO employed approximat</w:t>
            </w:r>
            <w:r>
              <w:t xml:space="preserve"> </w:t>
            </w:r>
            <w:r>
              <w:t xml:space="preserve">ely</w:t>
            </w:r>
            <w:r>
              <w:t xml:space="preserve"> </w:t>
            </w:r>
            <w:r>
              <w:t xml:space="preserve">348 f</w:t>
            </w:r>
            <w:r>
              <w:t xml:space="preserve"> </w:t>
            </w:r>
            <w:r>
              <w:t xml:space="preserve">ul</w:t>
            </w:r>
            <w:r>
              <w:t xml:space="preserve"> </w:t>
            </w:r>
            <w:r>
              <w:t xml:space="preserve">l-time employees at the beginning of fiscal 2023, which increased to ap</w:t>
            </w:r>
            <w:r>
              <w:t xml:space="preserve"> </w:t>
            </w:r>
            <w:r>
              <w:t xml:space="preserve">proximatel</w:t>
            </w:r>
            <w:r>
              <w:t xml:space="preserve"> </w:t>
            </w:r>
            <w:r>
              <w:t xml:space="preserve">y 368</w:t>
            </w:r>
            <w:r>
              <w:t xml:space="preserve"> </w:t>
            </w:r>
            <w:r>
              <w:t xml:space="preserve">employees at the end of fiscal 2023.</w:t>
            </w:r>
            <w:r>
              <w:t xml:space="preserve"> </w:t>
            </w:r>
            <w:r>
              <w:t xml:space="preserve">The Company’s employees include full-time, part-time, and temporary employees. Approximately 68% of our employees were located within the U.S. and 32% of our employees were located in Italy. Approximately 61% of our workforce within the U.S. is composed of skilled and unskilled labor, and the remaining population includes management, corporate, administrative and support staff.</w:t>
            </w:r>
            <w:r>
              <w:t xml:space="preserve"> </w:t>
            </w:r>
            <w:r>
              <w:t xml:space="preserve">The Company is a party to collective bargaining agreements ("CBA") with certain employees within the Cleveland location. The Company ratified its CBA with one such bargaining unit in</w:t>
            </w:r>
            <w:r>
              <w:t xml:space="preserve"> </w:t>
            </w:r>
            <w:r>
              <w:t xml:space="preserve">December 2019 and ratified its CBA with the second</w:t>
            </w:r>
            <w:r>
              <w:t xml:space="preserve"> </w:t>
            </w:r>
            <w:r>
              <w:t xml:space="preserve">bargaining</w:t>
            </w:r>
            <w:r>
              <w:t xml:space="preserve"> </w:t>
            </w:r>
            <w:r>
              <w:t xml:space="preserve">unit in December 2021.</w:t>
            </w:r>
            <w:r>
              <w:t xml:space="preserve"> </w:t>
            </w:r>
            <w:r>
              <w:t xml:space="preserve">The Maniago location is party to the National Collective Agreement in Metalworking, which renewed in February 2021.</w:t>
            </w:r>
            <w:r>
              <w:t xml:space="preserve"> </w:t>
            </w:r>
            <w:r>
              <w:t xml:space="preserve">The skills, experience and industry knowledge of our employees significantly benefit our operations and performance. There are several ways in which we attract, develop, and retain highly qualified talent and measure the ongoing effectiveness of our human capital management practices, including by making the safety and health of our employees a top priority. The Company is focused on ensuring the health of our employees through the implementation of standards, controls, and inspections to help ensure that our operations and premises comply with national and local regulations. In addition, the Company conducts annual employee development reviews, identifies growth opportunities, which include employee rotations, promotes value-based recognition programs and engages employees in continuous improvement activities.</w:t>
            </w:r>
            <w:r>
              <w:t xml:space="preserve"> </w:t>
            </w:r>
            <w:r>
              <w:t xml:space="preserve">6</w:t>
            </w:r>
            <w:r>
              <w:t xml:space="preserve"> </w:t>
            </w:r>
            <w:r>
              <w:t xml:space="preserve">Table of Contents</w:t>
            </w:r>
            <w:r>
              <w:t xml:space="preserve"> </w:t>
            </w:r>
            <w:r>
              <w:t xml:space="preserve">E.</w:t>
            </w:r>
            <w:r>
              <w:t xml:space="preserve"> </w:t>
            </w:r>
            <w:r>
              <w:t xml:space="preserve">Non-U.S. Operations</w:t>
            </w:r>
            <w:r>
              <w:t xml:space="preserve"> </w:t>
            </w:r>
            <w:r>
              <w:t xml:space="preserve">The Company's products are distributed in the U.S. as well as non-U.S. markets.</w:t>
            </w:r>
            <w:r>
              <w:t xml:space="preserve"> </w:t>
            </w:r>
            <w:r>
              <w:t xml:space="preserve">Financial information about the Company's U.S. and non-U.S. operations is set forth in Note 12,</w:t>
            </w:r>
            <w:r>
              <w:t xml:space="preserve"> </w:t>
            </w:r>
            <w:r>
              <w:t xml:space="preserve">Business Information,</w:t>
            </w:r>
            <w:r>
              <w:t xml:space="preserve"> </w:t>
            </w:r>
            <w:r>
              <w:t xml:space="preserve">of the consolidated financial statements.</w:t>
            </w:r>
            <w:r>
              <w:t xml:space="preserve"> </w:t>
            </w:r>
            <w:r>
              <w:t xml:space="preserve">F.</w:t>
            </w:r>
            <w:r>
              <w:t xml:space="preserve"> </w:t>
            </w:r>
            <w:r>
              <w:t xml:space="preserve">Available Information</w:t>
            </w:r>
            <w:r>
              <w:t xml:space="preserve"> </w:t>
            </w:r>
            <w:r>
              <w:t xml:space="preserve">The Company files annual, quarterly, and current reports, proxy statements, and other documents with the SEC under the Securities Exchange Act of 1934, as amended. The SEC maintains an Internet website that contains reports, proxy and information statements, and other information regarding issuers that file electronically with the SEC. The public can obtain any documents that are filed by the Company at http://www.sec.gov.</w:t>
            </w:r>
            <w:r>
              <w:t xml:space="preserve"> </w:t>
            </w:r>
            <w:r>
              <w:t xml:space="preserve">In addition, our annual reports on Form 10-K, as well as our quarterly reports on Form 10-Q, current reports on Form 8-K and any amendments to all of the foregoing reports, are made available free of charge on or through the “Investor Relations” section of our website at www.sifco.com as soon as reasonably practicable after such reports are electronically filed with or furnished to the SEC.</w:t>
            </w:r>
            <w:r>
              <w:t xml:space="preserve"> </w:t>
            </w:r>
            <w:r>
              <w:t xml:space="preserve">Information relating to our corporate governance at SIFCO, including the Audit Committee, Corporate Governance and Nominating Committee and Compensation Committee Charters, as well as the Corporate Governance Guidelines and Policies and the Code of Conduct &amp; Ethics adopted by our Board of Directors, is available free of charge on or through the “Investor Relations” section of our website at</w:t>
            </w:r>
            <w:r>
              <w:t xml:space="preserve"> </w:t>
            </w:r>
            <w:r>
              <w:t xml:space="preserve">www.sifco.com</w:t>
            </w:r>
            <w:r>
              <w:t xml:space="preserve"> </w:t>
            </w:r>
            <w:r>
              <w:t xml:space="preserve">. References to our website or the SEC’s website do not constitute incorporation by reference of the information contained on such websites, and such information is not part of this Form 10-K.</w:t>
            </w:r>
          </w:p>
        </w:tc>
        <w:tc>
          <w:tcPr/>
          <w:p>
            <w:pPr>
              <w:pStyle w:val="Compact"/>
            </w:pPr>
            <w:r>
              <w:t xml:space="preserve">Item 1A. Risk Factors</w:t>
            </w:r>
            <w:r>
              <w:t xml:space="preserve"> </w:t>
            </w:r>
            <w:r>
              <w:t xml:space="preserve">Set forth below are material risks and uncertainties that could negatively affect our business and financial condition and could cause our actual results to differ materially from those expressed in forward-looking statements contained in this report. Additional risks and uncertainties not presently known to us or that we currently deem immaterial also may impair our business operations and financial condition.</w:t>
            </w:r>
            <w:r>
              <w:t xml:space="preserve"> </w:t>
            </w:r>
            <w:r>
              <w:t xml:space="preserve">Risks Related to Our Business and Operations</w:t>
            </w:r>
            <w:r>
              <w:t xml:space="preserve"> </w:t>
            </w:r>
            <w:r>
              <w:t xml:space="preserve">We are subject to the cyclical nature of the A&amp;E industries and the continuing or further downturn in these industries could</w:t>
            </w:r>
            <w:r>
              <w:t xml:space="preserve"> </w:t>
            </w:r>
            <w:r>
              <w:t xml:space="preserve">adversely impact the demand for our products.</w:t>
            </w:r>
            <w:r>
              <w:t xml:space="preserve"> </w:t>
            </w:r>
            <w:r>
              <w:t xml:space="preserve">The commerc</w:t>
            </w:r>
            <w:r>
              <w:t xml:space="preserve"> </w:t>
            </w:r>
            <w:r>
              <w:t xml:space="preserve">ial aerospace industry is historically driven by the demand from commercial airlines for new aircraft. Demand for commercial aircraft is influenced by airline industry profitability, trends in airline passenger traffic, the state of U.S. and world economies, the ability of aircraft purchasers to obtain required financing and numerous other factors including the effects of terrorism, health and safety concerns and environmental constraints imposed upon aircraft operators. Residual negative impacts of the COVID-19 pandemic on the commercial aerospace industry may continue for a prolonged period of time. We continue to experience changes in demand from our customers in this market and a reduction in demand for commercial aircraft will adversely impact our net sales and operating results.</w:t>
            </w:r>
            <w:r>
              <w:t xml:space="preserve"> </w:t>
            </w:r>
            <w:r>
              <w:t xml:space="preserve">There is risk that the industry reintroduces mitigation strategies in response to residual impacts from COVID-19, which could include reduced capacity and shifting route patterns. Furthermore, airlines may experience reduced demand due to reluctance by the flying public to travel due to travel restrictions and/or social distancing requirements. The residual impacts from the COVID-19 pandemic also has increased uncertainty with respect to global trade volumes, which could put negative pressure on cargo traffic levels. Any of these factors would have a significant impact on the demand within the commercial aerospace industry. In addition, a lengthy period of reduced industry-wide demand for commercial aircraft could put additional pressure on our suppliers, resulting in increased procurement costs and/or additional supply chain disruption. To the extent that the COVID-19 pandemic or its aftermath further impacts demand for our products and services or impairs the viability of some of our customers and/or suppliers, our financial condition, results of operations, and cash flows could be adversely affected, and those impacts could be material.</w:t>
            </w:r>
            <w:r>
              <w:t xml:space="preserve"> </w:t>
            </w:r>
            <w:r>
              <w:t xml:space="preserve">The military aerospace cycle is highly dependent on U.S. and foreign government funding; as well as the effects of terrorism, a changing global political environment, U.S. foreign policy, the retirement of older aircraft and technological improvements to new engines. Accordingly, the timing, duration and severity of cyclical upturns and downturns cannot be forecast with certainty. Downturns or reductions in demand could have a material adverse effect on our business.</w:t>
            </w:r>
            <w:r>
              <w:t xml:space="preserve"> </w:t>
            </w:r>
            <w:r>
              <w:t xml:space="preserve">7</w:t>
            </w:r>
            <w:r>
              <w:t xml:space="preserve"> </w:t>
            </w:r>
            <w:r>
              <w:t xml:space="preserve">Table of Contents</w:t>
            </w:r>
            <w:r>
              <w:t xml:space="preserve"> </w:t>
            </w:r>
            <w:r>
              <w:t xml:space="preserve">The energy industry is also cyclical in nature. Demand for our new and spare components in this industry is, in turn, driven by the global demand for energy, which is affected by, among other factors, the state of the world economies, the political environments of numerous countries and environmental constraints. The availability of alternative energy to oil and gas, and related prices, also have a large impact on demand. Reductions in demand for products in this market could have a material adverse effect on our business.</w:t>
            </w:r>
            <w:r>
              <w:t xml:space="preserve"> </w:t>
            </w:r>
            <w:r>
              <w:t xml:space="preserve">Cyclical declines or sustained weakness in these markets could have a material adverse effect on our business.</w:t>
            </w:r>
            <w:r>
              <w:t xml:space="preserve"> </w:t>
            </w:r>
            <w:r>
              <w:t xml:space="preserve">Government spending priorities and terms may change in a manner adverse to our business.</w:t>
            </w:r>
            <w:r>
              <w:t xml:space="preserve"> </w:t>
            </w:r>
            <w:r>
              <w:t xml:space="preserve">At times, our supplying of products to the U.S. military has been adversely affected by significant changes in U.S. defense and national security budgets. Budget changes that result in a decline in overall spending, program delays, program cancellations or a slowing of new program starts on programs in which we participate could materially adversely affect our business, prospects, financial condition or results of operations. Future levels of expenditures and authorizations for defense-related programs by the U.S. government may decrease, remain constant or shift to programs in areas where we do not currently provide products, thereby reducing the chances that we will be awarded new contracts.</w:t>
            </w:r>
            <w:r>
              <w:t xml:space="preserve"> </w:t>
            </w:r>
            <w:r>
              <w:t xml:space="preserve">SIFCO has contracts for programs where the period of performance may exceed one year. Congress and certain foreign governments must usually approve funds for a given program each fiscal year and may significantly reduce funding of a program in a particular year. Significant reductions in these appropriations or the amount of new defense contracts awarded may affect our ability to complete contracts, obtain new work and grow our business. At times when there are perceived threats to national security, U.S. defense spending can increase; at other times, defense spending can decrease. Future levels of defense spending are uncertain and subject to congressional debate. Any reduction in future U.S. defense spending levels could adversely impact our sales, operating profit and cash flow.</w:t>
            </w:r>
            <w:r>
              <w:t xml:space="preserve"> </w:t>
            </w:r>
            <w:r>
              <w:t xml:space="preserve">Furthermore, business conducted pursuant to U.S. government contracts is subject to extensive procurement regulations and other unique risks. New procurement regulations, or changes to existing requirements, could increase compliance costs or otherwise have a material impact on the operating margins of the portion of our business derived from contracts with the U.S. government. The U.S. government contracting party may modify, curtail, or terminate its contracts and subcontracts with the company without prior notice either at its convenience or for default based on performance, and funding pursuant to our U.S. government contracts may be reduced or withheld as a part of the appropriations process due to fiscal constraints or due to changes in foreign or domestic policy strategy.</w:t>
            </w:r>
            <w:r>
              <w:t xml:space="preserve"> </w:t>
            </w:r>
            <w:r>
              <w:t xml:space="preserve">Failure to retain existing contracts or win new contracts under competitive bidding processes may adversely affect our sales.</w:t>
            </w:r>
            <w:r>
              <w:t xml:space="preserve"> </w:t>
            </w:r>
            <w:r>
              <w:t xml:space="preserve">SIFCO obtains most of its contracts through a competitive bidding process, and substantially all of the business that we expect to seek in the foreseeable future likely will be subject to a competitive bidding process. Competitive bidding presents a number of risks, including:</w:t>
            </w:r>
            <w:r>
              <w:t xml:space="preserve"> </w:t>
            </w:r>
            <w:r>
              <w:t xml:space="preserve">a.</w:t>
            </w:r>
            <w:r>
              <w:t xml:space="preserve"> </w:t>
            </w:r>
            <w:r>
              <w:t xml:space="preserve">the need to compete against companies or teams of companies with more financial and marketing resources and more experience in bidding on and performing major contracts than we have;</w:t>
            </w:r>
            <w:r>
              <w:t xml:space="preserve"> </w:t>
            </w:r>
            <w:r>
              <w:t xml:space="preserve">b.</w:t>
            </w:r>
            <w:r>
              <w:t xml:space="preserve"> </w:t>
            </w:r>
            <w:r>
              <w:t xml:space="preserve">the need to compete against companies or teams of companies that may be long-term, entrenched incumbents for a particular contract for which we are competing and that have, as a result, greater domain expertise and better customer relations;</w:t>
            </w:r>
            <w:r>
              <w:t xml:space="preserve"> </w:t>
            </w:r>
            <w:r>
              <w:t xml:space="preserve">c.</w:t>
            </w:r>
            <w:r>
              <w:t xml:space="preserve"> </w:t>
            </w:r>
            <w:r>
              <w:t xml:space="preserve">the need to compete to retain existing contracts that have in the past been awarded to us on a sole-source basis or that have been incumbent for a long time;</w:t>
            </w:r>
            <w:r>
              <w:t xml:space="preserve"> </w:t>
            </w:r>
            <w:r>
              <w:t xml:space="preserve">d.</w:t>
            </w:r>
            <w:r>
              <w:t xml:space="preserve"> </w:t>
            </w:r>
            <w:r>
              <w:t xml:space="preserve">the award of contracts to providers offering solutions at the “lowest price technically acceptable,” which may lower the profit we may generate under a contract awarded using this pricing method or prevent us from submitting a bid for such work due to us deeming such work to be unprofitable;</w:t>
            </w:r>
            <w:r>
              <w:t xml:space="preserve"> </w:t>
            </w:r>
            <w:r>
              <w:t xml:space="preserve">e.</w:t>
            </w:r>
            <w:r>
              <w:t xml:space="preserve"> </w:t>
            </w:r>
            <w:r>
              <w:t xml:space="preserve">the reduction of margins achievable under any contracts awarded to us;</w:t>
            </w:r>
            <w:r>
              <w:t xml:space="preserve"> </w:t>
            </w:r>
            <w:r>
              <w:t xml:space="preserve">f.</w:t>
            </w:r>
            <w:r>
              <w:t xml:space="preserve"> </w:t>
            </w:r>
            <w:r>
              <w:t xml:space="preserve">the need to bid on some programs in advance of the completion of their specifications, which may result in unforeseen technological difficulties or increased costs that lower our profitability;</w:t>
            </w:r>
            <w:r>
              <w:t xml:space="preserve"> </w:t>
            </w:r>
            <w:r>
              <w:t xml:space="preserve">g.</w:t>
            </w:r>
            <w:r>
              <w:t xml:space="preserve"> </w:t>
            </w:r>
            <w:r>
              <w:t xml:space="preserve">the substantial cost and managerial time and effort, including design, development and marketing activities, necessary to prepare bids and proposals for contracts that may not be awarded to us;</w:t>
            </w:r>
            <w:r>
              <w:t xml:space="preserve"> </w:t>
            </w:r>
            <w:r>
              <w:t xml:space="preserve">h.</w:t>
            </w:r>
            <w:r>
              <w:t xml:space="preserve"> </w:t>
            </w:r>
            <w:r>
              <w:t xml:space="preserve">the need to develop, introduce and implement new and enhanced solutions to our customers’ needs;</w:t>
            </w:r>
            <w:r>
              <w:t xml:space="preserve"> </w:t>
            </w:r>
            <w:r>
              <w:t xml:space="preserve">i.</w:t>
            </w:r>
            <w:r>
              <w:t xml:space="preserve"> </w:t>
            </w:r>
            <w:r>
              <w:t xml:space="preserve">the need to locate and contract with teaming partners and subcontractors;</w:t>
            </w:r>
            <w:r>
              <w:t xml:space="preserve"> </w:t>
            </w:r>
            <w:r>
              <w:t xml:space="preserve">j.</w:t>
            </w:r>
            <w:r>
              <w:t xml:space="preserve"> </w:t>
            </w:r>
            <w:r>
              <w:t xml:space="preserve">the need to accurately estimate the resources and cost structure that will be required to perform any contract that we are awarded; and</w:t>
            </w:r>
            <w:r>
              <w:t xml:space="preserve"> </w:t>
            </w:r>
            <w:r>
              <w:t xml:space="preserve">k.</w:t>
            </w:r>
            <w:r>
              <w:t xml:space="preserve"> </w:t>
            </w:r>
            <w:r>
              <w:t xml:space="preserve">long term agreements - changes in our cost profile over the life of a long-term agreement.</w:t>
            </w:r>
            <w:r>
              <w:t xml:space="preserve"> </w:t>
            </w:r>
            <w:r>
              <w:t xml:space="preserve">8</w:t>
            </w:r>
            <w:r>
              <w:t xml:space="preserve"> </w:t>
            </w:r>
            <w:r>
              <w:t xml:space="preserve">Table of Contents</w:t>
            </w:r>
            <w:r>
              <w:t xml:space="preserve"> </w:t>
            </w:r>
            <w:r>
              <w:t xml:space="preserve">If SIFCO wins a contract, and upon expiration, the customer requires further services of the type provided by the contract, there is frequently a competitive rebidding process. There can be no assurance that we will win any particular bid, that we will win the contract at the same profit margin, or that we will be able to replace business lost upon expiration or completion of a contract.</w:t>
            </w:r>
            <w:r>
              <w:t xml:space="preserve"> </w:t>
            </w:r>
            <w:r>
              <w:t xml:space="preserve">If SIFCO is unable to consistently retain existing contracts or win new contract awards, our business, prospects, financial condition and results of operations may be adversely affected.</w:t>
            </w:r>
            <w:r>
              <w:t xml:space="preserve"> </w:t>
            </w:r>
            <w:r>
              <w:t xml:space="preserve">The Company may not receive the full amounts estimated under the contracts in our total backlog, which could reduce our sales in future periods below the levels anticipated, and which makes backlog an uncertain indicator of future operating results.</w:t>
            </w:r>
            <w:r>
              <w:t xml:space="preserve"> </w:t>
            </w:r>
            <w:r>
              <w:t xml:space="preserve">As of September 30, 2023, our total backlog w</w:t>
            </w:r>
            <w:r>
              <w:t xml:space="preserve"> </w:t>
            </w:r>
            <w:r>
              <w:t xml:space="preserve">as $120.1 millio</w:t>
            </w:r>
            <w:r>
              <w:t xml:space="preserve"> </w:t>
            </w:r>
            <w:r>
              <w:t xml:space="preserve">n. Orders may be canceled and scope adjustments may occur, and we may not realize the full amounts of sales that we anticipate in our backlog numbers. Further, there is no assurance that our customers will purchase all the orders represented in our backlog, due in part to the U.S. government’s ability to modify, curtail or terminate major programs. Additionally, the timing of receipt of orders, if any, on contracts included in our backlog could change. The failure to realize amounts reflected in our backlog could materially adversely affect our business, financial condition and results of operations in future periods.</w:t>
            </w:r>
            <w:r>
              <w:t xml:space="preserve"> </w:t>
            </w:r>
            <w:r>
              <w:t xml:space="preserve">SIFCO business is dependent on a few number of direct and indirect customers.</w:t>
            </w:r>
            <w:r>
              <w:t xml:space="preserve"> </w:t>
            </w:r>
            <w:r>
              <w:t xml:space="preserve">A substantial portion of SIFCO's business is conducted with a relatively small number of large direct and indirect customers. In fiscal 2023, one direct customer accounted for approximately 12% percent of our consolidated net sales and three direct customers and their direct subcontractors accounted for approximately 32% of the Company’s consolidated net sales. A financial hardship experienced by any one of these key customers, the loss of any of them or a reduction in or substantial delay of orders from any of them could have a material adverse effect on our business.</w:t>
            </w:r>
            <w:r>
              <w:t xml:space="preserve"> </w:t>
            </w:r>
            <w:r>
              <w:t xml:space="preserve">The Company's failure to identify, attract and retain qualified personnel could adversely affect our existing business, financial condition and results of operations.</w:t>
            </w:r>
            <w:r>
              <w:t xml:space="preserve"> </w:t>
            </w:r>
            <w:r>
              <w:t xml:space="preserve">SIFCO may not be able to identify, attract or retain qualified technical personnel, sales and customer service personnel, employees with expertise in forging, or management personnel to supervise such activities. We may also not attract and retain employees who share the Company's core values, who can maintain and grow our existing business, and who are suited to work in a public company environment, which could adversely affect our financial condition and results of operations.</w:t>
            </w:r>
            <w:r>
              <w:t xml:space="preserve"> </w:t>
            </w:r>
            <w:r>
              <w:t xml:space="preserve">The Company's business could be negatively affected by cybersecurity threats, information systems interruptions, intrusions or new software implementations and other disruptions.</w:t>
            </w:r>
            <w:r>
              <w:t xml:space="preserve"> </w:t>
            </w:r>
            <w:r>
              <w:t xml:space="preserve">SIFCO faces cyber threats, as well as the potential for business disruptions associated with information technology failures and interruptions, new software implementation, and damaging weather or other acts of nature, and pandemics or other public health crises, which may adversely affect our business.</w:t>
            </w:r>
            <w:r>
              <w:t xml:space="preserve"> </w:t>
            </w:r>
            <w:r>
              <w:t xml:space="preserve">Although we continue to review and enhance our systems and cybersecurity controls, SIFCO has experienced and expects to continue to experience cybersecurity threats, including threats to our information technology infrastructure and attempts to gain access to the Company’s sensitive information, as do our customers, suppliers and subcontractors. Although we maintain information security policies and procedures to prevent, detect, and mitigate these threats, information system disruptions, equipment failures or cybersecurity attacks, such as unauthorized access, malicious software and other intrusions, could still occur and may lead to potential data corruption, exposure of proprietary and confidential information. Further, while SIFCO works cooperatively with its customers, suppliers and subcontractors to seek to minimize the impacts of cyber threats, other security threats or business disruptions, in addition to our internal processes, procedures and systems, it must also rely on the safeguards put in place by those entities.</w:t>
            </w:r>
            <w:r>
              <w:t xml:space="preserve"> </w:t>
            </w:r>
            <w:r>
              <w:t xml:space="preserve">Any intrusion, disruption, breach or similar event may cause operational stoppages, fines, penalties, diminished competitive advantages through reputational damages and increased operational costs. The costs related to cyber or other security threats or disruptions may not be fully mitigated by insurance or other means.</w:t>
            </w:r>
            <w:r>
              <w:t xml:space="preserve"> </w:t>
            </w:r>
            <w:r>
              <w:t xml:space="preserve">We continue to provide for remote work for certain of our employees, which may increase our vulnerability to cyber and other information technology risks. In addition to existing risks, any adoption or deployment of new technologies via acquisitions or internal initiatives may increase our exposure to risks, breaches, or failures, which could materially adversely affect our results of operations or financial condition. Furthermore, the Company may have access to sensitive, confidential, or personal data or information that may be subject to privacy and security laws, regulations, or other contractually-imposed controls. Despite our use of reasonable and appropriate controls, material security breaches, theft, misplaced, lost or corrupted data, programming, or</w:t>
            </w:r>
            <w:r>
              <w:t xml:space="preserve"> </w:t>
            </w:r>
            <w:r>
              <w:t xml:space="preserve">9</w:t>
            </w:r>
            <w:r>
              <w:t xml:space="preserve"> </w:t>
            </w:r>
            <w:r>
              <w:t xml:space="preserve">Table of Contents</w:t>
            </w:r>
            <w:r>
              <w:t xml:space="preserve"> </w:t>
            </w:r>
            <w:r>
              <w:t xml:space="preserve">employee errors and/or malfeasance could lead to the compromise or improper use of such sensitive, confidential, or personal data or information, resulting in possible negative consequences, such as fines, ransom demands, penalties, loss of reputation, competitiveness or customers, or other negative consequences resulting in adverse impacts to our results of operations or financial condition.</w:t>
            </w:r>
            <w:r>
              <w:t xml:space="preserve"> </w:t>
            </w:r>
            <w:r>
              <w:t xml:space="preserve">SIFCO relies on our suppliers to meet the quality and delivery expectations of our customers.</w:t>
            </w:r>
            <w:r>
              <w:t xml:space="preserve"> </w:t>
            </w:r>
            <w:r>
              <w:t xml:space="preserve">The ability to deliver SIFCO's products on schedule is dependent upon a variety of factors, including execution of internal performance plans, availability of raw materials, internal and supplier produced parts and structures, conversion of raw materials into parts and assemblies, and performance of suppliers and others. We rely on numerous third-party suppliers for raw materials and a large proportion of the components used in our production process. Certain of these raw materials and components are available only from single sources or a limited number of suppliers, or similarly, customers’ specifications may require SIFCO to obtain raw materials and/or components from a single source or certain suppliers. Many of our suppliers are small companies with limited financial resources and manufacturing capabilities. We do not currently have the ability to manufacture these components ourselves. Consequently, we risk disruptions in our supply of key products and components if our suppliers fail or are unable to perform because of shortages in raw materials, operational problems, strikes, natural disasters, health crises or other factors. We have and may continue to experience delays in the delivery of such products as a result of increased demands and pressures on the supply chain, customs, labor issues, geopolitical pressures, disruptions associated with changes in political, economic, and social conditions, weather, laws and regulations. Unfavorable fluctuations in price, international trade policies, quality, delivery, and availability of these products could continue to adversely affect the Company's ability to meet demands of customers and cause negative impacts to the Company's cost structure, profitability and its cash flow. If we were unsuccessful in obtaining those products from other sources or at comparable cost, a disruption in our supply chain could adversely affect our sales, earnings, financial condition, and liquidity.</w:t>
            </w:r>
            <w:r>
              <w:t xml:space="preserve"> </w:t>
            </w:r>
            <w:r>
              <w:t xml:space="preserve">We may have disputes with our vendors arising from, among other things, the quality of products and services or customer concerns about the vendor. If any of our vendors fail to timely meet their contractual obligations or have regulatory compliance or other problems, our ability to fulfill our obligations may be jeopardized. Economic downturns can adversely affect a vendor’s ability to manufacture or deliver products. Further, vendors may also be enjoined from manufacturing and distributing products to us as a result of litigation filed by third parties, including intellectual property litigation. If SIFCO were to experience difficulty in obtaining certain products, there could be an adverse effect on its results of operations and on its customer relationships and our reputation. Additionally, our key vendors could also increase pricing of their products, which could negatively affect our ability to win contracts by offering competitive prices.</w:t>
            </w:r>
            <w:r>
              <w:t xml:space="preserve"> </w:t>
            </w:r>
            <w:r>
              <w:t xml:space="preserve">Any material supply disruptions could adversely affect our ability to perform our obligations under our contracts and could result in cancellation of contracts or purchase orders, penalties, delays in realizing revenues, and payment delays, as well as adversely affect our ongoing product cost structure.</w:t>
            </w:r>
            <w:r>
              <w:t xml:space="preserve"> </w:t>
            </w:r>
            <w:r>
              <w:t xml:space="preserve">Failure to perform by our subcontractors could materially and adversely affect our contract performance and its ability to obtain future business.</w:t>
            </w:r>
            <w:r>
              <w:t xml:space="preserve"> </w:t>
            </w:r>
            <w:r>
              <w:t xml:space="preserve">The performance of contracts often involves subcontractors, upon which we rely to complete delivery of products to our customers. SIFCO may have disputes with subcontractors. A failure by a subcontractor to satisfactorily deliver products can adversely affect our ability to perform our obligations as a prime contractor. Any subcontractor performance deficiencies could result in the customer terminating our contract for default, which could expose us to liability for excess costs of re-procurement by the customer and have a material adverse effect on our ability to compete for other contracts.</w:t>
            </w:r>
            <w:r>
              <w:t xml:space="preserve"> </w:t>
            </w:r>
            <w:r>
              <w:t xml:space="preserve">The Company's future success depends on the ability to meet the needs of its customer requirements in a timely manner.</w:t>
            </w:r>
            <w:r>
              <w:t xml:space="preserve"> </w:t>
            </w:r>
            <w:r>
              <w:t xml:space="preserve">The Company believes that the commercial A&amp;E markets in which we operate require sophisticated manufacturing and system-integration techniques and capabilities using composite and metallic materials. The Company’s success depends to a significant extent on our ability to acquire, develop, execute and maintain such sophisticated techniques and capabilities to meet the needs of our customers and to bring those products to market quickly and at cost-effective prices. If we are unable to acquire and/or develop, execute and maintain such techniques and capabilities, we may experience an adverse effect to our business, financial condition or results of operation.</w:t>
            </w:r>
            <w:r>
              <w:t xml:space="preserve"> </w:t>
            </w:r>
            <w:r>
              <w:t xml:space="preserve">The Company faces certain significant risk exposures and potential liabilities that may not be covered adequately by insurance or indemnity.</w:t>
            </w:r>
            <w:r>
              <w:t xml:space="preserve"> </w:t>
            </w:r>
            <w:r>
              <w:t xml:space="preserve">We are exposed to liabilities that are unique to the products we provide. While we maintain insurance for certain risks, the amount of insurance or indemnity may not be adequate to cover all claims or liabilities, and we may be forced to bear substantial costs from an accident or incident. It also is not possible for SIFCO to obtain insurance to protect against all operational risks and liabilities. Substantial claims resulting from an incident in excess of the indemnification we receive and</w:t>
            </w:r>
            <w:r>
              <w:t xml:space="preserve"> </w:t>
            </w:r>
            <w:r>
              <w:t xml:space="preserve">10</w:t>
            </w:r>
            <w:r>
              <w:t xml:space="preserve"> </w:t>
            </w:r>
            <w:r>
              <w:t xml:space="preserve">Table of Contents</w:t>
            </w:r>
            <w:r>
              <w:t xml:space="preserve"> </w:t>
            </w:r>
            <w:r>
              <w:t xml:space="preserve">our insurance coverage would harm our financial condition, results of operations and cash flows. Moreover, any accident or incident for which we are liable, even if fully insured, could negatively affect our standing with our customers and the public, thereby making it more difficult for us to compete effectively, and could significantly impact the cost and availability of adequate insurance in the future.</w:t>
            </w:r>
            <w:r>
              <w:t xml:space="preserve"> </w:t>
            </w:r>
            <w:r>
              <w:t xml:space="preserve">The Company's business is subject to risks associated with international operations.</w:t>
            </w:r>
            <w:r>
              <w:t xml:space="preserve"> </w:t>
            </w:r>
            <w:r>
              <w:t xml:space="preserve">SIFCO has operations in Maniago, Italy and operates internationally. A number of risks inherent in international operations could have a material adverse effect on our results of operations, including:</w:t>
            </w:r>
            <w:r>
              <w:t xml:space="preserve"> </w:t>
            </w:r>
            <w:r>
              <w:t xml:space="preserve">a.</w:t>
            </w:r>
            <w:r>
              <w:t xml:space="preserve"> </w:t>
            </w:r>
            <w:r>
              <w:t xml:space="preserve">fluctuations in U.S. dollar value arising from transactions denominated in foreign currencies and the translation of certain foreign currency subsidiary balances;</w:t>
            </w:r>
            <w:r>
              <w:t xml:space="preserve"> </w:t>
            </w:r>
            <w:r>
              <w:t xml:space="preserve">b.</w:t>
            </w:r>
            <w:r>
              <w:t xml:space="preserve"> </w:t>
            </w:r>
            <w:r>
              <w:t xml:space="preserve">difficulties in staffing and managing multi-national operations;</w:t>
            </w:r>
            <w:r>
              <w:t xml:space="preserve"> </w:t>
            </w:r>
            <w:r>
              <w:t xml:space="preserve">c.</w:t>
            </w:r>
            <w:r>
              <w:t xml:space="preserve"> </w:t>
            </w:r>
            <w:r>
              <w:t xml:space="preserve">general economic and political uncertainties and potential for social unrest in countries in which we or our customers operate;</w:t>
            </w:r>
            <w:r>
              <w:t xml:space="preserve"> </w:t>
            </w:r>
            <w:r>
              <w:t xml:space="preserve">d.</w:t>
            </w:r>
            <w:r>
              <w:t xml:space="preserve"> </w:t>
            </w:r>
            <w:r>
              <w:t xml:space="preserve">other deterioration of economic conditions, including the effect of inflation on our customers and suppliers;</w:t>
            </w:r>
            <w:r>
              <w:t xml:space="preserve"> </w:t>
            </w:r>
            <w:r>
              <w:t xml:space="preserve">e.</w:t>
            </w:r>
            <w:r>
              <w:t xml:space="preserve"> </w:t>
            </w:r>
            <w:r>
              <w:t xml:space="preserve">limitations on our ability to enforce legal rights and remedies;</w:t>
            </w:r>
            <w:r>
              <w:t xml:space="preserve"> </w:t>
            </w:r>
            <w:r>
              <w:t xml:space="preserve">f.</w:t>
            </w:r>
            <w:r>
              <w:t xml:space="preserve"> </w:t>
            </w:r>
            <w:r>
              <w:t xml:space="preserve">restrictions on the repatriation of funds;</w:t>
            </w:r>
            <w:r>
              <w:t xml:space="preserve"> </w:t>
            </w:r>
            <w:r>
              <w:t xml:space="preserve">g.</w:t>
            </w:r>
            <w:r>
              <w:t xml:space="preserve"> </w:t>
            </w:r>
            <w:r>
              <w:t xml:space="preserve">changes in trade policies, laws, regulations, political leadership and environment, and/or security risks;</w:t>
            </w:r>
            <w:r>
              <w:t xml:space="preserve"> </w:t>
            </w:r>
            <w:r>
              <w:t xml:space="preserve">h.</w:t>
            </w:r>
            <w:r>
              <w:t xml:space="preserve"> </w:t>
            </w:r>
            <w:r>
              <w:t xml:space="preserve">tariff regulations;</w:t>
            </w:r>
            <w:r>
              <w:t xml:space="preserve"> </w:t>
            </w:r>
            <w:r>
              <w:t xml:space="preserve">i.</w:t>
            </w:r>
            <w:r>
              <w:t xml:space="preserve"> </w:t>
            </w:r>
            <w:r>
              <w:t xml:space="preserve">difficulties in obtaining export and import licenses and compliance with export/import controls and regulations;</w:t>
            </w:r>
            <w:r>
              <w:t xml:space="preserve"> </w:t>
            </w:r>
            <w:r>
              <w:t xml:space="preserve">j.</w:t>
            </w:r>
            <w:r>
              <w:t xml:space="preserve"> </w:t>
            </w:r>
            <w:r>
              <w:t xml:space="preserve">the risk of government financed competition;</w:t>
            </w:r>
            <w:r>
              <w:t xml:space="preserve"> </w:t>
            </w:r>
            <w:r>
              <w:t xml:space="preserve">k.</w:t>
            </w:r>
            <w:r>
              <w:t xml:space="preserve"> </w:t>
            </w:r>
            <w:r>
              <w:t xml:space="preserve">compliance with a variety of international laws as well as U.S. regulations, rules and practices affecting the activities of companies abroad; and</w:t>
            </w:r>
            <w:r>
              <w:t xml:space="preserve"> </w:t>
            </w:r>
            <w:r>
              <w:t xml:space="preserve">l.</w:t>
            </w:r>
            <w:r>
              <w:t xml:space="preserve"> </w:t>
            </w:r>
            <w:r>
              <w:t xml:space="preserve">difficulties in managing and staffing international operations and the required infrastructure costs, including legal, tax, accounting, and information technology.</w:t>
            </w:r>
            <w:r>
              <w:t xml:space="preserve"> </w:t>
            </w:r>
            <w:r>
              <w:t xml:space="preserve">We operate in a highly competitive and price sensitive industry, and customer pricing pressures could reduce the demand and/or price for our products and services.</w:t>
            </w:r>
            <w:r>
              <w:t xml:space="preserve"> </w:t>
            </w:r>
            <w:r>
              <w:t xml:space="preserve">The end-user markets SIFCO serves are highly competitive and price sensitive. We compete globally with a number of domestic and international companies that have substantially greater manufacturing, purchasing, marketing and financial resources than we do. Many of SIFCO's customers have the in-house capability to fulfill their manufacturing requirements. SIFCO's larger competitors may be able to vie more effectively for very large-scale contracts than we can by providing different or greater capabilities or benefits such as technical qualifications, past performance on large-scale contracts, geographic presence, price and availability of key professional personnel. If SIFCO is unable to successfully compete for new business, our net sales growth and operating margins may decline. Competitive pricing pressures may have an adverse effect on our financial condition and operating results. Further, there can be no assurance that competition from existing or potential competitors will not have a material adverse effect on our financial results. If SIFCO does not continue to compete effectively and win contracts, our future business, financial condition, results of operations and our ability to meet its financial obligations may be materially compromised.</w:t>
            </w:r>
            <w:r>
              <w:t xml:space="preserve"> </w:t>
            </w:r>
            <w:r>
              <w:t xml:space="preserve">The Company uses estimates when pricing contracts and any changes in such estimates could have an adverse effect on our profitability and our overall financial performance.</w:t>
            </w:r>
            <w:r>
              <w:t xml:space="preserve"> </w:t>
            </w:r>
            <w:r>
              <w:t xml:space="preserve">When agreeing to contractual terms, some of which extend for multiple years, SIFCO makes assumptions and projections about future conditions and events. These projections assess the productivity and availability of labor, complexity of the work to be performed, cost and availability of materials, impact of delayed performance and timing of product deliveries. Contract pricing requires judgment relative to assessing risks, estimating contract revenues and costs, and making assumptions for schedule and technical issues. Due to the size and nature of many of our contracts, the estimation of total revenues and costs at completion is complicated and subject to many variables. For example, assumptions are made regarding the length of time to complete a contract since costs also include expected increases in wages, prices for materials and allocated fixed costs. Similarly, assumptions are made regarding the future impact of our efficiency initiatives and cost reduction efforts. Incentives, awards or penalties related to performance on contracts are considered in estimating revenue and profit rates and are recorded when there is sufficient information to assess anticipated performance. Suppliers' assertions are also assessed and considered in estimating costs and profit rates.</w:t>
            </w:r>
            <w:r>
              <w:t xml:space="preserve"> </w:t>
            </w:r>
            <w:r>
              <w:t xml:space="preserve">Because of the significance of the judgment and estimation processes described above, it is possible that materially different amounts could be obtained if different assumptions were used or if the underlying circumstances were to change. Changes in underlying assumptions, circumstances or estimates may have a material adverse effect upon the profitability of one or more of the affected contracts, future period financial reporting and performance, as pass through pricing is not always permissible.</w:t>
            </w:r>
            <w:r>
              <w:t xml:space="preserve"> </w:t>
            </w:r>
            <w:r>
              <w:t xml:space="preserve">11</w:t>
            </w:r>
            <w:r>
              <w:t xml:space="preserve"> </w:t>
            </w:r>
            <w:r>
              <w:t xml:space="preserve">Table of Contents</w:t>
            </w:r>
            <w:r>
              <w:t xml:space="preserve"> </w:t>
            </w:r>
            <w:r>
              <w:t xml:space="preserve">Our technologies could become obsolete, reducing our revenues and profitability.</w:t>
            </w:r>
            <w:r>
              <w:t xml:space="preserve"> </w:t>
            </w:r>
            <w:r>
              <w:t xml:space="preserve">Technologies related to our products have undergone, and in the future may undergo, significant changes and the future of our business will depend in large part upon the continuing relevance of our forging capabilities. SIFCO could encounter competition from new or revised technologies that render its technologies and equipment less profitable or obsolete in our chosen markets and our operating results may suffer.</w:t>
            </w:r>
            <w:r>
              <w:t xml:space="preserve"> </w:t>
            </w:r>
            <w:r>
              <w:t xml:space="preserve">If the Company fails to maintain an effective system of internal control over financial reporting, it may not be able to accurately or timely report its financial results. As a result, current and potential shareholders could lose confidence in the Company's financial reporting, which would harm the business and the trading price of its common stock.</w:t>
            </w:r>
            <w:r>
              <w:t xml:space="preserve"> </w:t>
            </w:r>
            <w:r>
              <w:t xml:space="preserve">The Sarbanes-Oxley Act, among other things, requires that we maintain effective internal controls for financial reporting and disclosure controls and procedures. In particular, we must perform system and process evaluations and testing of our internal controls over financial reporting to allow management to report on the effectiveness of our internal controls over financial reporting, as required by Section 404 of the Sarbanes-Oxley Act. Compliance with Section 404 may require that we incur substantial accounting expenses and expend significant management efforts. Our testing has, as described below, and in the future may reveal deficiencies in our internal controls over financial reporting that are deemed to be material weaknesses. In the event we identify significant deficiencies or material weaknesses in our internal controls that we cannot remediate in a timely manner, the market price of our stock could decline if investors and others lose confidence in the reliability of our financial statements and we could be subject to sanctions or investigations by the SEC or other applicable regulatory authorities.</w:t>
            </w:r>
            <w:r>
              <w:t xml:space="preserve"> </w:t>
            </w:r>
            <w:r>
              <w:t xml:space="preserve">As further described in Item 9A in our Annual Report on Form 10-K, for the fiscal year ended September 30, 2023, management determined that SIFCO’s internal control over financial reporting and its disclosure controls and procedures were not effective. Management identified deficiencies in its oversight and backup and recovery controls that represent a material weakness in internal control over financial reporting. Until remediated, this material weakness could result in a material misstatement to the annual or interim consolidated financial statements that would not be prevented or detected on a timely basis. As with any internal control deficiency, there can be no assurance that our remedial measures will be successful or otherwise sufficient to address the material weakness. If the Company is unable to remediate the material weakness, or is otherwise unable to maintain effective internal control over financial reporting or disclosure controls and procedures, or if additional material weaknesses or significant deficiencies in our internal control over financial reporting are discovered or occur in the future, the Company’s ability to record, process and report financial information accurately, and to prepare financial statements within required time periods, could be adversely affected, which could subject the Company to litigation or investigations requiring management resources and payment of legal and other expenses, including civil penalties, negatively affect investor confidence in our financial statements and adversely impact our stock price.</w:t>
            </w:r>
            <w:r>
              <w:t xml:space="preserve"> </w:t>
            </w:r>
            <w:r>
              <w:t xml:space="preserve">Labor disruptions by our employees or personnel turnover and/or shortage could adversely affect our business.</w:t>
            </w:r>
            <w:r>
              <w:t xml:space="preserve"> </w:t>
            </w:r>
            <w:r>
              <w:t xml:space="preserve">As of September 30, 2023, we employed approximately</w:t>
            </w:r>
            <w:r>
              <w:t xml:space="preserve"> </w:t>
            </w:r>
            <w:r>
              <w:t xml:space="preserve">378 pe</w:t>
            </w:r>
            <w:r>
              <w:t xml:space="preserve"> </w:t>
            </w:r>
            <w:r>
              <w:t xml:space="preserve">ople. We face competition for management and employees from other companies and organizations. If we continue to experience turnover and/or are unable to quickly hire employees and subsequently retain our workforce, or we experience a significant or prolonged work stoppage in such an environment, we may experience increased costs, such as increased overtime to meet demand and increased wage rates to attract and retain employees, and our ability to secure new work and our results of operations and financial condition could be adversely affected. Additionally, two of our locations are parties to</w:t>
            </w:r>
            <w:r>
              <w:t xml:space="preserve"> </w:t>
            </w:r>
            <w:r>
              <w:t xml:space="preserve">collective bargaining agreements.</w:t>
            </w:r>
            <w:r>
              <w:t xml:space="preserve"> </w:t>
            </w:r>
            <w:r>
              <w:t xml:space="preserve">Although we have not experienced any material labor-related work stoppage and consider our relations with our employees to be good, labor stoppages may occur in the future. If the unionized workers were to engage in a strike or other work stoppage, or if SIFCO is unable to negotiate acceptable collective bargaining agreements with the unions, or if other employees were to become unionized, we could experience a significant disruption of our operations, higher ongoing labor costs and possible loss of customer contracts, which could have an adverse effect on our business and results of operations.</w:t>
            </w:r>
            <w:r>
              <w:t xml:space="preserve"> </w:t>
            </w:r>
            <w:r>
              <w:t xml:space="preserve">The price and availability of oil and other energy sources worldwide could adversely impact our results of operations. Unexpected pricing of fuel or a shortage of, or disruption in, the supply of fuel or other energy sources could have a material adverse effect on our and our customers' business, results of operations and financial condition.</w:t>
            </w:r>
            <w:r>
              <w:t xml:space="preserve"> </w:t>
            </w:r>
            <w:r>
              <w:t xml:space="preserve">Our results of operations can be directly affected, positively and negatively, by volatility in the cost and availability of energy, which is subject to global supply and demand and other factors beyond our control. The ongoing conflict between Russia and Ukraine has impacted global energy markets, particularly in Europe, leading to high volatility and increasing prices for crude oil, natural gas and other energy supplies. Our customers' businesses are significantly impacted by the availability and pricing of fuel. Weather-related events, natural disasters, terrorism, wars, political disruption or instability involving oil-producing countries, changes in governmental or cartel policy concerning crude oil or aircraft fuel production, labor strikes, cyberattacks or other events affecting refinery production, transportation, taxes, marketing, environmental concerns, market manipulation, price speculation and other unpredictable events may drive actual or perceived fuel supply shortages. In particular, the recent</w:t>
            </w:r>
            <w:r>
              <w:t xml:space="preserve"> </w:t>
            </w:r>
            <w:r>
              <w:t xml:space="preserve">12</w:t>
            </w:r>
            <w:r>
              <w:t xml:space="preserve"> </w:t>
            </w:r>
            <w:r>
              <w:t xml:space="preserve">Table of Contents</w:t>
            </w:r>
            <w:r>
              <w:t xml:space="preserve"> </w:t>
            </w:r>
            <w:r>
              <w:t xml:space="preserve">conflict between Russia and Ukraine has caused shortages in the availability of fuel. In the event that the supply of natural gas from Russia stops or is significantly reduced, there may be supply disruptions, increased prices, shutdowns of manufacturing facilities, or further rationing of energy supply within countries where we and/or our customers do business, which could have a material adverse impact on our and our customers' business or results of operations in those countries.</w:t>
            </w:r>
            <w:r>
              <w:t xml:space="preserve"> </w:t>
            </w:r>
            <w:r>
              <w:t xml:space="preserve">Risks Related to Financial Matters</w:t>
            </w:r>
            <w:r>
              <w:t xml:space="preserve"> </w:t>
            </w:r>
            <w:r>
              <w:t xml:space="preserve">A decline in operating results or access to financing may have an adverse impact on our liquidity position.</w:t>
            </w:r>
            <w:r>
              <w:t xml:space="preserve"> </w:t>
            </w:r>
            <w:r>
              <w:t xml:space="preserve">Our ability to make required payments of principal and interest on our debt will depend in part on our future performance, which, to a certain extent, is subject to general economic, financial, competitive, political and other factors, some of which are beyond our control. Accordingly, conditions could arise that could limit our ability to generate sufficient cash flows or to access borrowings to enable us to fund our liquidity needs, which could further limit our financial flexibility or impair our ability to obtain alternative financing sufficient to repay our debt at maturity. We believe that our cash on hand, together with funds generated by our operations and borrowings under our existing credit facilities, will provide us with sufficient liquidity and capital resources to meet our operating needs for the foreseeable future. Significant assumptions underlie this belief however, including, among other things, assumptions relating to future sales volumes, the successful implementation of our business strategies and that there will be no material adverse developments in our competitive market position, business, liquidity or capital requirements. In the event that we do not have sufficient liquidity, we may be required to seek additional capital, reduce or cut back our operating activities, capital expenditures or otherwise alter our business strategy. If we obtain additional capital by issuing equity, the interests of our existing stockholders will be diluted. If we incur additional debt, the agreements governing that debt may contain significant financial and other covenants that may materially restrict our operations. The Company may not be able to obtain refinancing or additional financing on favorable terms or at all.</w:t>
            </w:r>
            <w:r>
              <w:t xml:space="preserve"> </w:t>
            </w:r>
            <w:r>
              <w:t xml:space="preserve">The Company has identified certain risks related to the Company's ability to continue as a going concern. See Note 1,</w:t>
            </w:r>
            <w:r>
              <w:t xml:space="preserve"> </w:t>
            </w:r>
            <w:r>
              <w:t xml:space="preserve">Going Concern</w:t>
            </w:r>
            <w:r>
              <w:t xml:space="preserve"> </w:t>
            </w:r>
            <w:r>
              <w:t xml:space="preserve">for further information.</w:t>
            </w:r>
            <w:r>
              <w:t xml:space="preserve"> </w:t>
            </w:r>
            <w:r>
              <w:t xml:space="preserve">Our indebtedness and restrictive covenants under our credit facilities could limit our operational and financial flexibility.</w:t>
            </w:r>
            <w:r>
              <w:t xml:space="preserve"> </w:t>
            </w:r>
            <w:r>
              <w:t xml:space="preserve">We have incurred indebtedness, and may incur additional debt in the future. Our ability to make interest and scheduled principal payments and operate within restrictive covenants could be adversely impacted by changes in the availability, terms and cost of capital, changes in interest rates or changes in our credit ratings or our outlook. These changes could increase our cost of business, limiting our ability to pursue acquisition opportunities, react to market conditions and meet operational and capital needs, thereby placing us at a competitive disadvantage.</w:t>
            </w:r>
            <w:r>
              <w:t xml:space="preserve"> </w:t>
            </w:r>
            <w:r>
              <w:t xml:space="preserve">Global economic conditions may adversely impact our business, operating results or financial condition.</w:t>
            </w:r>
            <w:r>
              <w:t xml:space="preserve"> </w:t>
            </w:r>
            <w:r>
              <w:t xml:space="preserve">Disruption and volatility in global financial markets may lead to increased rates of default and bankruptcy and may negatively impact consumer and business spending levels. Current or potential customers may delay or decrease spending on our products and services as their business and/or budgets are impacted by economic conditions. The inability of current and potential customers to pay SIFCO for its products and services may adversely affect its earnings and cash flows.</w:t>
            </w:r>
            <w:r>
              <w:t xml:space="preserve"> </w:t>
            </w:r>
            <w:r>
              <w:t xml:space="preserve">Further, we are exposed to fluctuations in inflation, which could negatively affect our business, financial condition and results of operation. The United States and other jurisdictions have recently experienced high levels of inflation. If the inflation rate continues to increase, it will likely affect our expenses, including, but not limited to, employee compensation and labor expenses and increased costs for supplies, and we may not be successful in offsetting such cost increases.</w:t>
            </w:r>
            <w:r>
              <w:t xml:space="preserve"> </w:t>
            </w:r>
            <w:r>
              <w:t xml:space="preserve">We cannot predict changes in worldwide or regional economic conditions and government policies, as such conditions are highly volatile and beyond our control. If these conditions deteriorate for extended periods, however, our business, results of operations and financial condition could be materially adversely affected.</w:t>
            </w:r>
            <w:r>
              <w:t xml:space="preserve"> </w:t>
            </w:r>
            <w:r>
              <w:t xml:space="preserve">The funding and costs associated with our pension plans and significant changes in key estimates and assumptions, such as discount rates and assumed long-term returns on assets, actual investment returns on our pension plan assets, and legislative and regulatory actions could affect our earnings, equity and contributions to our pension plans in future periods.</w:t>
            </w:r>
            <w:r>
              <w:t xml:space="preserve"> </w:t>
            </w:r>
            <w:r>
              <w:t xml:space="preserve">Certain of the Company's employees are covered by its noncontributory defined benefit pension plans (“Plans”). The impact of these Plans on our earnings may be volatile in that the amount of expense we record and may materially change from year to year because those calculations are sensitive to changes in several key economic assumptions, including discount rates, inflation, expected return on plan assets, retirement rates and mortality rates. These pension costs are dependent on significant judgment in the use of various estimates and assumptions, particularly with respect to the discount rate and expected long-term rates of return on plan assets. Changes to these estimates and assumptions could have a material adverse effect on our financial position, results of operations or cash flows. Differences between actual investment returns and our assumed long-term returns</w:t>
            </w:r>
            <w:r>
              <w:t xml:space="preserve"> </w:t>
            </w:r>
            <w:r>
              <w:t xml:space="preserve">13</w:t>
            </w:r>
            <w:r>
              <w:t xml:space="preserve"> </w:t>
            </w:r>
            <w:r>
              <w:t xml:space="preserve">Table of Contents</w:t>
            </w:r>
            <w:r>
              <w:t xml:space="preserve"> </w:t>
            </w:r>
            <w:r>
              <w:t xml:space="preserve">on assets will result in changes in future pension expense and the funded status of our Plans, and could increase future funding of the Plans. Changes in these factors affect our plan funding, cash flows, earnings, and shareholders’ equity. Additionally, the Company contributed to a multi-employer retirement plan. While the Company withdrew from this plan to mitigate future costs, the Company may be subject to liability in connection with such withdrawal (see Note 8,</w:t>
            </w:r>
            <w:r>
              <w:t xml:space="preserve"> </w:t>
            </w:r>
            <w:r>
              <w:t xml:space="preserve">Retirement Benefit Plans</w:t>
            </w:r>
            <w:r>
              <w:t xml:space="preserve"> </w:t>
            </w:r>
            <w:r>
              <w:t xml:space="preserve">).</w:t>
            </w:r>
            <w:r>
              <w:t xml:space="preserve"> </w:t>
            </w:r>
            <w:r>
              <w:t xml:space="preserve">Market volatility and adverse capital or credit market conditions may affect our ability to access cost-effective sources of funding and may expose SIFCO to risks associated with the financial viability of suppliers.</w:t>
            </w:r>
            <w:r>
              <w:t xml:space="preserve"> </w:t>
            </w:r>
            <w:r>
              <w:t xml:space="preserve">The financial markets can experience high levels of volatility and disruption, reducing the availability of credit for certain issuers and the financial markets have undergone significant volatility in reaction to various macroeconomic factors.</w:t>
            </w:r>
            <w:r>
              <w:t xml:space="preserve"> </w:t>
            </w:r>
            <w:r>
              <w:t xml:space="preserve">The tightening of the credit market and standards, as well as capital market volatility, could negatively impact our ability to obtain additional debt financing on terms equivalent to our existing Credit Agreement. Capital market uncertainty and volatility, together with the Company’s market capitalization and status as a smaller reporting company, could also negatively impact our ability to obtain capital market financing or bank financing on favorable terms, or at all, which could have a material adverse effect on our financial position, results of operations or cash flows.</w:t>
            </w:r>
            <w:r>
              <w:t xml:space="preserve"> </w:t>
            </w:r>
            <w:r>
              <w:t xml:space="preserve">Tightening credit markets could also adversely affect our suppliers' ability to obtain financing. Delays in suppliers' ability to obtain financing, or the unavailability of financing, could negatively affect their ability to perform their contracts with SIFCO and cause our inability to meet our contract obligations. The inability of our suppliers to obtain financing could also result in the need for us to transition to alternate suppliers, which could result in significant incremental costs and delays.</w:t>
            </w:r>
            <w:r>
              <w:t xml:space="preserve"> </w:t>
            </w:r>
            <w:r>
              <w:t xml:space="preserve">A write-off of all or part of our goodwill or other intangible assets could adversely affect our operating results and net worth.</w:t>
            </w:r>
            <w:r>
              <w:t xml:space="preserve"> </w:t>
            </w:r>
            <w:r>
              <w:t xml:space="preserve">Goodwill and other intangible assets are a component of our assets. At Septem</w:t>
            </w:r>
            <w:r>
              <w:t xml:space="preserve"> </w:t>
            </w:r>
            <w:r>
              <w:t xml:space="preserve">ber 30, 2023, goodwill was $3.5 million and other intangible assets were $0.3 million of our total assets of $96.5 million. We may have to write off all or part of our goodwill or other intangible assets if their value becomes impaired. Although this write-off would be a non-cash</w:t>
            </w:r>
            <w:r>
              <w:t xml:space="preserve"> </w:t>
            </w:r>
            <w:r>
              <w:t xml:space="preserve">charge, it could reduce our earnings and our financial condition.</w:t>
            </w:r>
            <w:r>
              <w:t xml:space="preserve"> </w:t>
            </w:r>
            <w:r>
              <w:t xml:space="preserve">General Risks</w:t>
            </w:r>
            <w:r>
              <w:t xml:space="preserve"> </w:t>
            </w:r>
            <w:r>
              <w:t xml:space="preserve">Our business is subject to risks associated with widespread public health crises.</w:t>
            </w:r>
            <w:r>
              <w:t xml:space="preserve"> </w:t>
            </w:r>
            <w:r>
              <w:t xml:space="preserve">We have continued to see a prolonged residual impact of the COVID-19 pandemic on the economy, our industry, and our business, with increased challenges for customers, labor shortages, supply chain disruptions, and increasing inflation, among others.</w:t>
            </w:r>
            <w:r>
              <w:t xml:space="preserve"> </w:t>
            </w:r>
            <w:r>
              <w:t xml:space="preserve">The pandemic has affected and is expected to continue to affect certain elements of our operations and business. As a result, we have been operating in industries which continue to be impacted by the COVID-19 pandemic. As a result of the residual impacts of the pandemic, we may in the future experience, production site shutdowns, and workplace disruptions and restrictions on the movement of people, raw materials and goods, both at our own facilities and at the facilities operated by our customers and suppliers. Further or a more prolonged suspension of operations or delayed recovery in our operations, and/or any similar suspension of operations or delayed recovery at one or more of our key suppliers, or the failure of any of our key suppliers, would result in further challenges to our business, leading to a further material adverse effect on our business, financial condition, results of operations, and cash flows.</w:t>
            </w:r>
            <w:r>
              <w:t xml:space="preserve"> </w:t>
            </w:r>
            <w:r>
              <w:t xml:space="preserve">We expect to continue to experience unpredictable changes in demand from the markets we serve. The A&amp;E industries continue to be negatively impacted by the residual impacts of the COVID-19 pandemic and its effects as a result of various restrictions on air travel, supply chain disruptions and labor shortages. These factors have caused reductions in demand for commercial aircraft, which have adversely impacted our net sales and operating results and may continue to do so for an extended period of time. Further, an overall reduction in business activity as a result of the disruption previously led to a softening of the energy market. If the residual impact of the pandemic continues and/or conditions worsen, we may experience additional adverse impacts on our operations, costs, customer orders, and collections of accounts receivable, which may be material. While we are unable to predict the magnitude of the impact of these factors at this time, the loss of, or significant reduction in, purchases by our large customers could have a material adverse effect on our business, financial condition, and results of operations.</w:t>
            </w:r>
            <w:r>
              <w:t xml:space="preserve"> </w:t>
            </w:r>
            <w:r>
              <w:t xml:space="preserve">Additionally, the residual impacts of the pandemic could lead to an extended disruption of economic activity whereby the impact on our consolidated results of operations, financial position and cash flows could be material. While the potential economic impact brought by and the duration of the residual impacts of the coronavirus outbreak may be difficult to assess or predict, the resurgence of a widespread pandemic could result in significant or sustained disruption of global financial markets, reducing our ability to access capital, which could in the future negatively affect our liquidity. While the Company believes it</w:t>
            </w:r>
            <w:r>
              <w:t xml:space="preserve"> </w:t>
            </w:r>
            <w:r>
              <w:t xml:space="preserve">14</w:t>
            </w:r>
            <w:r>
              <w:t xml:space="preserve"> </w:t>
            </w:r>
            <w:r>
              <w:t xml:space="preserve">Table of Contents</w:t>
            </w:r>
            <w:r>
              <w:t xml:space="preserve"> </w:t>
            </w:r>
            <w:r>
              <w:t xml:space="preserve">has adequate cash/liquidity available to finance its operations, our ability to make scheduled payments of the principal of, to pay interest on or to refinance our indebtedness, depends on our future performance, which is subject to general economic, financial, competitive and other factors (including the continued residual impact of COVID-19) beyond our control. In addition, while we believe we have taken appropriate steps to maintain a safe workplace to protect our employees from contracting and spreading the coronavirus, we may not be able to prevent the spread of the virus among our employees, face litigation or other proceedings making claims related to unsafe working conditions, inadequate protection of our employees or other claims. Any of these claims, even if without merit, could result in costly litigation or divert management's attention and resources. Furthermore, we may face a sustained disruption to our operations due to one or more of the factors described above.</w:t>
            </w:r>
            <w:r>
              <w:t xml:space="preserve"> </w:t>
            </w:r>
            <w:r>
              <w:t xml:space="preserve">The price of our common stock may fluctuate significantly.</w:t>
            </w:r>
            <w:r>
              <w:t xml:space="preserve"> </w:t>
            </w:r>
            <w:r>
              <w:t xml:space="preserve">An active, liquid and orderly market for our common stock may not be sustained, which could depress the trading price of our common stock.</w:t>
            </w:r>
            <w:r>
              <w:t xml:space="preserve"> </w:t>
            </w:r>
            <w:r>
              <w:t xml:space="preserve">Volatility in the market price of our common stock may prevent you from being able to sell your shares at or above the price you paid for your shares or at all. The market price of our common stock could fluctuate significantly for various reasons, which include:</w:t>
            </w:r>
            <w:r>
              <w:t xml:space="preserve"> </w:t>
            </w:r>
            <w:r>
              <w:t xml:space="preserve">a.</w:t>
            </w:r>
            <w:r>
              <w:t xml:space="preserve"> </w:t>
            </w:r>
            <w:r>
              <w:t xml:space="preserve">our quarterly or annual earnings or those of our competitors or our significant customers;</w:t>
            </w:r>
            <w:r>
              <w:t xml:space="preserve"> </w:t>
            </w:r>
            <w:r>
              <w:t xml:space="preserve">b.</w:t>
            </w:r>
            <w:r>
              <w:t xml:space="preserve"> </w:t>
            </w:r>
            <w:r>
              <w:t xml:space="preserve">the public’s reaction to our press releases, our other public announcements and our filings with the Securities and Exchange Commission;</w:t>
            </w:r>
            <w:r>
              <w:t xml:space="preserve"> </w:t>
            </w:r>
            <w:r>
              <w:t xml:space="preserve">c.</w:t>
            </w:r>
            <w:r>
              <w:t xml:space="preserve"> </w:t>
            </w:r>
            <w:r>
              <w:t xml:space="preserve">changes in earnings estimates or recommendations by research analysts who track the stocks of our competitors;</w:t>
            </w:r>
            <w:r>
              <w:t xml:space="preserve"> </w:t>
            </w:r>
            <w:r>
              <w:t xml:space="preserve">d.</w:t>
            </w:r>
            <w:r>
              <w:t xml:space="preserve"> </w:t>
            </w:r>
            <w:r>
              <w:t xml:space="preserve">new laws or regulations or new interpretations of laws or regulations applicable to our business;</w:t>
            </w:r>
            <w:r>
              <w:t xml:space="preserve"> </w:t>
            </w:r>
            <w:r>
              <w:t xml:space="preserve">e.</w:t>
            </w:r>
            <w:r>
              <w:t xml:space="preserve"> </w:t>
            </w:r>
            <w:r>
              <w:t xml:space="preserve">changes in accounting standards, policies, guidance, interpretations or principles;</w:t>
            </w:r>
            <w:r>
              <w:t xml:space="preserve"> </w:t>
            </w:r>
            <w:r>
              <w:t xml:space="preserve">f.</w:t>
            </w:r>
            <w:r>
              <w:t xml:space="preserve"> </w:t>
            </w:r>
            <w:r>
              <w:t xml:space="preserve">changes in general conditions in the domestic and global economies or financial markets, including those resulting from war, incidents of terrorism, health crises or responses to such events;</w:t>
            </w:r>
            <w:r>
              <w:t xml:space="preserve"> </w:t>
            </w:r>
            <w:r>
              <w:t xml:space="preserve">g.</w:t>
            </w:r>
            <w:r>
              <w:t xml:space="preserve"> </w:t>
            </w:r>
            <w:r>
              <w:t xml:space="preserve">litigation involving our company or investigations or audits by regulators into the operations of our company or our competitors;</w:t>
            </w:r>
            <w:r>
              <w:t xml:space="preserve"> </w:t>
            </w:r>
            <w:r>
              <w:t xml:space="preserve">h.</w:t>
            </w:r>
            <w:r>
              <w:t xml:space="preserve"> </w:t>
            </w:r>
            <w:r>
              <w:t xml:space="preserve">strategic action by our competitors;</w:t>
            </w:r>
            <w:r>
              <w:t xml:space="preserve"> </w:t>
            </w:r>
            <w:r>
              <w:t xml:space="preserve">i.</w:t>
            </w:r>
            <w:r>
              <w:t xml:space="preserve"> </w:t>
            </w:r>
            <w:r>
              <w:t xml:space="preserve">sales of common stock by our directors, executive officers and significant shareholders; and</w:t>
            </w:r>
            <w:r>
              <w:t xml:space="preserve"> </w:t>
            </w:r>
            <w:r>
              <w:t xml:space="preserve">j.</w:t>
            </w:r>
            <w:r>
              <w:t xml:space="preserve"> </w:t>
            </w:r>
            <w:r>
              <w:t xml:space="preserve">our stock being closely held by insider holdings and is thinly traded which impacts price volatility.</w:t>
            </w:r>
            <w:r>
              <w:t xml:space="preserve"> </w:t>
            </w:r>
            <w:r>
              <w:t xml:space="preserve">In addition, the stock market in general has experienced extreme price and volume fluctuations that have often been unrelated or disproportionate to the operating performance of those companies. Broad market and industry factors may significantly affect the market price of our common stock, regardless of actual operating performance. In addition, in the past, following periods of volatility in the overall market and the market price of a particular company’s securities, securities class action litigation has often been instituted against these companies. If litigation is instituted against us, it could result in substantial costs and a diversion of our management’s attention and resources.</w:t>
            </w:r>
            <w:r>
              <w:t xml:space="preserve"> </w:t>
            </w:r>
            <w:r>
              <w:t xml:space="preserve">Unanticipated changes in our tax provisions or exposure to additional income tax liabilities could affect our profitability and cash flow.</w:t>
            </w:r>
            <w:r>
              <w:t xml:space="preserve"> </w:t>
            </w:r>
            <w:r>
              <w:t xml:space="preserve">SIFCO is subject to income taxes in the United States, Italy and Ireland. Significant judgment is required in determining our provision for income taxes. In the ordinary course of business, there are many transactions and calculations where the ultimate tax determination is uncertain. Changes in applicable income tax laws and regulations, or their interpretation, could result in higher or lower income tax rates or changes in the taxability of certain sales or the deductibility of certain expenses, thereby affecting our income tax expense and profitability. In addition, the final results of any tax audits or related litigation could be materially different from our related historical income tax provisions and accruals. Additionally, changes in our tax rate as a result of changes in our overall profitability, changes in tax legislation, changes in the valuation of deferred tax assets and liabilities, changes in differences between financial reporting income and taxable income, the examination of previously filed tax returns by taxing authorities and continuing assessments of our tax exposures can also impact our tax liabilities and affect our income tax expense, profitability and cash flow.</w:t>
            </w:r>
            <w:r>
              <w:t xml:space="preserve"> </w:t>
            </w:r>
            <w:r>
              <w:t xml:space="preserve">Damage or destruction of our facilities caused by storms, earthquakes or other causes could adversely affect our financial results and financial condition.</w:t>
            </w:r>
            <w:r>
              <w:t xml:space="preserve"> </w:t>
            </w:r>
            <w:r>
              <w:t xml:space="preserve">We have operations located in regions of the world that may be exposed to damaging storms, earthquakes and other natural disasters as well as other events outside of our control, such as fires, floods and other catastrophic events. We maintain standard property casualty insurance coverage for our properties and may be able to recover costs associated with certain natural disasters through insurance; however, even if covered by insurance, any significant damage or destruction of our facilities due to such events could result in our inability to meet customer delivery schedules and may result in the loss of customers and</w:t>
            </w:r>
            <w:r>
              <w:t xml:space="preserve"> </w:t>
            </w:r>
            <w:r>
              <w:t xml:space="preserve">15</w:t>
            </w:r>
            <w:r>
              <w:t xml:space="preserve"> </w:t>
            </w:r>
            <w:r>
              <w:t xml:space="preserve">Table of Contents</w:t>
            </w:r>
            <w:r>
              <w:t xml:space="preserve"> </w:t>
            </w:r>
            <w:r>
              <w:t xml:space="preserve">significant additional costs to SIFCO. Thus, any significant damage or destruction of our properties could have a material adverse effect on our business, financial condition or results of operations.</w:t>
            </w:r>
            <w:r>
              <w:t xml:space="preserve"> </w:t>
            </w:r>
            <w:r>
              <w:t xml:space="preserve">The occurrence of litigation where we could be named as a defendant is unpredictable.</w:t>
            </w:r>
            <w:r>
              <w:t xml:space="preserve"> </w:t>
            </w:r>
            <w:r>
              <w:t xml:space="preserve">From time to time, we are involved in various legal and other proceedings that are incidental to the conduct of our business. While we believe no current proceedings, if adversely determined, could have a material adverse effect on our financial results, no assurances can be given. Any such claims may divert financial and management resources that would otherwise be used to benefit our operations and could have a material adverse effect on our financial results.</w:t>
            </w:r>
            <w:r>
              <w:t xml:space="preserve"> </w:t>
            </w:r>
            <w:r>
              <w:t xml:space="preserve">Our operations are subject to environmental laws, and complying with those laws may cause us to incur significant costs.</w:t>
            </w:r>
            <w:r>
              <w:t xml:space="preserve"> </w:t>
            </w:r>
            <w:r>
              <w:t xml:space="preserve">Our operations and facilities are subject to numerous stringent environmental laws and regulations. Although we believe that we are in compliance with these laws and regulations, future changes in these laws, regulations or interpretations of them, or changes in the nature of our operations may require us to make significant capital expenditures to ensure compliance.</w:t>
            </w:r>
          </w:p>
        </w:tc>
        <w:tc>
          <w:tcPr/>
          <w:p>
            <w:pPr>
              <w:pStyle w:val="Compact"/>
            </w:pPr>
            <w:r>
              <w:t xml:space="preserve">Item 7. Management’s Discussion and Analysis of Financial Condition and Results of Operations</w:t>
            </w:r>
            <w:r>
              <w:t xml:space="preserve"> </w:t>
            </w:r>
            <w:r>
              <w:t xml:space="preserve">SIFCO is engaged in the production of forgings and machined and sub-assembled components primarily for the Aerospace and Defense, Energy and Commercial Space markets. The processes and services include forging, heat-treating, chemical processing and machining. The Company operates under one business segment.</w:t>
            </w:r>
            <w:r>
              <w:t xml:space="preserve"> </w:t>
            </w:r>
            <w:r>
              <w:t xml:space="preserve">When planning and evaluating its business operations, the Company takes into consideration certain factors, including the following: (i) the projected build rate for commercial, business and military aircraft, as well as the engines that power such aircraft; (ii) the projected build rate for industrial steam and gas turbine engines; and (iii) the projected maintenance, repair and overhaul schedules for commercial, business and military aircraft, as well as the engines that power such aircraft.</w:t>
            </w:r>
            <w:r>
              <w:t xml:space="preserve"> </w:t>
            </w:r>
            <w:r>
              <w:t xml:space="preserve">The Company operates within a cost structure that includes a significant fixed component. Therefore, higher net sales volumes are expected to result in greater operating income because such higher volumes allow the business operations to better leverage the fixed component of their respective cost structures. Conversely, the opposite effect is expected to occur at lower net sales and related production volumes.</w:t>
            </w:r>
            <w:r>
              <w:t xml:space="preserve"> </w:t>
            </w:r>
            <w:r>
              <w:t xml:space="preserve">A. Results of Operations</w:t>
            </w:r>
            <w:r>
              <w:t xml:space="preserve"> </w:t>
            </w:r>
            <w:r>
              <w:t xml:space="preserve">Overview</w:t>
            </w:r>
            <w:r>
              <w:t xml:space="preserve"> </w:t>
            </w:r>
            <w:r>
              <w:t xml:space="preserve">The Company produces forged components for (i) turbine engines that power commercial, business and regional aircraft as well as military aircraft and armored military vehicles; (ii) airframe applications for a variety of aircraft; (iii) industrial gas and steam turbine engines for power generation units; and (iv) other commercial applications.</w:t>
            </w:r>
            <w:r>
              <w:t xml:space="preserve"> </w:t>
            </w:r>
            <w:r>
              <w:t xml:space="preserve">Cybersecurity Incident</w:t>
            </w:r>
            <w:r>
              <w:t xml:space="preserve"> </w:t>
            </w:r>
            <w:r>
              <w:t xml:space="preserve">As reported on Forms 8-K filed January 6, 2023 and February 10, 2023, the Company became aware of unauthorized access to the Company's systems on December 30, 2022. The Company’s domestic operations were impacted by this Cybersecurity Incident which resulted in production delays and delayed shipments due to information access limitations. The Company initiated response protocols and an investigation, engaging cyber security experts to assist with the assessment of the incident and to help determine what data was impacted. The Company has since completed data recovery and restoration from the cyber incident. See Note 11</w:t>
            </w:r>
            <w:r>
              <w:t xml:space="preserve"> </w:t>
            </w:r>
            <w:r>
              <w:t xml:space="preserve">, Commitments and Contingencies.</w:t>
            </w:r>
            <w:r>
              <w:t xml:space="preserve"> </w:t>
            </w:r>
            <w:r>
              <w:t xml:space="preserve">Fiscal Year 2023 Compared with Fiscal Year 2022</w:t>
            </w:r>
            <w:r>
              <w:t xml:space="preserve"> </w:t>
            </w:r>
            <w:r>
              <w:t xml:space="preserve">Net Sales</w:t>
            </w:r>
            <w:r>
              <w:t xml:space="preserve"> </w:t>
            </w:r>
            <w:r>
              <w:t xml:space="preserve">Net sales comparative information for fiscal 2023 and 2022, respectively, is as follows:</w:t>
            </w:r>
            <w:r>
              <w:t xml:space="preserve"> </w:t>
            </w:r>
            <w:r>
              <w:t xml:space="preserve">(Dollars in millions)</w:t>
            </w:r>
            <w:r>
              <w:t xml:space="preserve"> </w:t>
            </w:r>
            <w:r>
              <w:t xml:space="preserve">Years Ended</w:t>
            </w:r>
            <w:r>
              <w:t xml:space="preserve"> </w:t>
            </w:r>
            <w:r>
              <w:t xml:space="preserve">September 30,</w:t>
            </w:r>
            <w:r>
              <w:t xml:space="preserve"> </w:t>
            </w:r>
            <w:r>
              <w:t xml:space="preserve">Year Over Year Increase</w:t>
            </w:r>
            <w:r>
              <w:t xml:space="preserve"> </w:t>
            </w:r>
            <w:r>
              <w:t xml:space="preserve">(Decrease)</w:t>
            </w:r>
            <w:r>
              <w:t xml:space="preserve"> </w:t>
            </w:r>
            <w:r>
              <w:t xml:space="preserve">Net Sales</w:t>
            </w:r>
            <w:r>
              <w:t xml:space="preserve"> </w:t>
            </w:r>
            <w:r>
              <w:t xml:space="preserve">2023</w:t>
            </w:r>
            <w:r>
              <w:t xml:space="preserve"> </w:t>
            </w:r>
            <w:r>
              <w:t xml:space="preserve">2022</w:t>
            </w:r>
            <w:r>
              <w:t xml:space="preserve"> </w:t>
            </w:r>
            <w:r>
              <w:t xml:space="preserve">Aerospace components for:</w:t>
            </w:r>
            <w:r>
              <w:t xml:space="preserve"> </w:t>
            </w:r>
            <w:r>
              <w:t xml:space="preserve">Fixed wing aircraft</w:t>
            </w:r>
            <w:r>
              <w:t xml:space="preserve"> </w:t>
            </w:r>
            <w:r>
              <w:t xml:space="preserve">$</w:t>
            </w:r>
            <w:r>
              <w:t xml:space="preserve"> </w:t>
            </w:r>
            <w:r>
              <w:t xml:space="preserve">40.1</w:t>
            </w:r>
            <w:r>
              <w:t xml:space="preserve"> </w:t>
            </w:r>
            <w:r>
              <w:t xml:space="preserve">$</w:t>
            </w:r>
            <w:r>
              <w:t xml:space="preserve"> </w:t>
            </w:r>
            <w:r>
              <w:t xml:space="preserve">39.5</w:t>
            </w:r>
            <w:r>
              <w:t xml:space="preserve"> </w:t>
            </w:r>
            <w:r>
              <w:t xml:space="preserve">$</w:t>
            </w:r>
            <w:r>
              <w:t xml:space="preserve"> </w:t>
            </w:r>
            <w:r>
              <w:t xml:space="preserve">0.6</w:t>
            </w:r>
            <w:r>
              <w:t xml:space="preserve"> </w:t>
            </w:r>
            <w:r>
              <w:t xml:space="preserve">Rotorcraft</w:t>
            </w:r>
            <w:r>
              <w:t xml:space="preserve"> </w:t>
            </w:r>
            <w:r>
              <w:t xml:space="preserve">16.4</w:t>
            </w:r>
            <w:r>
              <w:t xml:space="preserve"> </w:t>
            </w:r>
            <w:r>
              <w:t xml:space="preserve">15.6</w:t>
            </w:r>
            <w:r>
              <w:t xml:space="preserve"> </w:t>
            </w:r>
            <w:r>
              <w:t xml:space="preserve">0.8</w:t>
            </w:r>
            <w:r>
              <w:t xml:space="preserve"> </w:t>
            </w:r>
            <w:r>
              <w:t xml:space="preserve">Energy components for power generation units</w:t>
            </w:r>
            <w:r>
              <w:t xml:space="preserve"> </w:t>
            </w:r>
            <w:r>
              <w:t xml:space="preserve">23.0</w:t>
            </w:r>
            <w:r>
              <w:t xml:space="preserve"> </w:t>
            </w:r>
            <w:r>
              <w:t xml:space="preserve">17.4</w:t>
            </w:r>
            <w:r>
              <w:t xml:space="preserve"> </w:t>
            </w:r>
            <w:r>
              <w:t xml:space="preserve">5.6</w:t>
            </w:r>
            <w:r>
              <w:t xml:space="preserve"> </w:t>
            </w:r>
            <w:r>
              <w:t xml:space="preserve">Commercial product and other revenue</w:t>
            </w:r>
            <w:r>
              <w:t xml:space="preserve"> </w:t>
            </w:r>
            <w:r>
              <w:t xml:space="preserve">7.5</w:t>
            </w:r>
            <w:r>
              <w:t xml:space="preserve"> </w:t>
            </w:r>
            <w:r>
              <w:t xml:space="preserve">11.4</w:t>
            </w:r>
            <w:r>
              <w:t xml:space="preserve"> </w:t>
            </w:r>
            <w:r>
              <w:t xml:space="preserve">(3.9)</w:t>
            </w:r>
            <w:r>
              <w:t xml:space="preserve"> </w:t>
            </w:r>
            <w:r>
              <w:t xml:space="preserve">Total</w:t>
            </w:r>
            <w:r>
              <w:t xml:space="preserve"> </w:t>
            </w:r>
            <w:r>
              <w:t xml:space="preserve">$</w:t>
            </w:r>
            <w:r>
              <w:t xml:space="preserve"> </w:t>
            </w:r>
            <w:r>
              <w:t xml:space="preserve">87.0</w:t>
            </w:r>
            <w:r>
              <w:t xml:space="preserve"> </w:t>
            </w:r>
            <w:r>
              <w:t xml:space="preserve">$</w:t>
            </w:r>
            <w:r>
              <w:t xml:space="preserve"> </w:t>
            </w:r>
            <w:r>
              <w:t xml:space="preserve">83.9</w:t>
            </w:r>
            <w:r>
              <w:t xml:space="preserve"> </w:t>
            </w:r>
            <w:r>
              <w:t xml:space="preserve">$</w:t>
            </w:r>
            <w:r>
              <w:t xml:space="preserve"> </w:t>
            </w:r>
            <w:r>
              <w:t xml:space="preserve">3.1</w:t>
            </w:r>
            <w:r>
              <w:t xml:space="preserve"> </w:t>
            </w:r>
            <w:r>
              <w:t xml:space="preserve">Net sales in fiscal 2023</w:t>
            </w:r>
            <w:r>
              <w:t xml:space="preserve"> </w:t>
            </w:r>
            <w:r>
              <w:t xml:space="preserve">increased 3.7%, or $3.1 million to $87.0 million, compar</w:t>
            </w:r>
            <w:r>
              <w:t xml:space="preserve"> </w:t>
            </w:r>
            <w:r>
              <w:t xml:space="preserve">ed with $83.9 million in fiscal 2022. The timing of shipments, coupled with increased demand in the steam turbine power generation market, have contributed to the increase in deliveries in fiscal 2023 than in fiscal 2022. Fixed wing aircraft sales</w:t>
            </w:r>
            <w:r>
              <w:t xml:space="preserve"> </w:t>
            </w:r>
            <w:r>
              <w:t xml:space="preserve">increased $0.6</w:t>
            </w:r>
            <w:r>
              <w:t xml:space="preserve"> </w:t>
            </w:r>
            <w:r>
              <w:t xml:space="preserve">million compared with the same period last year primarily due to F35, 737 and 787 programs. Rotorcraft sales</w:t>
            </w:r>
            <w:r>
              <w:t xml:space="preserve"> </w:t>
            </w:r>
            <w:r>
              <w:t xml:space="preserve">increased $0.8 million</w:t>
            </w:r>
            <w:r>
              <w:t xml:space="preserve"> </w:t>
            </w:r>
            <w:r>
              <w:t xml:space="preserve">in fiscal 2023 compared to the same period in fiscal 2022 primarily due to commercial and Blackhawk programs. The energy components for power generation un</w:t>
            </w:r>
            <w:r>
              <w:t xml:space="preserve"> </w:t>
            </w:r>
            <w:r>
              <w:t xml:space="preserve">its increased $5.6</w:t>
            </w:r>
            <w:r>
              <w:t xml:space="preserve"> </w:t>
            </w:r>
            <w:r>
              <w:t xml:space="preserve">million compared with the same period last year due to growth in the steam turbine markets. Commercial products and other revenue decreased $3.9 million in fiscal 2023 compared to the same period in fiscal 2022, primarily due to timing of orders related to a munitions program partially offset by an increase in commercial space.</w:t>
            </w:r>
            <w:r>
              <w:t xml:space="preserve"> </w:t>
            </w:r>
            <w:r>
              <w:t xml:space="preserve">18</w:t>
            </w:r>
            <w:r>
              <w:t xml:space="preserve"> </w:t>
            </w:r>
            <w:r>
              <w:t xml:space="preserve">Table of Contents</w:t>
            </w:r>
            <w:r>
              <w:t xml:space="preserve"> </w:t>
            </w:r>
            <w:r>
              <w:t xml:space="preserve">Commercial net sales wer</w:t>
            </w:r>
            <w:r>
              <w:t xml:space="preserve"> </w:t>
            </w:r>
            <w:r>
              <w:t xml:space="preserve">e 55.6% of total net</w:t>
            </w:r>
            <w:r>
              <w:t xml:space="preserve"> </w:t>
            </w:r>
            <w:r>
              <w:t xml:space="preserve">sales and military net sales wer</w:t>
            </w:r>
            <w:r>
              <w:t xml:space="preserve"> </w:t>
            </w:r>
            <w:r>
              <w:t xml:space="preserve">e 44.4% of to</w:t>
            </w:r>
            <w:r>
              <w:t xml:space="preserve"> </w:t>
            </w:r>
            <w:r>
              <w:t xml:space="preserve">tal net sales in fiscal 2023, compared with 47.4% and 52.6%, respectively, in the comparable period in fiscal 2022. Commercial net sales</w:t>
            </w:r>
            <w:r>
              <w:t xml:space="preserve"> </w:t>
            </w:r>
            <w:r>
              <w:t xml:space="preserve">increased $8.6 million to $48.4 million in fiscal 2023, compared to $39.8 million in fiscal 2022 primarily due to growth in the energy components for power generation units (steam turbine markets) and the increase in build rates in the commercial aerospace industry. Military net sales decreased $5.4 million to $38.7 million in fiscal 2023, compared to $44.1 million in fiscal 2022 primarily due to V22 demand reduction and timing of orders related to a munition progra</w:t>
            </w:r>
            <w:r>
              <w:t xml:space="preserve"> </w:t>
            </w:r>
            <w:r>
              <w:t xml:space="preserve">m.</w:t>
            </w:r>
            <w:r>
              <w:t xml:space="preserve"> </w:t>
            </w:r>
            <w:r>
              <w:t xml:space="preserve">Cost of Goods Sold</w:t>
            </w:r>
            <w:r>
              <w:t xml:space="preserve"> </w:t>
            </w:r>
            <w:r>
              <w:t xml:space="preserve">Cost of goods sol</w:t>
            </w:r>
            <w:r>
              <w:t xml:space="preserve"> </w:t>
            </w:r>
            <w:r>
              <w:t xml:space="preserve">d ("COGS") decreased by $6.3 million, or 7.3%, to $79.5 million, or 91.3% of net sales, during fiscal 2023, compared with $85.8 million or 102.2% of net sales in the comparable period of fisc</w:t>
            </w:r>
            <w:r>
              <w:t xml:space="preserve"> </w:t>
            </w:r>
            <w:r>
              <w:t xml:space="preserve">al 2022. The decrease was primarily</w:t>
            </w:r>
            <w:r>
              <w:t xml:space="preserve"> </w:t>
            </w:r>
            <w:r>
              <w:t xml:space="preserve">due to increased volume, ERC benefit of $1.5 million and reduction of</w:t>
            </w:r>
            <w:r>
              <w:t xml:space="preserve"> </w:t>
            </w:r>
            <w:r>
              <w:t xml:space="preserve">net realizable value ("NRV") reserve of $0.9 million</w:t>
            </w:r>
            <w:r>
              <w:t xml:space="preserve"> </w:t>
            </w:r>
            <w:r>
              <w:t xml:space="preserve">and lower idle expense of $0.9 million</w:t>
            </w:r>
            <w:r>
              <w:t xml:space="preserve"> </w:t>
            </w:r>
            <w:r>
              <w:t xml:space="preserve">. Current year results include $2.1 million of idle expense and $0.9 million benefit associated with NRV compared with prior year costs of $3.1 million and $1.5 million, respectively.</w:t>
            </w:r>
            <w:r>
              <w:t xml:space="preserve"> </w:t>
            </w:r>
            <w:r>
              <w:t xml:space="preserve">Gross Profit (Loss)</w:t>
            </w:r>
            <w:r>
              <w:t xml:space="preserve"> </w:t>
            </w:r>
            <w:r>
              <w:t xml:space="preserve">Gross profit increased by $9.4 million, to $7.5 million during fiscal 2023, compared with a loss of $1.9 million in fiscal 2022. Gross margin percent of sales was 8.7% during fiscal 2023, compared with (2.2%) in fiscal 2022, primarily due to increased volume, ERC benefit of $1.5 million, reduction of</w:t>
            </w:r>
            <w:r>
              <w:t xml:space="preserve"> </w:t>
            </w:r>
            <w:r>
              <w:t xml:space="preserve">NRV reserve</w:t>
            </w:r>
            <w:r>
              <w:t xml:space="preserve"> </w:t>
            </w:r>
            <w:r>
              <w:t xml:space="preserve">and idle expense, and lower outside processing costs compared with the prior year.</w:t>
            </w:r>
            <w:r>
              <w:t xml:space="preserve"> </w:t>
            </w:r>
            <w:r>
              <w:t xml:space="preserve">Selling, General and Administrative Expenses</w:t>
            </w:r>
            <w:r>
              <w:t xml:space="preserve"> </w:t>
            </w:r>
            <w:r>
              <w:t xml:space="preserve">Selling, general and administrative expenses were $14.0 million, or 16.1% of net</w:t>
            </w:r>
            <w:r>
              <w:t xml:space="preserve"> </w:t>
            </w:r>
            <w:r>
              <w:t xml:space="preserve">sales, during fiscal 2023, compared with $11.9 million, or 14.2% of net sales, in fiscal 2022.</w:t>
            </w:r>
            <w:r>
              <w:t xml:space="preserve"> </w:t>
            </w:r>
            <w:r>
              <w:t xml:space="preserve">The increase in selling, general and administrative expenses</w:t>
            </w:r>
            <w:r>
              <w:t xml:space="preserve"> </w:t>
            </w:r>
            <w:r>
              <w:t xml:space="preserve">is primarily due to incremental IT costs related to the cybersecurity incident of $1.3 million and professional fees primarily related to the ERC credit of $0.4 million partially offset by ERC benefit of $0.2 million. See Note 11</w:t>
            </w:r>
            <w:r>
              <w:t xml:space="preserve"> </w:t>
            </w:r>
            <w:r>
              <w:t xml:space="preserve">, Commitments and Contingencies</w:t>
            </w:r>
            <w:r>
              <w:t xml:space="preserve"> </w:t>
            </w:r>
            <w:r>
              <w:t xml:space="preserve">for further discussion on cyber incident.</w:t>
            </w:r>
            <w:r>
              <w:t xml:space="preserve"> </w:t>
            </w:r>
            <w:r>
              <w:t xml:space="preserve">Amortization of Intangibles</w:t>
            </w:r>
            <w:r>
              <w:t xml:space="preserve"> </w:t>
            </w:r>
            <w:r>
              <w:t xml:space="preserve">Amortization of in</w:t>
            </w:r>
            <w:r>
              <w:t xml:space="preserve"> </w:t>
            </w:r>
            <w:r>
              <w:t xml:space="preserve">tangibles decreased $0.1 million to $0.2 million during fiscal 2023, compared with $0.3 million in the comparable period of fiscal 2022. The decrease was primarily due to certain intangible assets that were fully amortized during fiscal 2023.</w:t>
            </w:r>
            <w:r>
              <w:t xml:space="preserve"> </w:t>
            </w:r>
            <w:r>
              <w:t xml:space="preserve">Other/General</w:t>
            </w:r>
            <w:r>
              <w:t xml:space="preserve"> </w:t>
            </w:r>
            <w:r>
              <w:t xml:space="preserve">The Company recorded an operat</w:t>
            </w:r>
            <w:r>
              <w:t xml:space="preserve"> </w:t>
            </w:r>
            <w:r>
              <w:t xml:space="preserve">ing loss of $6.7 million during fiscal 2023, compared with an operating loss of $14.1 million in fiscal 2022.</w:t>
            </w:r>
            <w:r>
              <w:t xml:space="preserve"> </w:t>
            </w:r>
            <w:r>
              <w:t xml:space="preserve">Prior year results included a gain on extinguishment of debt related to the PPP loan, that was forgiven by the SBA, for $5.1 million. See Note 5,</w:t>
            </w:r>
            <w:r>
              <w:t xml:space="preserve"> </w:t>
            </w:r>
            <w:r>
              <w:t xml:space="preserve">Debt and Subsequent Event</w:t>
            </w:r>
            <w:r>
              <w:t xml:space="preserve"> </w:t>
            </w:r>
            <w:r>
              <w:t xml:space="preserve">for further discussion.</w:t>
            </w:r>
            <w:r>
              <w:t xml:space="preserve"> </w:t>
            </w:r>
            <w:r>
              <w:t xml:space="preserve">Net interest expe</w:t>
            </w:r>
            <w:r>
              <w:t xml:space="preserve"> </w:t>
            </w:r>
            <w:r>
              <w:t xml:space="preserve">nse was $1.3 million in fisca</w:t>
            </w:r>
            <w:r>
              <w:t xml:space="preserve"> </w:t>
            </w:r>
            <w:r>
              <w:t xml:space="preserve">l 2023 compared with</w:t>
            </w:r>
            <w:r>
              <w:t xml:space="preserve"> </w:t>
            </w:r>
            <w:r>
              <w:t xml:space="preserve">$0.6 million in fisca</w:t>
            </w:r>
            <w:r>
              <w:t xml:space="preserve"> </w:t>
            </w:r>
            <w:r>
              <w:t xml:space="preserve">l 2022. The increase was due to higher interest rates and higher average borrowings compared with the prior year. See Note 5,</w:t>
            </w:r>
            <w:r>
              <w:t xml:space="preserve"> </w:t>
            </w:r>
            <w:r>
              <w:t xml:space="preserve">Debt and Subsequent Event</w:t>
            </w:r>
            <w:r>
              <w:t xml:space="preserve"> </w:t>
            </w:r>
            <w:r>
              <w:t xml:space="preserve">for further discussion.</w:t>
            </w:r>
            <w:r>
              <w:t xml:space="preserve"> </w:t>
            </w:r>
            <w:r>
              <w:t xml:space="preserve">The following table sets forth the weighted average interest rates and weighted average outstanding balances under the Company’s debt agreements in fiscal 2023 and 2022:</w:t>
            </w:r>
            <w:r>
              <w:t xml:space="preserve"> </w:t>
            </w:r>
            <w:r>
              <w:t xml:space="preserve">Weighted Average</w:t>
            </w:r>
            <w:r>
              <w:t xml:space="preserve"> </w:t>
            </w:r>
            <w:r>
              <w:t xml:space="preserve">Interest Rate</w:t>
            </w:r>
            <w:r>
              <w:t xml:space="preserve"> </w:t>
            </w:r>
            <w:r>
              <w:t xml:space="preserve">Years Ended September 30,</w:t>
            </w:r>
            <w:r>
              <w:t xml:space="preserve"> </w:t>
            </w:r>
            <w:r>
              <w:t xml:space="preserve">Weighted Average</w:t>
            </w:r>
            <w:r>
              <w:t xml:space="preserve"> </w:t>
            </w:r>
            <w:r>
              <w:t xml:space="preserve">Outstanding Balance</w:t>
            </w:r>
            <w:r>
              <w:t xml:space="preserve"> </w:t>
            </w:r>
            <w:r>
              <w:t xml:space="preserve">Years Ended September 30,</w:t>
            </w:r>
            <w:r>
              <w:t xml:space="preserve"> </w:t>
            </w:r>
            <w:r>
              <w:t xml:space="preserve">2023</w:t>
            </w:r>
            <w:r>
              <w:t xml:space="preserve"> </w:t>
            </w:r>
            <w:r>
              <w:t xml:space="preserve">2022</w:t>
            </w:r>
            <w:r>
              <w:t xml:space="preserve"> </w:t>
            </w:r>
            <w:r>
              <w:t xml:space="preserve">2023</w:t>
            </w:r>
            <w:r>
              <w:t xml:space="preserve"> </w:t>
            </w:r>
            <w:r>
              <w:t xml:space="preserve">2022</w:t>
            </w:r>
            <w:r>
              <w:t xml:space="preserve"> </w:t>
            </w:r>
            <w:r>
              <w:t xml:space="preserve">Revolving credit agreement</w:t>
            </w:r>
            <w:r>
              <w:t xml:space="preserve"> </w:t>
            </w:r>
            <w:r>
              <w:t xml:space="preserve">6.9%</w:t>
            </w:r>
            <w:r>
              <w:t xml:space="preserve"> </w:t>
            </w:r>
            <w:r>
              <w:t xml:space="preserve">2.6%</w:t>
            </w:r>
            <w:r>
              <w:t xml:space="preserve"> </w:t>
            </w:r>
            <w:r>
              <w:t xml:space="preserve">$ 13.1 million</w:t>
            </w:r>
            <w:r>
              <w:t xml:space="preserve"> </w:t>
            </w:r>
            <w:r>
              <w:t xml:space="preserve">$ 10.4 million</w:t>
            </w:r>
            <w:r>
              <w:t xml:space="preserve"> </w:t>
            </w:r>
            <w:r>
              <w:t xml:space="preserve">Foreign term debt</w:t>
            </w:r>
            <w:r>
              <w:t xml:space="preserve"> </w:t>
            </w:r>
            <w:r>
              <w:t xml:space="preserve">4.6%</w:t>
            </w:r>
            <w:r>
              <w:t xml:space="preserve"> </w:t>
            </w:r>
            <w:r>
              <w:t xml:space="preserve">2.8%</w:t>
            </w:r>
            <w:r>
              <w:t xml:space="preserve"> </w:t>
            </w:r>
            <w:r>
              <w:t xml:space="preserve">$ 7.1 million</w:t>
            </w:r>
            <w:r>
              <w:t xml:space="preserve"> </w:t>
            </w:r>
            <w:r>
              <w:t xml:space="preserve">$ 6.2 million</w:t>
            </w:r>
            <w:r>
              <w:t xml:space="preserve"> </w:t>
            </w:r>
            <w:r>
              <w:t xml:space="preserve">Other debt</w:t>
            </w:r>
            <w:r>
              <w:t xml:space="preserve"> </w:t>
            </w:r>
            <w:r>
              <w:t xml:space="preserve">1.5%</w:t>
            </w:r>
            <w:r>
              <w:t xml:space="preserve"> </w:t>
            </w:r>
            <w:r>
              <w:t xml:space="preserve">0.7%</w:t>
            </w:r>
            <w:r>
              <w:t xml:space="preserve"> </w:t>
            </w:r>
            <w:r>
              <w:t xml:space="preserve">$ 0.5 million</w:t>
            </w:r>
            <w:r>
              <w:t xml:space="preserve"> </w:t>
            </w:r>
            <w:r>
              <w:t xml:space="preserve">$ 1.9 million</w:t>
            </w:r>
            <w:r>
              <w:t xml:space="preserve"> </w:t>
            </w:r>
            <w:r>
              <w:t xml:space="preserve">The Company believes that inflation did not materially impact its results of operations in either fiscal 2023 or 2022.</w:t>
            </w:r>
            <w:r>
              <w:t xml:space="preserve"> </w:t>
            </w:r>
            <w:r>
              <w:t xml:space="preserve">19</w:t>
            </w:r>
            <w:r>
              <w:t xml:space="preserve"> </w:t>
            </w:r>
            <w:r>
              <w:t xml:space="preserve">Table of Contents</w:t>
            </w:r>
            <w:r>
              <w:t xml:space="preserve"> </w:t>
            </w:r>
            <w:r>
              <w:t xml:space="preserve">Income Taxes</w:t>
            </w:r>
            <w:r>
              <w:t xml:space="preserve"> </w:t>
            </w:r>
            <w:r>
              <w:t xml:space="preserve">The Company’s effective tax rate in fiscal 2023 was (1.9%) compared with 0.4% in fiscal 2022. The decrease in the effective tax rate in fiscal 2023 is primarily attributable to changes in jurisdictional mix of income in fiscal 2023 compared with the same period in fiscal 2022. The effective tax rate differs from the U.S. federal statutory rate due primarily to the valuation allowance against the Company’s U.S. deferred tax assets and income in foreign jurisdictions that are taxed at different rates than the U.S. statutory tax rate.</w:t>
            </w:r>
            <w:r>
              <w:t xml:space="preserve"> </w:t>
            </w:r>
            <w:r>
              <w:t xml:space="preserve">Net Loss</w:t>
            </w:r>
            <w:r>
              <w:t xml:space="preserve"> </w:t>
            </w:r>
            <w:r>
              <w:t xml:space="preserve">Net loss wa</w:t>
            </w:r>
            <w:r>
              <w:t xml:space="preserve"> </w:t>
            </w:r>
            <w:r>
              <w:t xml:space="preserve">s $8.7</w:t>
            </w:r>
            <w:r>
              <w:t xml:space="preserve"> </w:t>
            </w:r>
            <w:r>
              <w:t xml:space="preserve">million during fiscal 2023, compared with $9.6 million in fisca</w:t>
            </w:r>
            <w:r>
              <w:t xml:space="preserve"> </w:t>
            </w:r>
            <w:r>
              <w:t xml:space="preserve">l 2022. The decrease in net loss in the current period was primarily due to increased volume, ERC refund benefit, reduction of</w:t>
            </w:r>
            <w:r>
              <w:t xml:space="preserve"> </w:t>
            </w:r>
            <w:r>
              <w:t xml:space="preserve">NRV reserve</w:t>
            </w:r>
            <w:r>
              <w:t xml:space="preserve"> </w:t>
            </w:r>
            <w:r>
              <w:t xml:space="preserve">and idle expense, lower outside processing costs and stabilized raw material pricing partially offset by cybersecurity incident costs. Prior year results included a $5.1 million gain on debt extinguishment previously noted.</w:t>
            </w:r>
            <w:r>
              <w:t xml:space="preserve"> </w:t>
            </w:r>
            <w:r>
              <w:t xml:space="preserve">Non-GAAP Financial Measures</w:t>
            </w:r>
            <w:r>
              <w:t xml:space="preserve"> </w:t>
            </w:r>
            <w:r>
              <w:t xml:space="preserve">Presented below is certain financial information based on the Company's EBITDA and Adjusted EBITDA. References to “EBITDA” mean earnings (losses) from continuing operations before interest, taxes, depreciation and amortization, and references to “Adjusted EBITDA” mean EBITDA plus, as applicable for each relevant period, certain adjustments as set forth in the reconciliations of net income to EBITDA and Adjusted EBITDA.</w:t>
            </w:r>
            <w:r>
              <w:t xml:space="preserve"> </w:t>
            </w:r>
            <w:r>
              <w:t xml:space="preserve">Neither EBITDA nor Adjusted EBITDA is a measurement of financial performance under generally accepted accounting principles in the United States of America (“GAAP”). The Company presents EBITDA and Adjusted EBITDA because management believes that they are useful indicators for evaluating operating performance and liquidity, including the Company’s ability to incur and service debt and it uses EBITDA to evaluate prospective acquisitions. Although the Company uses EBITDA and Adjusted EBITDA for the reasons noted above, the use of these non-GAAP financial measures as analytical tools has limitations. Therefore, reviewers of the Company’s financial information should not consider them in isolation, or as a substitute for analysis of the Company's results of operations as reported in accordance with GAAP. Some of these limitations include:</w:t>
            </w:r>
            <w:r>
              <w:t xml:space="preserve"> </w:t>
            </w:r>
            <w:r>
              <w:t xml:space="preserve">•</w:t>
            </w:r>
            <w:r>
              <w:t xml:space="preserve"> </w:t>
            </w:r>
            <w:r>
              <w:t xml:space="preserve">Neither EBITDA nor Adjusted EBITDA reflects the interest expense, or the cash requirements necessary to service interest payments on indebtedness;</w:t>
            </w:r>
            <w:r>
              <w:t xml:space="preserve"> </w:t>
            </w:r>
            <w:r>
              <w:t xml:space="preserve">•</w:t>
            </w:r>
            <w:r>
              <w:t xml:space="preserve"> </w:t>
            </w:r>
            <w:r>
              <w:t xml:space="preserve">Although depreciation and amortization are non-cash charges, the assets being depreciated and amortized will often have to be replaced in the future, and neither EBITDA nor Adjusted EBITDA reflects any cash requirements for such replacements;</w:t>
            </w:r>
            <w:r>
              <w:t xml:space="preserve"> </w:t>
            </w:r>
            <w:r>
              <w:t xml:space="preserve">•</w:t>
            </w:r>
            <w:r>
              <w:t xml:space="preserve"> </w:t>
            </w:r>
            <w:r>
              <w:t xml:space="preserve">The omission of the amortization expense associated with the Company’s intangible assets further limits the usefulness of EBITDA and Adjusted EBITDA; and</w:t>
            </w:r>
            <w:r>
              <w:t xml:space="preserve"> </w:t>
            </w:r>
            <w:r>
              <w:t xml:space="preserve">•</w:t>
            </w:r>
            <w:r>
              <w:t xml:space="preserve"> </w:t>
            </w:r>
            <w:r>
              <w:t xml:space="preserve">Neither EBITDA nor Adjusted EBITDA includes the payment of taxes, which is a necessary element of operations.</w:t>
            </w:r>
            <w:r>
              <w:t xml:space="preserve"> </w:t>
            </w:r>
            <w:r>
              <w:t xml:space="preserve">Because of these limitations, EBITDA and Adjusted EBITDA should not be considered as measures of discretionary cash available to the Company to invest in the growth of its businesses. Management compensates for these limitations by not viewing EBITDA or Adjusted EBITDA in isolation and specifically by using other GAAP measures, such as net income (loss), net sales, and operating income (loss), to measure operating performance. Neither EBITDA nor Adjusted EBITDA is a measurement of financial performance under GAAP, and neither should be considered as an alternative to net loss or cash flow from operations determined in accordance with GAAP. The Company’s calculation of EBITDA and Adjusted EBITDA may not be comparable to the calculation of similarly titled measures reported by other companies.</w:t>
            </w:r>
            <w:r>
              <w:t xml:space="preserve"> </w:t>
            </w:r>
            <w:r>
              <w:t xml:space="preserve">20</w:t>
            </w:r>
            <w:r>
              <w:t xml:space="preserve"> </w:t>
            </w:r>
            <w:r>
              <w:t xml:space="preserve">Table of Contents</w:t>
            </w:r>
            <w:r>
              <w:t xml:space="preserve"> </w:t>
            </w:r>
            <w:r>
              <w:t xml:space="preserve">The following table sets forth a reconciliation of net loss to EBITDA and Adjusted EBITDA:</w:t>
            </w:r>
            <w:r>
              <w:t xml:space="preserve"> </w:t>
            </w:r>
            <w:r>
              <w:t xml:space="preserve">(Dollars in thousands)</w:t>
            </w:r>
            <w:r>
              <w:t xml:space="preserve"> </w:t>
            </w:r>
            <w:r>
              <w:t xml:space="preserve">Years Ended</w:t>
            </w:r>
            <w:r>
              <w:t xml:space="preserve"> </w:t>
            </w:r>
            <w:r>
              <w:t xml:space="preserve">September 30,</w:t>
            </w:r>
            <w:r>
              <w:t xml:space="preserve"> </w:t>
            </w:r>
            <w:r>
              <w:t xml:space="preserve">2023</w:t>
            </w:r>
            <w:r>
              <w:t xml:space="preserve"> </w:t>
            </w:r>
            <w:r>
              <w:t xml:space="preserve">2022</w:t>
            </w:r>
            <w:r>
              <w:t xml:space="preserve"> </w:t>
            </w:r>
            <w:r>
              <w:t xml:space="preserve">Net loss</w:t>
            </w:r>
            <w:r>
              <w:t xml:space="preserve"> </w:t>
            </w:r>
            <w:r>
              <w:t xml:space="preserve">$</w:t>
            </w:r>
            <w:r>
              <w:t xml:space="preserve"> </w:t>
            </w:r>
            <w:r>
              <w:t xml:space="preserve">(8,692)</w:t>
            </w:r>
            <w:r>
              <w:t xml:space="preserve"> </w:t>
            </w:r>
            <w:r>
              <w:t xml:space="preserve">$</w:t>
            </w:r>
            <w:r>
              <w:t xml:space="preserve"> </w:t>
            </w:r>
            <w:r>
              <w:t xml:space="preserve">(9,640)</w:t>
            </w:r>
            <w:r>
              <w:t xml:space="preserve"> </w:t>
            </w:r>
            <w:r>
              <w:t xml:space="preserve">Adjustments:</w:t>
            </w:r>
            <w:r>
              <w:t xml:space="preserve"> </w:t>
            </w:r>
            <w:r>
              <w:t xml:space="preserve">Depreciation and amortization expense</w:t>
            </w:r>
            <w:r>
              <w:t xml:space="preserve"> </w:t>
            </w:r>
            <w:r>
              <w:t xml:space="preserve">6,404</w:t>
            </w:r>
            <w:r>
              <w:t xml:space="preserve"> </w:t>
            </w:r>
            <w:r>
              <w:t xml:space="preserve">6,348</w:t>
            </w:r>
            <w:r>
              <w:t xml:space="preserve"> </w:t>
            </w:r>
            <w:r>
              <w:t xml:space="preserve">Interest expense, net</w:t>
            </w:r>
            <w:r>
              <w:t xml:space="preserve"> </w:t>
            </w:r>
            <w:r>
              <w:t xml:space="preserve">1,348</w:t>
            </w:r>
            <w:r>
              <w:t xml:space="preserve"> </w:t>
            </w:r>
            <w:r>
              <w:t xml:space="preserve">646</w:t>
            </w:r>
            <w:r>
              <w:t xml:space="preserve"> </w:t>
            </w:r>
            <w:r>
              <w:t xml:space="preserve">Income tax expense (benefit)</w:t>
            </w:r>
            <w:r>
              <w:t xml:space="preserve"> </w:t>
            </w:r>
            <w:r>
              <w:t xml:space="preserve">159</w:t>
            </w:r>
            <w:r>
              <w:t xml:space="preserve"> </w:t>
            </w:r>
            <w:r>
              <w:t xml:space="preserve">(43)</w:t>
            </w:r>
            <w:r>
              <w:t xml:space="preserve"> </w:t>
            </w:r>
            <w:r>
              <w:t xml:space="preserve">EBITDA</w:t>
            </w:r>
            <w:r>
              <w:t xml:space="preserve"> </w:t>
            </w:r>
            <w:r>
              <w:t xml:space="preserve">(781)</w:t>
            </w:r>
            <w:r>
              <w:t xml:space="preserve"> </w:t>
            </w:r>
            <w:r>
              <w:t xml:space="preserve">(2,689)</w:t>
            </w:r>
            <w:r>
              <w:t xml:space="preserve"> </w:t>
            </w:r>
            <w:r>
              <w:t xml:space="preserve">Adjustments:</w:t>
            </w:r>
            <w:r>
              <w:t xml:space="preserve"> </w:t>
            </w:r>
            <w:r>
              <w:t xml:space="preserve">Foreign currency exchange loss, net (1)</w:t>
            </w:r>
            <w:r>
              <w:t xml:space="preserve"> </w:t>
            </w:r>
            <w:r>
              <w:t xml:space="preserve">9</w:t>
            </w:r>
            <w:r>
              <w:t xml:space="preserve"> </w:t>
            </w:r>
            <w:r>
              <w:t xml:space="preserve">15</w:t>
            </w:r>
            <w:r>
              <w:t xml:space="preserve"> </w:t>
            </w:r>
            <w:r>
              <w:t xml:space="preserve">Other loss (income), net (2)</w:t>
            </w:r>
            <w:r>
              <w:t xml:space="preserve"> </w:t>
            </w:r>
            <w:r>
              <w:t xml:space="preserve">275</w:t>
            </w:r>
            <w:r>
              <w:t xml:space="preserve"> </w:t>
            </w:r>
            <w:r>
              <w:t xml:space="preserve">(149)</w:t>
            </w:r>
            <w:r>
              <w:t xml:space="preserve"> </w:t>
            </w:r>
            <w:r>
              <w:t xml:space="preserve">Loss (gain) on disposal of assets (3)</w:t>
            </w:r>
            <w:r>
              <w:t xml:space="preserve"> </w:t>
            </w:r>
            <w:r>
              <w:t xml:space="preserve">1</w:t>
            </w:r>
            <w:r>
              <w:t xml:space="preserve"> </w:t>
            </w:r>
            <w:r>
              <w:t xml:space="preserve">(7)</w:t>
            </w:r>
            <w:r>
              <w:t xml:space="preserve"> </w:t>
            </w:r>
            <w:r>
              <w:t xml:space="preserve">Gain on debt extinguishment (4)</w:t>
            </w:r>
            <w:r>
              <w:t xml:space="preserve"> </w:t>
            </w:r>
            <w:r>
              <w:t xml:space="preserve">—</w:t>
            </w:r>
            <w:r>
              <w:t xml:space="preserve"> </w:t>
            </w:r>
            <w:r>
              <w:t xml:space="preserve">(5,106)</w:t>
            </w:r>
            <w:r>
              <w:t xml:space="preserve"> </w:t>
            </w:r>
            <w:r>
              <w:t xml:space="preserve">Equity compensation expense (5)</w:t>
            </w:r>
            <w:r>
              <w:t xml:space="preserve"> </w:t>
            </w:r>
            <w:r>
              <w:t xml:space="preserve">375</w:t>
            </w:r>
            <w:r>
              <w:t xml:space="preserve"> </w:t>
            </w:r>
            <w:r>
              <w:t xml:space="preserve">428</w:t>
            </w:r>
            <w:r>
              <w:t xml:space="preserve"> </w:t>
            </w:r>
            <w:r>
              <w:t xml:space="preserve">Pension settlement/curtailment benefit (6)</w:t>
            </w:r>
            <w:r>
              <w:t xml:space="preserve"> </w:t>
            </w:r>
            <w:r>
              <w:t xml:space="preserve">108</w:t>
            </w:r>
            <w:r>
              <w:t xml:space="preserve"> </w:t>
            </w:r>
            <w:r>
              <w:t xml:space="preserve">208</w:t>
            </w:r>
            <w:r>
              <w:t xml:space="preserve"> </w:t>
            </w:r>
            <w:r>
              <w:t xml:space="preserve">LIFO impact (7)</w:t>
            </w:r>
            <w:r>
              <w:t xml:space="preserve"> </w:t>
            </w:r>
            <w:r>
              <w:t xml:space="preserve">(305)</w:t>
            </w:r>
            <w:r>
              <w:t xml:space="preserve"> </w:t>
            </w:r>
            <w:r>
              <w:t xml:space="preserve">729</w:t>
            </w:r>
            <w:r>
              <w:t xml:space="preserve"> </w:t>
            </w:r>
            <w:r>
              <w:t xml:space="preserve">IT incident costs, net (8)</w:t>
            </w:r>
            <w:r>
              <w:t xml:space="preserve"> </w:t>
            </w:r>
            <w:r>
              <w:t xml:space="preserve">1,275</w:t>
            </w:r>
            <w:r>
              <w:t xml:space="preserve"> </w:t>
            </w:r>
            <w:r>
              <w:t xml:space="preserve">—</w:t>
            </w:r>
            <w:r>
              <w:t xml:space="preserve"> </w:t>
            </w:r>
            <w:r>
              <w:t xml:space="preserve">Strategic alternative expense (9)</w:t>
            </w:r>
            <w:r>
              <w:t xml:space="preserve"> </w:t>
            </w:r>
            <w:r>
              <w:t xml:space="preserve">86</w:t>
            </w:r>
            <w:r>
              <w:t xml:space="preserve"> </w:t>
            </w:r>
            <w:r>
              <w:t xml:space="preserve">—</w:t>
            </w:r>
            <w:r>
              <w:t xml:space="preserve"> </w:t>
            </w:r>
            <w:r>
              <w:t xml:space="preserve">Adjusted EBITDA</w:t>
            </w:r>
            <w:r>
              <w:t xml:space="preserve"> </w:t>
            </w:r>
            <w:r>
              <w:t xml:space="preserve">$</w:t>
            </w:r>
            <w:r>
              <w:t xml:space="preserve"> </w:t>
            </w:r>
            <w:r>
              <w:t xml:space="preserve">1,043</w:t>
            </w:r>
            <w:r>
              <w:t xml:space="preserve"> </w:t>
            </w:r>
            <w:r>
              <w:t xml:space="preserve">$</w:t>
            </w:r>
            <w:r>
              <w:t xml:space="preserve"> </w:t>
            </w:r>
            <w:r>
              <w:t xml:space="preserve">(6,571)</w:t>
            </w:r>
            <w:r>
              <w:t xml:space="preserve"> </w:t>
            </w:r>
            <w:r>
              <w:t xml:space="preserve">(1)</w:t>
            </w:r>
            <w:r>
              <w:t xml:space="preserve"> </w:t>
            </w:r>
            <w:r>
              <w:t xml:space="preserve">Represents the gain or loss from changes in the exchange rates between the functional currency and the foreign currency in which the transaction is denominated.</w:t>
            </w:r>
            <w:r>
              <w:t xml:space="preserve"> </w:t>
            </w:r>
            <w:r>
              <w:t xml:space="preserve">(2)</w:t>
            </w:r>
            <w:r>
              <w:t xml:space="preserve"> </w:t>
            </w:r>
            <w:r>
              <w:t xml:space="preserve">Represents miscellaneous non-operating income or expense, such as pension costs or grant income.</w:t>
            </w:r>
            <w:r>
              <w:t xml:space="preserve"> </w:t>
            </w:r>
            <w:r>
              <w:t xml:space="preserve">(3)</w:t>
            </w:r>
            <w:r>
              <w:t xml:space="preserve"> </w:t>
            </w:r>
            <w:r>
              <w:t xml:space="preserve">Represents the difference between the proceeds from the sale of operating equipment and the carrying value shown on the Company's books.</w:t>
            </w:r>
            <w:r>
              <w:t xml:space="preserve"> </w:t>
            </w:r>
            <w:r>
              <w:t xml:space="preserve">(4)</w:t>
            </w:r>
            <w:r>
              <w:t xml:space="preserve"> </w:t>
            </w:r>
            <w:r>
              <w:t xml:space="preserve">Represents the gain on extinguishment of debt and interest for the amount forgiven by the SBA as it relates to the PPP loan in fiscal 2022.</w:t>
            </w:r>
            <w:r>
              <w:t xml:space="preserve"> </w:t>
            </w:r>
            <w:r>
              <w:t xml:space="preserve">(5)</w:t>
            </w:r>
            <w:r>
              <w:t xml:space="preserve"> </w:t>
            </w:r>
            <w:r>
              <w:t xml:space="preserve">Represents the equity-based compensation expense recognized by the Company under the 2016 Plan due to granting of awards, awards not vesting and/or forfeitures.</w:t>
            </w:r>
            <w:r>
              <w:t xml:space="preserve"> </w:t>
            </w:r>
            <w:r>
              <w:t xml:space="preserve">(6)</w:t>
            </w:r>
            <w:r>
              <w:t xml:space="preserve"> </w:t>
            </w:r>
            <w:r>
              <w:t xml:space="preserve">Represents expense incurred by its defined benefit pension plans related to settlement of pension obligations.</w:t>
            </w:r>
            <w:r>
              <w:t xml:space="preserve"> </w:t>
            </w:r>
            <w:r>
              <w:t xml:space="preserve">(7)</w:t>
            </w:r>
            <w:r>
              <w:t xml:space="preserve"> </w:t>
            </w:r>
            <w:r>
              <w:t xml:space="preserve">Represents the change in the reserve for inventories for which cost is determined using the last-in, first-out (“LIFO”) method.</w:t>
            </w:r>
            <w:r>
              <w:t xml:space="preserve"> </w:t>
            </w:r>
            <w:r>
              <w:t xml:space="preserve">(8)</w:t>
            </w:r>
            <w:r>
              <w:t xml:space="preserve"> </w:t>
            </w:r>
            <w:r>
              <w:t xml:space="preserve">Represents incremental information technology costs as it relates to the cybersecurity incident and loss on insurance recovery.</w:t>
            </w:r>
            <w:r>
              <w:t xml:space="preserve"> </w:t>
            </w:r>
            <w:r>
              <w:t xml:space="preserve">(9)</w:t>
            </w:r>
            <w:r>
              <w:t xml:space="preserve"> </w:t>
            </w:r>
            <w:r>
              <w:t xml:space="preserve">Represents expense related to evaluation of strategic alternatives.</w:t>
            </w:r>
            <w:r>
              <w:t xml:space="preserve"> </w:t>
            </w:r>
            <w:r>
              <w:t xml:space="preserve">Reference to the above activities can be found in the consolidated financial statements included in Item 8 of this Annual Report on Form 10-K.</w:t>
            </w:r>
            <w:r>
              <w:t xml:space="preserve"> </w:t>
            </w:r>
            <w:r>
              <w:t xml:space="preserve">B. Liquidity and Capital Resources</w:t>
            </w:r>
            <w:r>
              <w:t xml:space="preserve"> </w:t>
            </w:r>
            <w:r>
              <w:t xml:space="preserve">Historically, the main sources of liquidity of the Company have been cash flows from operations and borrowings under our Credit Agreement (as defined below under "Financing Activities"). The Company's liquidity could be negatively affected if the Company is unable to restructure existing debt obligations, obtain capital or enter into a strategic alternative transaction which provides sufficient funding for the refinancing of its outstanding indebtedness prior to the maturity date of its obligations under the Credit Agreements, by customers extending payment terms to the Company and/or the decrease in demand for our products. The Company and management will continue to assess and actively manage liquidity needs. See Note 5</w:t>
            </w:r>
            <w:r>
              <w:t xml:space="preserve"> </w:t>
            </w:r>
            <w:r>
              <w:t xml:space="preserve">, Debt and Subsequent Event</w:t>
            </w:r>
            <w:r>
              <w:t xml:space="preserve"> </w:t>
            </w:r>
            <w:r>
              <w:t xml:space="preserve">.</w:t>
            </w:r>
            <w:r>
              <w:t xml:space="preserve"> </w:t>
            </w:r>
            <w:r>
              <w:t xml:space="preserve">21</w:t>
            </w:r>
            <w:r>
              <w:t xml:space="preserve"> </w:t>
            </w:r>
            <w:r>
              <w:t xml:space="preserve">Table of Contents</w:t>
            </w:r>
            <w:r>
              <w:t xml:space="preserve"> </w:t>
            </w:r>
            <w:r>
              <w:t xml:space="preserve">Cash and cash equivale</w:t>
            </w:r>
            <w:r>
              <w:t xml:space="preserve"> </w:t>
            </w:r>
            <w:r>
              <w:t xml:space="preserve">nts decreased to $0.4 million at Septemb</w:t>
            </w:r>
            <w:r>
              <w:t xml:space="preserve"> </w:t>
            </w:r>
            <w:r>
              <w:t xml:space="preserve">er 30, 2023 compared with $1.2 million at September 30, 2022. At September 30, 2023 and 2022, cash included financing proceeds for capital investment and a nominal amount of the Company’s cash and cash equivalents were in the possession of its non-U.S. subsidiaries. Distributions from the Company’s non-U.S. subsidiaries to the Company may be subject to adverse tax consequences.</w:t>
            </w:r>
            <w:r>
              <w:t xml:space="preserve"> </w:t>
            </w:r>
            <w:r>
              <w:t xml:space="preserve">Operating Activities</w:t>
            </w:r>
            <w:r>
              <w:t xml:space="preserve"> </w:t>
            </w:r>
            <w:r>
              <w:t xml:space="preserve">The Company’s operating activi</w:t>
            </w:r>
            <w:r>
              <w:t xml:space="preserve"> </w:t>
            </w:r>
            <w:r>
              <w:t xml:space="preserve">ties used $1.4 million of cash in f</w:t>
            </w:r>
            <w:r>
              <w:t xml:space="preserve"> </w:t>
            </w:r>
            <w:r>
              <w:t xml:space="preserve">iscal 2023, compared with $0.3 million provided in fiscal 2022. The cash used by operating activities in fiscal 2023 was primarily due to net operating loss of $8.7 million, adjusted for non-cash items such as change in NRV reserve $1.1 million, and LIFO benefit of $0.3 million, partially offset by depreciation and amortization of $6.4 million, equity based compensation of $0.3 million and sources of working capital of $1.7 million. The source of cash from working capital of $1.7 million was primarily due to increase in accounts payable due to timing of payments and lower inventories due to extended lead times, partially offset by higher accounts receivable due to increased sales at the end of the fiscal year.</w:t>
            </w:r>
            <w:r>
              <w:t xml:space="preserve"> </w:t>
            </w:r>
            <w:r>
              <w:t xml:space="preserve">The Company’s operating activi</w:t>
            </w:r>
            <w:r>
              <w:t xml:space="preserve"> </w:t>
            </w:r>
            <w:r>
              <w:t xml:space="preserve">ties provided $0.3 million of cash in f</w:t>
            </w:r>
            <w:r>
              <w:t xml:space="preserve"> </w:t>
            </w:r>
            <w:r>
              <w:t xml:space="preserve">iscal 2022. The cash provided by operating activities in fiscal 2022 was primarily due to non-cash items, such as depreciation and amortization of $6.3 million, inventory write down to NRV of $1.5 million, LIFO effect of $0.7 million, equity based compensation of $0.3 million and source of working capital of $6.0 million, partially offset by the forgiveness of the PPP loan of $5.1 million and net loss of $9.6 million. The source of cash from working capital of $6.0 million was primarily due to reductions in receivables due to lower sales and improved collections as well as decreases in inventories, partially offset by payments to suppliers.</w:t>
            </w:r>
            <w:r>
              <w:t xml:space="preserve"> </w:t>
            </w:r>
            <w:r>
              <w:t xml:space="preserve">Investing Activities</w:t>
            </w:r>
            <w:r>
              <w:t xml:space="preserve"> </w:t>
            </w:r>
            <w:r>
              <w:t xml:space="preserve">Cash used for investing activities was $2.4 million in fiscal 2023, compared with $3.2 million in fiscal 2022. Fiscal 2023 and fiscal 2022 expenditures were used primarily for manufacturing enhancement and maintenance capital. Capital commitments at September 30, 2023 were $1.1 million. The Company anticipates the total fiscal 2024 capital expenditures will be within the range of $3.5 million to $4.5 million and will relate principally to the further enhancement of production and product offering capabilities and operating cost reductions.</w:t>
            </w:r>
            <w:r>
              <w:t xml:space="preserve"> </w:t>
            </w:r>
            <w:r>
              <w:t xml:space="preserve">Financing Activities</w:t>
            </w:r>
            <w:r>
              <w:t xml:space="preserve"> </w:t>
            </w:r>
            <w:r>
              <w:t xml:space="preserve">Cash provided by financing activities was $2.9 million in fiscal 2023 compared to cash provided by financing activities of $3.7 million in fiscal 2022.</w:t>
            </w:r>
            <w:r>
              <w:t xml:space="preserve"> </w:t>
            </w:r>
            <w:r>
              <w:t xml:space="preserve">As discussed in Note 5,</w:t>
            </w:r>
            <w:r>
              <w:t xml:space="preserve"> </w:t>
            </w:r>
            <w:r>
              <w:t xml:space="preserve">Debt and Subsequent Event</w:t>
            </w:r>
            <w:r>
              <w:t xml:space="preserve"> </w:t>
            </w:r>
            <w:r>
              <w:t xml:space="preserve">, the Company amended the Credit Agreement and the Export Agreement on August 9, 2023. The combined maximum borrowings decreased to $30.0 million from $35.0 million. The Seventh Amendment (the "Seventh Amendment") to the Credit Agreement (as amended, the "Credit Agreement") consists of a senior secured revolving credit facility with a maximum borrowing of $23.0 million, previously $28.0 million. The revolving commitment through the Third Amendment (the "Third Amendment") of the Export Credit Agreement, which lends amounts to the Company on foreign receivables remained unchanged at $7.0 million. The Seventh Amendment, among other things, (i) advanced the loan maturity date to December 31, 2023; (ii) provided a waiver of Existing Defaults and concludes the forbearance period as described under the Forbearance Agreement dated April 28, 2023; (iv) the aggregate outstanding principal balance of the Revolving Exposure under the ABL Credit Agreement and Export Revolving Loan may not at any time exceed the lesser of Revolving Commitment, less the Availability Block, if applicable, the Borrowing Base, and in combination with the Export Revolving Loan under the Export Credit Agreement to $18.0 million through September 30, 2023 and $19.0 million thereafter; (v) the Reserves under the Borrowing Base in the ABL Credit Agreement were reduced to $1.5 million through September 30, 2023 and $2.0 million thereafter. The Third Amendment amends the Export Credit Agreement to (i) modified the loan maturity date to December 31, 2023 and (ii) provided waiver of Existing Defaults and concludes the forbearance period as described under the Forbearance Agreement dated April 28, 2023. The Seventh Amendment was subject to satisfaction of certain post closing deliverables, including: (i) one or more proposed term sheets which provide for the refinancing of all of the Obligations under the current Credit Agreement, in each case in an amount sufficient to repay the Obligations in full, by no later than September 19, 2023; (ii) a Confidential Information Memorandum ("CIM"), by no later than September 20, 2023; and (iii) a duly executed term sheet providing for the refinancing of all of the Obligations in an amount sufficient to repay the Obligations in full, by no later than October 8, 2023. All post closing deliverables were satisfied as required under the Seventh Amendment.</w:t>
            </w:r>
            <w:r>
              <w:t xml:space="preserve"> </w:t>
            </w:r>
            <w:r>
              <w:t xml:space="preserve">As discussed in Note 5,</w:t>
            </w:r>
            <w:r>
              <w:t xml:space="preserve"> </w:t>
            </w:r>
            <w:r>
              <w:t xml:space="preserve">Debt and Subsequent Event</w:t>
            </w:r>
            <w:r>
              <w:t xml:space="preserve"> </w:t>
            </w:r>
            <w:r>
              <w:t xml:space="preserve">, on November 8, 2023, the Company entered into the Eighth Amendment to the Credit Agreement (the "Eighth Amendment") with its Lender. The Eighth Amendment, among other things, reduced the Reserves under the Borrowing Base in the Credit Agreement to $1.5 million, or such lesser amount, if any, as may be agreed upon in writing by the Lender in its sole discretion.</w:t>
            </w:r>
            <w:r>
              <w:t xml:space="preserve"> </w:t>
            </w:r>
            <w:r>
              <w:t xml:space="preserve">22</w:t>
            </w:r>
            <w:r>
              <w:t xml:space="preserve"> </w:t>
            </w:r>
            <w:r>
              <w:t xml:space="preserve">Table of Contents</w:t>
            </w:r>
            <w:r>
              <w:t xml:space="preserve"> </w:t>
            </w:r>
            <w:r>
              <w:t xml:space="preserve">As discussed in Note 5,</w:t>
            </w:r>
            <w:r>
              <w:t xml:space="preserve"> </w:t>
            </w:r>
            <w:r>
              <w:t xml:space="preserve">Debt and Subsequent Event</w:t>
            </w:r>
            <w:r>
              <w:t xml:space="preserve"> </w:t>
            </w:r>
            <w:r>
              <w:t xml:space="preserve">, on December 21, 2023 the Company entered into the Ninth Amendment (the "Ninth Amendment") to the Credit Agreement and the Fourth Amendment (the "Fourth Amendment") to the Export Credit Agreement with its lender JPMorgan Chase Bank, N.A. (the "Lender") The Ninth Amendment amends the Credit Agreement to, among other things, to: (i) reflect the incurrence by borrowers of the Subordinated Loan and the execution and delivery by borrowers, the Lender and GHI of the Subordinated Loan Documents, and the receipt by borrowers of $3.0 million immediately available funds on the Ninth Amendment Effective Date; (ii) delay the maturity date from December 31, 2023 to October 4, 2024, or any earlier date on which the Revolving Commitment is reduced to zero or otherwise terminated pursuant to the terms of the Credit Agreement; (iii) reduce the Revolving Commitment from $23.0 million to $19.0 million; (iv) modify the Reserves of $1.5 million, increasing on the first day of each month by $0.3 million, commencing on May 1, 2024 and continuing until (and including) August 1, 2024, or such lesser amount, if any, as may be agreed upon in writing by the Lender in its sole discretion (which may be by email from the Lender), plus (d) the PP&amp;E Component; (v) modify the Applicable Margin schedule to reflect the following applicable rates 2.75% (SOFR Spread), and 0.50% (Commitment Fee Rate). The Fourth Amendment of the Export Credit Agreement, to, among other things, to: (i) reflect the incurrence by borrowers of the Subordinated Loan and the execution and delivery by borrowers, the Lender and GHI of the Subordinated Loan Documents, and the receipt by borrowers of $3.0 million in immediately available funds on the Ninth Amendment Effective Date; and (ii) delay the maturity date to October 4, 2024, or any earlier date on which the Revolving Commitment is reduced to zero or otherwise terminated pursuant to the terms thereof.</w:t>
            </w:r>
            <w:r>
              <w:t xml:space="preserve"> </w:t>
            </w:r>
            <w:r>
              <w:t xml:space="preserve">The Company incurred a secured subordinated loan from Garnet Holdings, Inc., a California corporation owned and controlled by Mark J. Silk (“GHI”) (Mr. Silk is a member of the Board of Directors of the Company and considered a related party), in the original principal amount of $3.0 million (the “Subordinated Loan”) as a condition to the consummation of the transactions contemplated by the Ninth Amendment to the Credit Agreement. See Note 13</w:t>
            </w:r>
            <w:r>
              <w:t xml:space="preserve"> </w:t>
            </w:r>
            <w:r>
              <w:t xml:space="preserve">, Related Party Transactions</w:t>
            </w:r>
            <w:r>
              <w:t xml:space="preserve"> </w:t>
            </w:r>
            <w:r>
              <w:t xml:space="preserve">and Note 14</w:t>
            </w:r>
            <w:r>
              <w:t xml:space="preserve"> </w:t>
            </w:r>
            <w:r>
              <w:t xml:space="preserve">, Subsequent Event</w:t>
            </w:r>
            <w:r>
              <w:t xml:space="preserve"> </w:t>
            </w:r>
            <w:r>
              <w:t xml:space="preserve">for further discussion.</w:t>
            </w:r>
            <w:r>
              <w:t xml:space="preserve"> </w:t>
            </w:r>
            <w:r>
              <w:t xml:space="preserve">As discussed in Note 5,</w:t>
            </w:r>
            <w:r>
              <w:t xml:space="preserve"> </w:t>
            </w:r>
            <w:r>
              <w:t xml:space="preserve">Debt and Subsequent Event</w:t>
            </w:r>
            <w:r>
              <w:t xml:space="preserve"> </w:t>
            </w:r>
            <w:r>
              <w:t xml:space="preserve">, the Company's Maniago, Italy location did not obtain any new borrowings in fiscal 2023. The Company repaid $2.0 million of its Company's foreign term loans in 2023.</w:t>
            </w:r>
            <w:r>
              <w:t xml:space="preserve"> </w:t>
            </w:r>
            <w:r>
              <w:t xml:space="preserve">In fiscal 2022, the Company's Maniago, Italy location obtained borrowings from two separate lenders. The first loan was for $1.2 million with repayment terms of six years. A second loan with a five year term was obtained in the amount of $1.0 million. The proceeds of the first loan is to be used for working capital purposes, the proceeds of the second loan are earmarked for capital investment. The Company repaid $1.2 million of its Company's foreign term loans in 2022.</w:t>
            </w:r>
            <w:r>
              <w:t xml:space="preserve"> </w:t>
            </w:r>
            <w:r>
              <w:t xml:space="preserve">The Company had net borrowings under its revolving credit facility of $5.1 million in fiscal 2023 and $2.2 million in fiscal 2022. Amounts borrowed under the Credit Agreement are secured by substantially all the assets of the Company and its U.S. subsidiaries and a pledge of 66.67% of the stock of its first-tier non-U.S. subsidiaries. Borrowings will bear interest at the lender's established domestic rate or SOFR, plus the applicable margin as set forth in the Credit Agreement. The revolver has a rate based on SOFR plus a 2.25% spread, which was 7.68% at September 30, 2023 and the Export Credit Agreement, as discussed in Note 5,</w:t>
            </w:r>
            <w:r>
              <w:t xml:space="preserve"> </w:t>
            </w:r>
            <w:r>
              <w:t xml:space="preserve">Debt and Subsequent Event,</w:t>
            </w:r>
            <w:r>
              <w:t xml:space="preserve"> </w:t>
            </w:r>
            <w:r>
              <w:t xml:space="preserve">has a rate based on SOFR plus a 1.75% spread, which was 7.18% at September 30, 2023. The Company also has a commitment fee of 0.25% under the Credit Agreement to be incurred on the unused balance of the revolver.</w:t>
            </w:r>
            <w:r>
              <w:t xml:space="preserve"> </w:t>
            </w:r>
            <w:r>
              <w:t xml:space="preserve">As the Company’s Credit Agreement is asset-based, a sustained significant decrease in revenue in the U.S. or excessive aging of the underlying receivables could materially affect the collateral capacity limitation of the availability under the Credit Agreement and could impact our ability to comply with covenants in our Credit Agreement.</w:t>
            </w:r>
            <w:r>
              <w:t xml:space="preserve"> </w:t>
            </w:r>
            <w:r>
              <w:t xml:space="preserve">Under the Company's Credit Agreement, the Company is subject to certain customary loan covenants regarding availability as discussed in Note 5,</w:t>
            </w:r>
            <w:r>
              <w:t xml:space="preserve"> </w:t>
            </w:r>
            <w:r>
              <w:t xml:space="preserve">Debt and Subsequent Event</w:t>
            </w:r>
            <w:r>
              <w:t xml:space="preserve"> </w:t>
            </w:r>
            <w:r>
              <w:t xml:space="preserve">. The availability at September 30, 2023 was $2.8 million. If the availability had fallen short, the Company would be required to meet the fixed charge coverage ratio ("FCCR") covenant, which must not be less than 1.1 to 1.0. In the event of a default, we may not be able to access our revolver, which could impact the ability to fund working capital needs, capital expenditures and invest in new business opportunities. Because the availability was greater than the $1.5 million Reserve minimum as of September 30, 2023, the FCCR calculation was not required.</w:t>
            </w:r>
            <w:r>
              <w:t xml:space="preserve"> </w:t>
            </w:r>
            <w:r>
              <w:t xml:space="preserve">Future cash flows from the Company’s operations may be used to pay down amounts outstanding under the Credit Agreement and its foreign related debts. The Company believes it has adequate cash/liquidity available to finance its operations from the combination of (i) the Company’s expected cash flows from operations and (ii) funds available under the Credit Agreement for its domestic locations.</w:t>
            </w:r>
            <w:r>
              <w:t xml:space="preserve"> </w:t>
            </w:r>
            <w:r>
              <w:t xml:space="preserve">23</w:t>
            </w:r>
            <w:r>
              <w:t xml:space="preserve"> </w:t>
            </w:r>
            <w:r>
              <w:t xml:space="preserve">Table of Contents</w:t>
            </w:r>
            <w:r>
              <w:t xml:space="preserve"> </w:t>
            </w:r>
            <w:r>
              <w:t xml:space="preserve">Additionally, the credit and capital markets saw significant volatility during the course of the pandemic. Tightening of the credit market and standards, as well as capital market volatility, could negatively impact our ability to obtain additional debt financing on terms equivalent to our existing Credit Agreement. Capital market uncertainty and volatility, together with the Company’s market capitalization and status as a smaller reporting company, could also negatively impact our ability to obtain equity financing.</w:t>
            </w:r>
            <w:r>
              <w:t xml:space="preserve"> </w:t>
            </w:r>
            <w:r>
              <w:t xml:space="preserve">C. Off-Balance Sheet Arrangements</w:t>
            </w:r>
            <w:r>
              <w:t xml:space="preserve"> </w:t>
            </w:r>
            <w:r>
              <w:t xml:space="preserve">In the normal course of business, the Company may be party to certain arrangements that are not reflected in the Consolidated Balance Sheets. The Company does not have obligations that meet the definition of an off-balance sheet arrangement that have had, or are reasonably likely to have, a material effect on the Company’s financial condition or results of operations.</w:t>
            </w:r>
            <w:r>
              <w:t xml:space="preserve"> </w:t>
            </w:r>
            <w:r>
              <w:t xml:space="preserve">D. Critical Accounting Policies and Estimates</w:t>
            </w:r>
            <w:r>
              <w:t xml:space="preserve"> </w:t>
            </w:r>
            <w:r>
              <w:t xml:space="preserve">The preparation of financial statements in conformity with GAAP requires management to make estimates and assumptions that affect the reported amounts of assets and liabilities, the disclosure of contingent assets and liabilities at the date of the financial statements and the reported amounts of revenue and expenses during the reporting periods. Estimates are revised as additional information becomes available. The Company believes that the accounting estimates employed and the resulting balances are reasonable; however, actual results in these areas could differ from the management's estimates under different assumptions or conditions.</w:t>
            </w:r>
            <w:r>
              <w:t xml:space="preserve"> </w:t>
            </w:r>
            <w:r>
              <w:t xml:space="preserve">Significant accounting policies used in the preparation of the consolidated financial statements are discussed in Note 1,</w:t>
            </w:r>
            <w:r>
              <w:t xml:space="preserve"> </w:t>
            </w:r>
            <w:r>
              <w:t xml:space="preserve">Summary of Significant Accounting Policies</w:t>
            </w:r>
            <w:r>
              <w:t xml:space="preserve"> </w:t>
            </w:r>
            <w:r>
              <w:t xml:space="preserve">. The Company believes that the assumptions and estimates associated with allowance for doubtful accounts, inventory valuation, goodwill, contract balances, and income taxes have the greatest potential impact on our financial statements because they are inherently uncertain, involve significant judgements, and include areas where different estimates reasonably could materially impact the financial statements. The Company believes that the critical accounting estimates employed and the resulting balances are reasonable; however, actual results in these areas could differ from management's estimates under different assumptions or conditions.</w:t>
            </w:r>
            <w:r>
              <w:t xml:space="preserve"> </w:t>
            </w:r>
            <w:r>
              <w:t xml:space="preserve">Allowances for Doubtful Accounts</w:t>
            </w:r>
            <w:r>
              <w:t xml:space="preserve"> </w:t>
            </w:r>
            <w:r>
              <w:t xml:space="preserve">The Company maintains allowances for doubtful accounts for estimated losses resulting from the inability of certain customers to make required payments. The Company evaluates the adequacy of its allowances for doubtful accounts each quarter based on the customers’ credit-worthiness, current economic trends or market conditions, past collection history, aging of outstanding accounts receivable and specific identified risks. As these factors change, the Company’s allowances for doubtful accounts may change in subsequent periods. Historically, losses have been within management’s expectations and have not been significant.</w:t>
            </w:r>
            <w:r>
              <w:t xml:space="preserve"> </w:t>
            </w:r>
            <w:r>
              <w:t xml:space="preserve">Inventories</w:t>
            </w:r>
            <w:r>
              <w:t xml:space="preserve"> </w:t>
            </w:r>
            <w:r>
              <w:t xml:space="preserve">Approximately 19% of the Company's inventory is valued using the last-in, first-out (“LIFO”) method with the remaining valued using the first-in, first-out ("FIFO") method stated at the lower of cost or net realizable value. Net realizable value is the estimated selling price in the ordinary course of business less reasonably predictable costs of completion.</w:t>
            </w:r>
            <w:r>
              <w:t xml:space="preserve"> </w:t>
            </w:r>
            <w:r>
              <w:t xml:space="preserve">The Company evaluates obsolete and excess inventory on a quarterly basis. The Company maintains a formal policy, which requires at a minimum, that amounts are written down based on an analysis of the age of the inventory. In addition, if the Company learns of specific obsolescence, other than that identified by the aging criteria, an additional write down will be recognized. Specific obsolescence may arise due to a technological or market change or based on cancellation of an order. Management’s judgment is necessary in determining the proper write down for obsolete and excess inventory. For the portion of the Company's inventory not valued at LIFO, inventory is valued at FIFO and stated at the lower of cost or net realizable value. The Company evaluates net realizable value on a quarterly basis. See Note 2,</w:t>
            </w:r>
            <w:r>
              <w:t xml:space="preserve"> </w:t>
            </w:r>
            <w:r>
              <w:t xml:space="preserve">Inventories</w:t>
            </w:r>
            <w:r>
              <w:t xml:space="preserve"> </w:t>
            </w:r>
            <w:r>
              <w:t xml:space="preserve">for further discussion.</w:t>
            </w:r>
            <w:r>
              <w:t xml:space="preserve"> </w:t>
            </w:r>
            <w:r>
              <w:t xml:space="preserve">Revenue Recognition</w:t>
            </w:r>
            <w:r>
              <w:t xml:space="preserve"> </w:t>
            </w:r>
            <w:r>
              <w:t xml:space="preserve">The Company recognizes revenue using the five-step revenue recognition model in which it depicts the transfer of goods to customers in an amount that reflects the consideration to which a company expects to be entitled in exchange for those goods or services. The revenue standard also requires disclosure sufficient to enable users to understand the nature, amount, timing and uncertainty of revenue and cash flows arising from contracts with customers, including qualitative and quantitative disclosures about contracts with customers, significant judgments and changes in judgments and assets recognized from the cost to obtain or fulfill a contract.</w:t>
            </w:r>
            <w:r>
              <w:t xml:space="preserve"> </w:t>
            </w:r>
            <w:r>
              <w:t xml:space="preserve">24</w:t>
            </w:r>
            <w:r>
              <w:t xml:space="preserve"> </w:t>
            </w:r>
            <w:r>
              <w:t xml:space="preserve">Table of Contents</w:t>
            </w:r>
            <w:r>
              <w:t xml:space="preserve"> </w:t>
            </w:r>
            <w:r>
              <w:t xml:space="preserve">Contract Balances</w:t>
            </w:r>
            <w:r>
              <w:t xml:space="preserve"> </w:t>
            </w:r>
            <w:r>
              <w:t xml:space="preserve">Contract assets on the consolidated balance sheets are recognized when a good is transferred to the customer and the Company does not have the contractual right to bill for the related performance obligations. In these instances, revenue recognized exceeds the amount billed to the customer and the right to payment is not solely subject to the passage of time. Amounts do not exceed their net realizable value. Contract liabilities relate to payments received in advance of the satisfaction of performance under the contract. Payment from customers are received based on the terms established in the contract with the customer.</w:t>
            </w:r>
            <w:r>
              <w:t xml:space="preserve"> </w:t>
            </w:r>
            <w:r>
              <w:t xml:space="preserve">Impairment of Long-Lived Assets</w:t>
            </w:r>
            <w:r>
              <w:t xml:space="preserve"> </w:t>
            </w:r>
            <w:r>
              <w:t xml:space="preserve">The Company reviews the carrying value of its long-lived assets whenever events or changes in circumstances indicate that the carrying amount of the long-lived asset (group) might not be recoverable. This review involves judgment and is performed using estimates of future undiscounted cash flows, which include proceeds from disposal of assets and which the Company considers a critical accounting estimate. The Company would assess the fair value of the asset group and compare it to its carrying value. Under the Accounting Standard Codification ("ASC") 360 ("Topic 360"), if the carrying value of a long-lived asset or asset group is greater than the estimated undiscounted future cash flows, then the long-lived asset or asset group is considered impaired and an impairment charge is recorded for the amount by which the carrying value of the long-lived asset or asset group exceeds its fair value.</w:t>
            </w:r>
            <w:r>
              <w:t xml:space="preserve"> </w:t>
            </w:r>
            <w:r>
              <w:t xml:space="preserve">In projecting future undiscounted cash flows, the Company relies on internal budgets and forecasts, and projected proceeds upon disposal of long-lived assets. The Company’s budgets and forecasts are based on historical results and anticipated future market conditions, such as the general business climate and the effectiveness of competition. The Company believes that its estimates of future undiscounted cash flows and fair value are reasonable; however, changes in estimates of such undiscounted cash flows and fair value could change the Company’s estimates, which could result in future impairment charges.</w:t>
            </w:r>
            <w:r>
              <w:t xml:space="preserve"> </w:t>
            </w:r>
            <w:r>
              <w:t xml:space="preserve">2023 Long-Lived Asset Recoverability Tests</w:t>
            </w:r>
            <w:r>
              <w:t xml:space="preserve"> </w:t>
            </w:r>
            <w:r>
              <w:t xml:space="preserve">In the first, second, third and fourth quarters, the Company evaluated triggering events and did not identify any indicators that the asset groups might be impaired.</w:t>
            </w:r>
            <w:r>
              <w:t xml:space="preserve"> </w:t>
            </w:r>
            <w:r>
              <w:t xml:space="preserve">2022 Long-Lived Asset Recoverability Tests</w:t>
            </w:r>
            <w:r>
              <w:t xml:space="preserve"> </w:t>
            </w:r>
            <w:r>
              <w:t xml:space="preserve">In the third and fourth quarters, certain qualitative factors, including operating results, at the Orange, California ("Orange") location, triggered recoverability tests. The results of both indicated that the long-lived assets, right-of-use assets and definite lived intangible assets were recoverable and did not require further review for impairment.</w:t>
            </w:r>
            <w:r>
              <w:t xml:space="preserve"> </w:t>
            </w:r>
            <w:r>
              <w:t xml:space="preserve">Impairment of Goodwill</w:t>
            </w:r>
            <w:r>
              <w:t xml:space="preserve"> </w:t>
            </w:r>
            <w:r>
              <w:t xml:space="preserve">Goodwill is tested for impairment annually as of July 31. If circumstances change during interim periods between annual tests that would more likely than not reduce the fair value of a reporting unit below its carrying value, the Company will test goodwill for impairment. Factors that would necessitate an interim goodwill impairment assessment include a sustained decline in the Company's stock price, prolonged negative industry or economic trends, or significant under-performance relative to expected, historical or projected future operating results. Management uses judgment to determine whether to use a qualitative analysis or a quantitative fair value measurement for its goodwill impairment testing. The Company's fair value measurement approach combines the income and market valuation techniques for each of the Company’s reporting units that carry goodwill. These valuation techniques use estimates and assumptions including, but not limited to, the determination of appropriate market comparables, projected future cash flows (including timing and profitability), discount rate reflecting the risk inherent in future cash flows, perpetual growth rate, and projected future economic and market conditions.</w:t>
            </w:r>
            <w:r>
              <w:t xml:space="preserve"> </w:t>
            </w:r>
            <w:r>
              <w:t xml:space="preserve">If a reporting unit fails the quantitative impairment test, impairment expense is immediately recorded as the difference between the reporting unit's fair value and carrying value not to exceed the amount of goodwill recorded.</w:t>
            </w:r>
            <w:r>
              <w:t xml:space="preserve"> </w:t>
            </w:r>
            <w:r>
              <w:t xml:space="preserve">2023 Annual Goodwill Impairment Tests</w:t>
            </w:r>
            <w:r>
              <w:t xml:space="preserve"> </w:t>
            </w:r>
            <w:r>
              <w:t xml:space="preserve">SIFCO performed its annual test as of July 31, 2023. Goodwill existed at one of the Company's reporting units, Cleveland, Ohio as of July 31, 2023 and September 30, 2023. No impairment charge was identified in connection with the annual goodwill impairment test with respect to the Cleveland reporting unit. Refer to Note 3,</w:t>
            </w:r>
            <w:r>
              <w:t xml:space="preserve"> </w:t>
            </w:r>
            <w:r>
              <w:t xml:space="preserve">Goodwill and Intangible Assets</w:t>
            </w:r>
            <w:r>
              <w:t xml:space="preserve"> </w:t>
            </w:r>
            <w:r>
              <w:t xml:space="preserve">.</w:t>
            </w:r>
            <w:r>
              <w:t xml:space="preserve"> </w:t>
            </w:r>
            <w:r>
              <w:t xml:space="preserve">2022 Annual Goodwill Impairment Tests</w:t>
            </w:r>
            <w:r>
              <w:t xml:space="preserve"> </w:t>
            </w:r>
            <w:r>
              <w:t xml:space="preserve">SIFCO performed its annual test as of July 31, 2022. Goodwill existed at one of the Company's reporting units, Cleveland, Ohio as of July 31, 2022 and September 30, 2022. No impairment charge was identified in connection with the annual goodwill impairment test with respect to the Cleveland reporting unit. Refer to Note 3,</w:t>
            </w:r>
            <w:r>
              <w:t xml:space="preserve"> </w:t>
            </w:r>
            <w:r>
              <w:t xml:space="preserve">Goodwill and Intangible Assets.</w:t>
            </w:r>
            <w:r>
              <w:t xml:space="preserve"> </w:t>
            </w:r>
            <w:r>
              <w:t xml:space="preserve">25</w:t>
            </w:r>
            <w:r>
              <w:t xml:space="preserve"> </w:t>
            </w:r>
            <w:r>
              <w:t xml:space="preserve">Table of Contents</w:t>
            </w:r>
            <w:r>
              <w:t xml:space="preserve"> </w:t>
            </w:r>
            <w:r>
              <w:t xml:space="preserve">Defined Benefit Pension Plan Expense</w:t>
            </w:r>
            <w:r>
              <w:t xml:space="preserve"> </w:t>
            </w:r>
            <w:r>
              <w:t xml:space="preserve">The Company maintains four defined benefit pension plans in accordance with the requirements of the Employee Retirement Income Security Act of 1974 (“ERISA”). The amounts recognized in the consolidated financial statements for pension benefits under these four defined benefit pension plans are determined on an actuarial basis utilizing various assumptions. The following table illustrates the sensitivity to change in the assumed discount rate and expected long-term rate of return on assets for the Company's pension plans as of September 30, 2023.</w:t>
            </w:r>
            <w:r>
              <w:t xml:space="preserve"> </w:t>
            </w:r>
            <w:r>
              <w:t xml:space="preserve">Impact on Fiscal 2023 Benefits Expense</w:t>
            </w:r>
            <w:r>
              <w:t xml:space="preserve"> </w:t>
            </w:r>
            <w:r>
              <w:t xml:space="preserve">Impact on September 30, 2023 Projected Benefit Obligation for Pension Plans</w:t>
            </w:r>
            <w:r>
              <w:t xml:space="preserve"> </w:t>
            </w:r>
            <w:r>
              <w:t xml:space="preserve">Change in Assumptions</w:t>
            </w:r>
            <w:r>
              <w:t xml:space="preserve"> </w:t>
            </w:r>
            <w:r>
              <w:t xml:space="preserve">(In thousands)</w:t>
            </w:r>
            <w:r>
              <w:t xml:space="preserve"> </w:t>
            </w:r>
            <w:r>
              <w:t xml:space="preserve">25 basis point decrease in discount rate</w:t>
            </w:r>
            <w:r>
              <w:t xml:space="preserve"> </w:t>
            </w:r>
            <w:r>
              <w:t xml:space="preserve">$</w:t>
            </w:r>
            <w:r>
              <w:t xml:space="preserve"> </w:t>
            </w:r>
            <w:r>
              <w:t xml:space="preserve">17</w:t>
            </w:r>
            <w:r>
              <w:t xml:space="preserve"> </w:t>
            </w:r>
            <w:r>
              <w:t xml:space="preserve">$</w:t>
            </w:r>
            <w:r>
              <w:t xml:space="preserve"> </w:t>
            </w:r>
            <w:r>
              <w:t xml:space="preserve">403</w:t>
            </w:r>
            <w:r>
              <w:t xml:space="preserve"> </w:t>
            </w:r>
            <w:r>
              <w:t xml:space="preserve">25 basis point increase in discount rate</w:t>
            </w:r>
            <w:r>
              <w:t xml:space="preserve"> </w:t>
            </w:r>
            <w:r>
              <w:t xml:space="preserve">$</w:t>
            </w:r>
            <w:r>
              <w:t xml:space="preserve"> </w:t>
            </w:r>
            <w:r>
              <w:t xml:space="preserve">(17)</w:t>
            </w:r>
            <w:r>
              <w:t xml:space="preserve"> </w:t>
            </w:r>
            <w:r>
              <w:t xml:space="preserve">$</w:t>
            </w:r>
            <w:r>
              <w:t xml:space="preserve"> </w:t>
            </w:r>
            <w:r>
              <w:t xml:space="preserve">(403)</w:t>
            </w:r>
            <w:r>
              <w:t xml:space="preserve"> </w:t>
            </w:r>
            <w:r>
              <w:t xml:space="preserve">100 basis point decrease in expected long-term rate of return on assets</w:t>
            </w:r>
            <w:r>
              <w:t xml:space="preserve"> </w:t>
            </w:r>
            <w:r>
              <w:t xml:space="preserve">$</w:t>
            </w:r>
            <w:r>
              <w:t xml:space="preserve"> </w:t>
            </w:r>
            <w:r>
              <w:t xml:space="preserve">181</w:t>
            </w:r>
            <w:r>
              <w:t xml:space="preserve"> </w:t>
            </w:r>
            <w:r>
              <w:t xml:space="preserve">$</w:t>
            </w:r>
            <w:r>
              <w:t xml:space="preserve"> </w:t>
            </w:r>
            <w:r>
              <w:t xml:space="preserve">—</w:t>
            </w:r>
            <w:r>
              <w:t xml:space="preserve"> </w:t>
            </w:r>
            <w:r>
              <w:t xml:space="preserve">100 basis point increase in expected long-term rate of return on assets</w:t>
            </w:r>
            <w:r>
              <w:t xml:space="preserve"> </w:t>
            </w:r>
            <w:r>
              <w:t xml:space="preserve">$</w:t>
            </w:r>
            <w:r>
              <w:t xml:space="preserve"> </w:t>
            </w:r>
            <w:r>
              <w:t xml:space="preserve">(181)</w:t>
            </w:r>
            <w:r>
              <w:t xml:space="preserve"> </w:t>
            </w:r>
            <w:r>
              <w:t xml:space="preserve">$</w:t>
            </w:r>
            <w:r>
              <w:t xml:space="preserve"> </w:t>
            </w:r>
            <w:r>
              <w:t xml:space="preserve">—</w:t>
            </w:r>
            <w:r>
              <w:t xml:space="preserve"> </w:t>
            </w:r>
            <w:r>
              <w:t xml:space="preserve">The discussion that follows provides information on the significant assumptions/elements associated with these defined benefit pension plans.</w:t>
            </w:r>
            <w:r>
              <w:t xml:space="preserve"> </w:t>
            </w:r>
            <w:r>
              <w:t xml:space="preserve">The Company determines the expected return on plan assets principally based on (i) the expected return for the various asset classes in the respective plans’ investment portfolios and (ii) the targeted allocation of the respective plans’ assets. The expected return on plan assets is developed using historical asset return performance as well as current and anticipated market conditions such as inflation, interest rates and market performance. Should the actual rate of return differ materially from the assumed/expected rate, the Company could experience a material adverse effect on the funded status of its plans and, accordingly, on its related future net pension expense.</w:t>
            </w:r>
            <w:r>
              <w:t xml:space="preserve"> </w:t>
            </w:r>
            <w:r>
              <w:t xml:space="preserve">The discount rate for each plan is determined, as of the fiscal year end measurement date, using prevailing market spot-rates (from an appropriate yield curve) with maturities corresponding to the expected timing/date of the future defined benefit payment amounts for each of the respective plans. Such corresponding spot-rates are used to discount future years’ projected defined benefit payment amounts back to the fiscal year end measurement date as a present value. A composite discount rate is then developed for each plan by determining the single rate of discount that will produce the same present value as that obtained by applying the annual spot-rates. The discount rate may be further revised if the market environment indicates that the above methodology generates a discount rate that does not accurately reflect the prevailing interest rates as of the fiscal year end measurement date. The Company computes a weighted-average discount rate taking into account anticipated plan payments and the associated interest rates from the USI Consulting Group Pension Discount Curve.</w:t>
            </w:r>
            <w:r>
              <w:t xml:space="preserve"> </w:t>
            </w:r>
            <w:r>
              <w:t xml:space="preserve">As of September 30, 2023 and 2022, SIFCO used the following weighted-average assumptions:</w:t>
            </w:r>
            <w:r>
              <w:t xml:space="preserve"> </w:t>
            </w:r>
            <w:r>
              <w:t xml:space="preserve">Years Ended</w:t>
            </w:r>
            <w:r>
              <w:t xml:space="preserve"> </w:t>
            </w:r>
            <w:r>
              <w:t xml:space="preserve">September 30,</w:t>
            </w:r>
            <w:r>
              <w:t xml:space="preserve"> </w:t>
            </w:r>
            <w:r>
              <w:t xml:space="preserve">2023</w:t>
            </w:r>
            <w:r>
              <w:t xml:space="preserve"> </w:t>
            </w:r>
            <w:r>
              <w:t xml:space="preserve">2022</w:t>
            </w:r>
            <w:r>
              <w:t xml:space="preserve"> </w:t>
            </w:r>
            <w:r>
              <w:t xml:space="preserve">Discount rate for liabilities</w:t>
            </w:r>
            <w:r>
              <w:t xml:space="preserve"> </w:t>
            </w:r>
            <w:r>
              <w:t xml:space="preserve">5.6</w:t>
            </w:r>
            <w:r>
              <w:t xml:space="preserve"> </w:t>
            </w:r>
            <w:r>
              <w:t xml:space="preserve">%</w:t>
            </w:r>
            <w:r>
              <w:t xml:space="preserve"> </w:t>
            </w:r>
            <w:r>
              <w:t xml:space="preserve">5.2</w:t>
            </w:r>
            <w:r>
              <w:t xml:space="preserve"> </w:t>
            </w:r>
            <w:r>
              <w:t xml:space="preserve">%</w:t>
            </w:r>
            <w:r>
              <w:t xml:space="preserve"> </w:t>
            </w:r>
            <w:r>
              <w:t xml:space="preserve">Discount rate for expenses</w:t>
            </w:r>
            <w:r>
              <w:t xml:space="preserve"> </w:t>
            </w:r>
            <w:r>
              <w:t xml:space="preserve">5.1</w:t>
            </w:r>
            <w:r>
              <w:t xml:space="preserve"> </w:t>
            </w:r>
            <w:r>
              <w:t xml:space="preserve">%</w:t>
            </w:r>
            <w:r>
              <w:t xml:space="preserve"> </w:t>
            </w:r>
            <w:r>
              <w:t xml:space="preserve">2.9</w:t>
            </w:r>
            <w:r>
              <w:t xml:space="preserve"> </w:t>
            </w:r>
            <w:r>
              <w:t xml:space="preserve">%</w:t>
            </w:r>
            <w:r>
              <w:t xml:space="preserve"> </w:t>
            </w:r>
            <w:r>
              <w:t xml:space="preserve">Expected return on assets</w:t>
            </w:r>
            <w:r>
              <w:t xml:space="preserve"> </w:t>
            </w:r>
            <w:r>
              <w:t xml:space="preserve">6.2</w:t>
            </w:r>
            <w:r>
              <w:t xml:space="preserve"> </w:t>
            </w:r>
            <w:r>
              <w:t xml:space="preserve">%</w:t>
            </w:r>
            <w:r>
              <w:t xml:space="preserve"> </w:t>
            </w:r>
            <w:r>
              <w:t xml:space="preserve">6.4</w:t>
            </w:r>
            <w:r>
              <w:t xml:space="preserve"> </w:t>
            </w:r>
            <w:r>
              <w:t xml:space="preserve">%</w:t>
            </w:r>
            <w:r>
              <w:t xml:space="preserve"> </w:t>
            </w:r>
            <w:r>
              <w:t xml:space="preserve">Deferred Tax Valuation Allowance</w:t>
            </w:r>
            <w:r>
              <w:t xml:space="preserve"> </w:t>
            </w:r>
            <w:r>
              <w:t xml:space="preserve">The Company accounts for deferred taxes in accordance with the provisions of the Accounting Standards Codification guidance related to accounting for income taxes, whereby the Company recognizes an income tax benefit related to income tax credits, loss carryforwards and deductible temporary differences between financial reporting basis and tax reporting basis.</w:t>
            </w:r>
            <w:r>
              <w:t xml:space="preserve"> </w:t>
            </w:r>
            <w:r>
              <w:t xml:space="preserve">A high degree of judgment is required to determine the extent a valuation allowance should be provided against deferred tax assets. On a quarterly basis, the Company assesses the likelihood of realization of its deferred tax assets considering all available evidence, both positive and negative. In determining whether a valuation allowance is warranted, the Company evaluates factors such as prior earnings history, expected future earnings, carry-back and carry-forward periods and tax strategies that could potentially enhance the likelihood of the realization of a deferred tax asset. The weight given to the positive and negative evidence is commensurate with the extent to which the evidence may be objectively verified. It is generally</w:t>
            </w:r>
            <w:r>
              <w:t xml:space="preserve"> </w:t>
            </w:r>
            <w:r>
              <w:t xml:space="preserve">26</w:t>
            </w:r>
            <w:r>
              <w:t xml:space="preserve"> </w:t>
            </w:r>
            <w:r>
              <w:t xml:space="preserve">Table of Contents</w:t>
            </w:r>
            <w:r>
              <w:t xml:space="preserve"> </w:t>
            </w:r>
            <w:r>
              <w:t xml:space="preserve">difficult to outweigh objectively verifiable negative evidence of recent financial reporting losses. Based on the weight of available evidence, the Company determines if it is more likely than not that its deferred tax assets will be realized in the future.</w:t>
            </w:r>
            <w:r>
              <w:t xml:space="preserve"> </w:t>
            </w:r>
            <w:r>
              <w:t xml:space="preserve">As a result of losses incurred in recent years, the Company entered into a three-year cumulative loss position in the U.S. jurisdiction during the fourth quarter of fiscal 2016 and remains in a cumulative loss position at the conclusion of fiscal 2023. Accordingly, the Company maintained its valuation allowance on its U.S. deferred tax assets as of the fourth quarter of fiscal year 2023.</w:t>
            </w:r>
            <w:r>
              <w:t xml:space="preserve"> </w:t>
            </w:r>
            <w:r>
              <w:t xml:space="preserve">Uncertain Tax Positions</w:t>
            </w:r>
            <w:r>
              <w:t xml:space="preserve"> </w:t>
            </w:r>
            <w:r>
              <w:t xml:space="preserve">The calculation of the Company's tax liabilities also involves considering uncertainties in the application of complex tax regulations. SIFCO recognizes liabilities for uncertain income tax positions based on its estimate of whether it is more likely than not that additional taxes will be required, and it reports related interest and penalties as income taxes. Refer to Note 7,</w:t>
            </w:r>
            <w:r>
              <w:t xml:space="preserve"> </w:t>
            </w:r>
            <w:r>
              <w:t xml:space="preserve">Income Taxes</w:t>
            </w:r>
            <w:r>
              <w:t xml:space="preserve"> </w:t>
            </w:r>
            <w:r>
              <w:t xml:space="preserve">for further discussion.</w:t>
            </w:r>
            <w:r>
              <w:t xml:space="preserve"> </w:t>
            </w:r>
            <w:r>
              <w:t xml:space="preserve">E. Impact of Newly Issued Accounting Standards</w:t>
            </w:r>
            <w:r>
              <w:t xml:space="preserve"> </w:t>
            </w:r>
            <w:r>
              <w:t xml:space="preserve">In June 2016, the FASB issued ASU 2016-13,</w:t>
            </w:r>
            <w:r>
              <w:t xml:space="preserve"> </w:t>
            </w:r>
            <w:r>
              <w:t xml:space="preserve">"Financial Instruments - Credit Losses (Topic 326): Measurement of Credit Losses on Financial Instruments"</w:t>
            </w:r>
            <w:r>
              <w:t xml:space="preserve"> </w:t>
            </w:r>
            <w:r>
              <w:t xml:space="preserve">and subsequent updates. ASU 2016-13 changes how entities will measure credit losses for most financial assets and certain other instruments that are not measured at fair value through net income. The new guidance will replace the current incurred loss approach with an expected loss model. The new expected credit loss impairment model will apply to most financial assets measured at amortized cost and certain other instruments, including trade and other receivables, loans, held-to-maturity debt instruments, net investments in leases, loan commitments and standby letters of credit. Upon initial recognition of the exposure, the expected credit loss model requires entities to estimate the credit losses expected over the life of an exposure (or pool of exposures). The estimate of expected credit losses should consider historical information, current information and reasonable and supportable forecasts, including estimates of prepayments. Financial instruments with similar risk characteristics should be grouped together when estimating expected credit losses. ASU 2016-13 does not prescribe a specific method to make the estimate, so its application will require significant judgment. ASU 2016-13 is effective for public companies in fiscal years beginning after December 15, 2019, including interim periods within those fiscal years. However, in November 2019, the FASB issued ASU 2019-10,</w:t>
            </w:r>
            <w:r>
              <w:t xml:space="preserve"> </w:t>
            </w:r>
            <w:r>
              <w:t xml:space="preserve">"Financial Instruments - Credit Loss (Topic 326), Derivatives and Hedging (Topic 815), and Leases (Topic 842),"</w:t>
            </w:r>
            <w:r>
              <w:t xml:space="preserve"> </w:t>
            </w:r>
            <w:r>
              <w:t xml:space="preserve">which defers the effective date for public filers that qualify as a smaller reporting company ("SRC"), as defined by the Securities and Exchange Commission, to fiscal years after December 15, 2022, including interim periods within those fiscal years. Because SIFCO is considered a SRC, this ASU is effective for the Company beginning October 1, 2023. The effect of adopting this ASU is not expected to have a material impact to the Company's results within the consolidated statements of operations and financial condition.</w:t>
            </w:r>
            <w:r>
              <w:t xml:space="preserve"> </w:t>
            </w:r>
            <w:r>
              <w:t xml:space="preserve">In July 2023, the FASB issued ASU 2023-03, “</w:t>
            </w:r>
            <w:r>
              <w:t xml:space="preserve"> </w:t>
            </w:r>
            <w:r>
              <w:t xml:space="preserve">Presentation of Financial Statement (Topic 205), Income Statement - Reporting Comprehensive Income (Topic 220), Distinguishing Liabilities from Equity (Topic 480), Equity (Topic 505), and Compensation - Stock Compensation (Topic 718)</w:t>
            </w:r>
            <w:r>
              <w:t xml:space="preserve"> </w:t>
            </w:r>
            <w:r>
              <w:t xml:space="preserve">”, to amend various SEC paragraphs in the Accounting Standards Codification to reflect the issuance of SEC Staff Accounting Bulletin No. 120, among other things. The ASU does not provide any new guidance so there is no transition or effective date associated with it. The Company is currently assessing the impact of adopting ASU 2023-03 on the consolidated financial statements and related disclosures.</w:t>
            </w:r>
            <w:r>
              <w:t xml:space="preserve"> </w:t>
            </w:r>
            <w:r>
              <w:t xml:space="preserve">In November 2023, the FASB issued ASU 2023-07, "</w:t>
            </w:r>
            <w:r>
              <w:t xml:space="preserve"> </w:t>
            </w:r>
            <w:r>
              <w:t xml:space="preserve">Segment Reporting (Topic 280): Improvements to Reportable Segment Disclosures"</w:t>
            </w:r>
            <w:r>
              <w:t xml:space="preserve"> </w:t>
            </w:r>
            <w:r>
              <w:t xml:space="preserve">, that would enhance disclosures for significant segment expenses for all public entities required to report segment information in accordance with ASC 280. ASC 280 requires a public entity to report for each reportable segment a measure of segment profit or loss that its chief operating decision maker (“CODM”) uses to assess segment performance and to make decisions about resource allocations. The amendments in ASU 2023-07 improve financial reporting by requiring disclosure of incremental segment information on an annual and interim basis for all public entities to enable investors to develop more useful financial analyses. Currently,</w:t>
            </w:r>
            <w:r>
              <w:t xml:space="preserve"> </w:t>
            </w:r>
            <w:r>
              <w:t xml:space="preserve">Topic 280</w:t>
            </w:r>
            <w:r>
              <w:t xml:space="preserve"> </w:t>
            </w:r>
            <w:r>
              <w:t xml:space="preserve">requires that a public entity disclose certain information about its reportable segments. For example, a public entity is required to report a measure of segment profit or loss that the CODM uses to assess segment performance and make decisions about allocating resources. ASC 280 also requires other specified segment items and amounts such as depreciation, amortization and depletion expense to be disclosed under certain circumstances. The amendments in ASU 2023-07 do not change or remove those disclosure requirements. The amendments in ASU 2023-07 also do not change how a public entity identifies its operating segments, aggregates those operating segments, or applies the quantitative thresholds to determine its reportable segments. The amendments in ASU 2023-07 are effective for fiscal years beginning after December 15, 2023, and interim periods within fiscal years beginning after December 15, 2024. Early adoption is permitted. A public entity should apply the amendments in ASU 2023-07 retrospectively to all prior periods presented in the financial statements. The Company is currently assessing the impact of adopting ASU 2023-07 on the consolidated financial statements and related disclosures.</w:t>
            </w:r>
            <w:r>
              <w:t xml:space="preserve"> </w:t>
            </w:r>
            <w:r>
              <w:t xml:space="preserve">27</w:t>
            </w:r>
            <w:r>
              <w:t xml:space="preserve"> </w:t>
            </w:r>
            <w:r>
              <w:t xml:space="preserve">Table of Contents</w:t>
            </w:r>
            <w:r>
              <w:t xml:space="preserve"> </w:t>
            </w:r>
            <w:r>
              <w:t xml:space="preserve">In December 2023, the FASB issued ASU 2023-09, "</w:t>
            </w:r>
            <w:r>
              <w:t xml:space="preserve"> </w:t>
            </w:r>
            <w:r>
              <w:t xml:space="preserve">Income Taxes (Topic 740): Improvements to Income Tax Disclosures"</w:t>
            </w:r>
            <w:r>
              <w:t xml:space="preserve"> </w:t>
            </w:r>
            <w:r>
              <w:t xml:space="preserve">. ASU 2023-09 is intended to enhance the transparency and decision usefulness of income tax disclosures. The amendments in ASU 2023-09 address investor requests for enhanced income tax information primarily through changes to the rate reconciliation and income taxes paid information. Early adoption is permitted. A public entity should apply the amendments in ASU 2023-09 prospectively to all annual periods beginning after December 15, 2024. The Company is currently evaluating the impact of this standard on our consolidated financial statements and related disclosures.</w:t>
            </w:r>
            <w:r>
              <w:t xml:space="preserve"> </w:t>
            </w:r>
            <w:r>
              <w:t xml:space="preserve">28</w:t>
            </w:r>
            <w:r>
              <w:t xml:space="preserve"> </w:t>
            </w:r>
            <w:r>
              <w:t xml:space="preserve">Table of Contents</w:t>
            </w:r>
          </w:p>
        </w:tc>
        <w:tc>
          <w:tcPr/>
          <w:p>
            <w:pPr>
              <w:pStyle w:val="Compact"/>
            </w:pPr>
            <w:r>
              <w:t xml:space="preserve">16876</w:t>
            </w:r>
          </w:p>
        </w:tc>
        <w:tc>
          <w:tcPr/>
          <w:p>
            <w:pPr>
              <w:pStyle w:val="Compact"/>
            </w:pPr>
            <w:r>
              <w:t xml:space="preserve">49614</w:t>
            </w:r>
          </w:p>
        </w:tc>
        <w:tc>
          <w:tcPr/>
          <w:p>
            <w:pPr>
              <w:pStyle w:val="Compact"/>
            </w:pPr>
            <w:r>
              <w:t xml:space="preserve">46821</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ok</w:t>
            </w:r>
          </w:p>
        </w:tc>
        <w:tc>
          <w:tcPr/>
          <w:p>
            <w:pPr>
              <w:pStyle w:val="Compact"/>
            </w:pPr>
            <w:r>
              <w:t xml:space="preserve">None</w:t>
            </w:r>
          </w:p>
        </w:tc>
      </w:tr>
      <w:tr>
        <w:tc>
          <w:tcPr/>
          <w:p>
            <w:pPr>
              <w:pStyle w:val="Compact"/>
            </w:pPr>
            <w:r>
              <w:t xml:space="preserve">20240103_10-K_edgar_data_1610718_0001213900-24-000769.html</w:t>
            </w:r>
          </w:p>
        </w:tc>
        <w:tc>
          <w:tcPr/>
          <w:p>
            <w:pPr>
              <w:pStyle w:val="Compact"/>
            </w:pPr>
            <w:r>
              <w:t xml:space="preserve">..\data\SEC-10K-2024-HTML\20240103_10-K_edgar_data_1610718_0001213900-24-000769.html</w:t>
            </w:r>
          </w:p>
        </w:tc>
        <w:tc>
          <w:tcPr/>
          <w:p>
            <w:pPr>
              <w:pStyle w:val="Compact"/>
            </w:pPr>
            <w:r>
              <w:t xml:space="preserve">899099</w:t>
            </w:r>
          </w:p>
        </w:tc>
        <w:tc>
          <w:tcPr/>
          <w:p>
            <w:pPr>
              <w:pStyle w:val="Compact"/>
            </w:pPr>
            <w:r>
              <w:t xml:space="preserve">Item 1. Business</w:t>
            </w:r>
            <w:r>
              <w:t xml:space="preserve"> </w:t>
            </w:r>
            <w:r>
              <w:t xml:space="preserve">Corporate History</w:t>
            </w:r>
            <w:r>
              <w:t xml:space="preserve"> </w:t>
            </w:r>
            <w:r>
              <w:t xml:space="preserve">Outdoor Specialty Products, Inc. (the “Company,” “we,”</w:t>
            </w:r>
            <w:r>
              <w:t xml:space="preserve"> </w:t>
            </w:r>
            <w:r>
              <w:t xml:space="preserve">or “us”) was originally incorporated in the state of Utah on January 31, 2014, and changed its domicile to the state of Nevada</w:t>
            </w:r>
            <w:r>
              <w:t xml:space="preserve"> </w:t>
            </w:r>
            <w:r>
              <w:t xml:space="preserve">on February 24, 2021. The Company is and has since its inception been engaged in the business of developing, selling, and marketing products</w:t>
            </w:r>
            <w:r>
              <w:t xml:space="preserve"> </w:t>
            </w:r>
            <w:r>
              <w:t xml:space="preserve">in niche markets within the specialty outdoor products marketplace. We introduced our proprietary “Reel Guard” product in</w:t>
            </w:r>
            <w:r>
              <w:t xml:space="preserve"> </w:t>
            </w:r>
            <w:r>
              <w:t xml:space="preserve">2014 and continue to offer it for sale. We license the rights to our “SLINKOR” product pursuant to a license agreement entered</w:t>
            </w:r>
            <w:r>
              <w:t xml:space="preserve"> </w:t>
            </w:r>
            <w:r>
              <w:t xml:space="preserve">into with the inventor in May 2021. We intend to commence manufacturing, marketing, and selling our “SLINKOR” product following</w:t>
            </w:r>
            <w:r>
              <w:t xml:space="preserve"> </w:t>
            </w:r>
            <w:r>
              <w:t xml:space="preserve">completion of our redesign of the product to change the sinking weight to a material other than lead and utilize molds to permit increased</w:t>
            </w:r>
            <w:r>
              <w:t xml:space="preserve"> </w:t>
            </w:r>
            <w:r>
              <w:t xml:space="preserve">production. While we intend to finalize the design for the SLINKOR product in the near future, the commencement of production will be</w:t>
            </w:r>
            <w:r>
              <w:t xml:space="preserve"> </w:t>
            </w:r>
            <w:r>
              <w:t xml:space="preserve">subject to our receipt of additional financing adequate to cover the initial production costs and product run.</w:t>
            </w:r>
            <w:r>
              <w:t xml:space="preserve"> </w:t>
            </w:r>
            <w:r>
              <w:t xml:space="preserve">We have no subsidiaries.</w:t>
            </w:r>
            <w:r>
              <w:t xml:space="preserve"> </w:t>
            </w:r>
            <w:r>
              <w:t xml:space="preserve">The Reel Guard</w:t>
            </w:r>
            <w:r>
              <w:t xml:space="preserve"> </w:t>
            </w:r>
            <w:r>
              <w:t xml:space="preserve">The Reel Guard is designed to protect fishing reels from scratching,</w:t>
            </w:r>
            <w:r>
              <w:t xml:space="preserve"> </w:t>
            </w:r>
            <w:r>
              <w:t xml:space="preserve">scuffing, dents, and other damage due to dropping, resting on gravel while servicing the line, being transported with other fishing and</w:t>
            </w:r>
            <w:r>
              <w:t xml:space="preserve"> </w:t>
            </w:r>
            <w:r>
              <w:t xml:space="preserve">outdoor equipment, and general wear and tear. To date, the primary application for the Reel Guard has been fly fishing reels, but we believe</w:t>
            </w:r>
            <w:r>
              <w:t xml:space="preserve"> </w:t>
            </w:r>
            <w:r>
              <w:t xml:space="preserve">the Reel Guard may also be suitable for use with some deep-sea fishing reels. The Reel Guard consists of a thin, rubberized material that</w:t>
            </w:r>
            <w:r>
              <w:t xml:space="preserve"> </w:t>
            </w:r>
            <w:r>
              <w:t xml:space="preserve">is attached to the outer edges of a fishing reel using special adhesive strips that hold the material in place but provide for easy removal</w:t>
            </w:r>
            <w:r>
              <w:t xml:space="preserve"> </w:t>
            </w:r>
            <w:r>
              <w:t xml:space="preserve">with no damage to the reel. The Reel Guard is designed for reels with up to a 4.25-inch diameter that have square to slightly rounded</w:t>
            </w:r>
            <w:r>
              <w:t xml:space="preserve"> </w:t>
            </w:r>
            <w:r>
              <w:t xml:space="preserve">edges, and the custom installation procedure makes the Reel Guard suitable for a variety of different reels. The Reel Guard was invented</w:t>
            </w:r>
            <w:r>
              <w:t xml:space="preserve"> </w:t>
            </w:r>
            <w:r>
              <w:t xml:space="preserve">by Kirk Blosch, the Company’s founder and president, in 2014 to fill a need that he believed was not being met by existing products.</w:t>
            </w:r>
            <w:r>
              <w:t xml:space="preserve"> </w:t>
            </w:r>
            <w:r>
              <w:t xml:space="preserve">We filed for and obtained a provisional patent for the Reel Guard in 2014 under the name “Reel Bumper Guard” and U.S. Patent</w:t>
            </w:r>
            <w:r>
              <w:t xml:space="preserve"> </w:t>
            </w:r>
            <w:r>
              <w:t xml:space="preserve">No. 9,872,485 for the device was issued on January 23, 2018. During 2021, we paid the first (fourth year) maintenance fee for the Reel</w:t>
            </w:r>
            <w:r>
              <w:t xml:space="preserve"> </w:t>
            </w:r>
            <w:r>
              <w:t xml:space="preserve">Guard patent in the amount of $985 to prevent the patent from lapsing. The next maintenance fee will be due on or before July 23, 2025.</w:t>
            </w:r>
            <w:r>
              <w:t xml:space="preserve"> </w:t>
            </w:r>
            <w:r>
              <w:t xml:space="preserve">The SLINKOR</w:t>
            </w:r>
            <w:r>
              <w:t xml:space="preserve"> </w:t>
            </w:r>
            <w:r>
              <w:t xml:space="preserve">We entered into a License and Royalty Agreement (the “License</w:t>
            </w:r>
            <w:r>
              <w:t xml:space="preserve"> </w:t>
            </w:r>
            <w:r>
              <w:t xml:space="preserve">Agreement”), dated as of May 4, 2021, with Stephen Smith (the “Licensor”), for another fishing product referred to as</w:t>
            </w:r>
            <w:r>
              <w:t xml:space="preserve"> </w:t>
            </w:r>
            <w:r>
              <w:t xml:space="preserve">the “SLINKOR.” The SLINKOR is a slow sinking fishing sinker comprised of a smooth, egg-shaped piece of pre-molded foam with</w:t>
            </w:r>
            <w:r>
              <w:t xml:space="preserve"> </w:t>
            </w:r>
            <w:r>
              <w:t xml:space="preserve">lead weights compressed into each end using a guide wire that aligns the weights and allows a fishing line to be threaded through the</w:t>
            </w:r>
            <w:r>
              <w:t xml:space="preserve"> </w:t>
            </w:r>
            <w:r>
              <w:t xml:space="preserve">product. The buoyancy of the foam coupled with the calibrated weight of the lead and the movement of the water causes the SLINKOR to sink</w:t>
            </w:r>
            <w:r>
              <w:t xml:space="preserve"> </w:t>
            </w:r>
            <w:r>
              <w:t xml:space="preserve">slowly to the bottom of a lake or river allowing the fisherman to control the desired depth for the bait. The SLINKOR is designed for</w:t>
            </w:r>
            <w:r>
              <w:t xml:space="preserve"> </w:t>
            </w:r>
            <w:r>
              <w:t xml:space="preserve">use with flies, spinners, flatfish, and other types of bait and the weight of the SLINKOR permits the fisherman to make longer casts.</w:t>
            </w:r>
            <w:r>
              <w:t xml:space="preserve"> </w:t>
            </w:r>
            <w:r>
              <w:t xml:space="preserve">The smooth egg shape of the SLINKOR is designed to let it slide along the bottom of the lake or river while resting on top of moss or</w:t>
            </w:r>
            <w:r>
              <w:t xml:space="preserve"> </w:t>
            </w:r>
            <w:r>
              <w:t xml:space="preserve">bouncing over rocks and greatly reducing snags. The device permits a fisherman to run his line through the SLINKOR, attach a swivel, and</w:t>
            </w:r>
            <w:r>
              <w:t xml:space="preserve"> </w:t>
            </w:r>
            <w:r>
              <w:t xml:space="preserve">run 18 to 30 inches of leader from the swivel to the bait based on the current water conditions, the desired depth, and the presence or</w:t>
            </w:r>
            <w:r>
              <w:t xml:space="preserve"> </w:t>
            </w:r>
            <w:r>
              <w:t xml:space="preserve">absence of moss, rocks, and other obstacles. If we are able to successfully complete the redesign of the SLINKOR as discussed below, we</w:t>
            </w:r>
            <w:r>
              <w:t xml:space="preserve"> </w:t>
            </w:r>
            <w:r>
              <w:t xml:space="preserve">plan to manufacture the product in two sizes commencing with a larger size that will be approximately 1 1⁄4 inches in length and</w:t>
            </w:r>
            <w:r>
              <w:t xml:space="preserve"> </w:t>
            </w:r>
            <w:r>
              <w:t xml:space="preserve">subsequently introducing a smaller size.</w:t>
            </w:r>
            <w:r>
              <w:t xml:space="preserve"> </w:t>
            </w:r>
            <w:r>
              <w:t xml:space="preserve">1</w:t>
            </w:r>
            <w:r>
              <w:t xml:space="preserve"> </w:t>
            </w:r>
            <w:r>
              <w:t xml:space="preserve">The License Agreement generally grants us the non-exclusive, world-wide</w:t>
            </w:r>
            <w:r>
              <w:t xml:space="preserve"> </w:t>
            </w:r>
            <w:r>
              <w:t xml:space="preserve">right to use and apply the SLINKOR technology and any intellectual property rights thereto and to make, have made, use, lease, sell, market,</w:t>
            </w:r>
            <w:r>
              <w:t xml:space="preserve"> </w:t>
            </w:r>
            <w:r>
              <w:t xml:space="preserve">or otherwise dispose of the SLINKOR in all markets throughout the world, and the exclusive right to market, sell or otherwise dispose</w:t>
            </w:r>
            <w:r>
              <w:t xml:space="preserve"> </w:t>
            </w:r>
            <w:r>
              <w:t xml:space="preserve">of the SLINKOR in e-commerce markets throughout the world. The License Agreement reserves to the Licensor the non-exclusive right to continue</w:t>
            </w:r>
            <w:r>
              <w:t xml:space="preserve"> </w:t>
            </w:r>
            <w:r>
              <w:t xml:space="preserve">to manufacture and sell the SLINKOR in stores, at trade shows, and in other brick and mortar physical locations and to purchase completed</w:t>
            </w:r>
            <w:r>
              <w:t xml:space="preserve"> </w:t>
            </w:r>
            <w:r>
              <w:t xml:space="preserve">SLINKOR products from us (to the extent available) at our cost plus 10%. In consideration for the rights granted under the License Agreement,</w:t>
            </w:r>
            <w:r>
              <w:t xml:space="preserve"> </w:t>
            </w:r>
            <w:r>
              <w:t xml:space="preserve">we paid the Licensor a one-time license fee in the amount of $500 and agreed to pay the Licensor the following royalties based on our</w:t>
            </w:r>
            <w:r>
              <w:t xml:space="preserve"> </w:t>
            </w:r>
            <w:r>
              <w:t xml:space="preserve">net revenue from sales of the SLINKOR: (i) 20% of net revenue from product sales up to $1 Million, (ii) 15% of net revenue from product</w:t>
            </w:r>
            <w:r>
              <w:t xml:space="preserve"> </w:t>
            </w:r>
            <w:r>
              <w:t xml:space="preserve">sales between $1 Million and $3 Million, and (iii) 10% of net revenue from product sales in excess of $3 Million. We are required to make</w:t>
            </w:r>
            <w:r>
              <w:t xml:space="preserve"> </w:t>
            </w:r>
            <w:r>
              <w:t xml:space="preserve">minimum royalty payments of $1,000 per year to maintain the exclusive nature of the license and prevent it from reverting to a non-exclusive</w:t>
            </w:r>
            <w:r>
              <w:t xml:space="preserve"> </w:t>
            </w:r>
            <w:r>
              <w:t xml:space="preserve">license. During the 2023 year, we paid royalties in the minimum amount of $1,000. This summary description of the License Agreement is</w:t>
            </w:r>
            <w:r>
              <w:t xml:space="preserve"> </w:t>
            </w:r>
            <w:r>
              <w:t xml:space="preserve">qualified in its entirety by reference to the License Agreement, a copy of which is filed as an exhibit to this report.</w:t>
            </w:r>
            <w:r>
              <w:t xml:space="preserve"> </w:t>
            </w:r>
            <w:r>
              <w:t xml:space="preserve">We have postponed the production of the SLINKOR product while we attempt</w:t>
            </w:r>
            <w:r>
              <w:t xml:space="preserve"> </w:t>
            </w:r>
            <w:r>
              <w:t xml:space="preserve">to redesign it to replace the lead weight incorporated in the pre-molded foam ball with a weight made from a non-lead material and to</w:t>
            </w:r>
            <w:r>
              <w:t xml:space="preserve"> </w:t>
            </w:r>
            <w:r>
              <w:t xml:space="preserve">implement a more automated manufacturing process. Over the past several years, there has been an increasing trend by various states to</w:t>
            </w:r>
            <w:r>
              <w:t xml:space="preserve"> </w:t>
            </w:r>
            <w:r>
              <w:t xml:space="preserve">ban the use of lead weights, split shot, and lead-based lures due to potential lead poisoning and damage to waterfowl, other aquatic animals,</w:t>
            </w:r>
            <w:r>
              <w:t xml:space="preserve"> </w:t>
            </w:r>
            <w:r>
              <w:t xml:space="preserve">soil, and water. We believe that lead fishing products are now banned in New Hampshire, New York, Maine, Massachusetts, Vermont, and Washington</w:t>
            </w:r>
            <w:r>
              <w:t xml:space="preserve"> </w:t>
            </w:r>
            <w:r>
              <w:t xml:space="preserve">and that the trend will continue. Our decision to try and move away from the lead weight is motivated by our desire to be a good public</w:t>
            </w:r>
            <w:r>
              <w:t xml:space="preserve"> </w:t>
            </w:r>
            <w:r>
              <w:t xml:space="preserve">citizen by not manufacturing a product that may be harmful to the environment and our belief that lead shot will be outlawed in more locations</w:t>
            </w:r>
            <w:r>
              <w:t xml:space="preserve"> </w:t>
            </w:r>
            <w:r>
              <w:t xml:space="preserve">over the coming years and that it will continue to become more expensive and more difficult to source. Our initial efforts to locate a</w:t>
            </w:r>
            <w:r>
              <w:t xml:space="preserve"> </w:t>
            </w:r>
            <w:r>
              <w:t xml:space="preserve">weight made of non-lead material were unsuccessful and we are now focusing our efforts on a complete redesign of the product that would</w:t>
            </w:r>
            <w:r>
              <w:t xml:space="preserve"> </w:t>
            </w:r>
            <w:r>
              <w:t xml:space="preserve">involve the use of a single injection molded component made of a material with weighting properties similar to lead. We believe the use</w:t>
            </w:r>
            <w:r>
              <w:t xml:space="preserve"> </w:t>
            </w:r>
            <w:r>
              <w:t xml:space="preserve">of a single injection molded product would allow us to accelerate the manufacturing process, which we anticipate would increase production</w:t>
            </w:r>
            <w:r>
              <w:t xml:space="preserve"> </w:t>
            </w:r>
            <w:r>
              <w:t xml:space="preserve">capacity and reduce costs as compared to the manual manufacturing process currently used by the Licensor to produce the SLINKOR. No assurances</w:t>
            </w:r>
            <w:r>
              <w:t xml:space="preserve"> </w:t>
            </w:r>
            <w:r>
              <w:t xml:space="preserve">can be given that the proposed injection molded product will be successfully completed or that it will be available for production and</w:t>
            </w:r>
            <w:r>
              <w:t xml:space="preserve"> </w:t>
            </w:r>
            <w:r>
              <w:t xml:space="preserve">sale. We do not plan to commence manufacturing of the new product until the design has been completed and additional debt or equity funding</w:t>
            </w:r>
            <w:r>
              <w:t xml:space="preserve"> </w:t>
            </w:r>
            <w:r>
              <w:t xml:space="preserve">has been received to cover the manufacturing costs.</w:t>
            </w:r>
            <w:r>
              <w:t xml:space="preserve"> </w:t>
            </w:r>
            <w:r>
              <w:t xml:space="preserve">Manufacturing</w:t>
            </w:r>
            <w:r>
              <w:t xml:space="preserve"> </w:t>
            </w:r>
            <w:r>
              <w:t xml:space="preserve">We own our custom injection mold for the Reel Guard, and we contract</w:t>
            </w:r>
            <w:r>
              <w:t xml:space="preserve"> </w:t>
            </w:r>
            <w:r>
              <w:t xml:space="preserve">with a third party to manufacture the Reel Guard in minimum lots of 1,000 on an as needed basis. The adhesive strips used to attach the</w:t>
            </w:r>
            <w:r>
              <w:t xml:space="preserve"> </w:t>
            </w:r>
            <w:r>
              <w:t xml:space="preserve">Reel Guard to the reel are manufactured by a national adhesives manufacturing company and custom ordered in pre-cut lengths from a local</w:t>
            </w:r>
            <w:r>
              <w:t xml:space="preserve"> </w:t>
            </w:r>
            <w:r>
              <w:t xml:space="preserve">distributor in minimum lots of 1,000. We contract with another third party to print the Reel Guard product information card and package</w:t>
            </w:r>
            <w:r>
              <w:t xml:space="preserve"> </w:t>
            </w:r>
            <w:r>
              <w:t xml:space="preserve">the Reel Guard product in sale-ready packages. Our Reel Guard inventory consists of both the raw material adhesive strips and the finished,</w:t>
            </w:r>
            <w:r>
              <w:t xml:space="preserve"> </w:t>
            </w:r>
            <w:r>
              <w:t xml:space="preserve">packaged product units. As of September 30, 2023 and 2022, respectively, we had on hand $1,065 and $2,042 in finished goods and $2,596</w:t>
            </w:r>
            <w:r>
              <w:t xml:space="preserve"> </w:t>
            </w:r>
            <w:r>
              <w:t xml:space="preserve">and $2,596 in raw materials.</w:t>
            </w:r>
            <w:r>
              <w:t xml:space="preserve"> </w:t>
            </w:r>
            <w:r>
              <w:t xml:space="preserve">As discussed above, the production of the SLINKOR has been postponed</w:t>
            </w:r>
            <w:r>
              <w:t xml:space="preserve"> </w:t>
            </w:r>
            <w:r>
              <w:t xml:space="preserve">pending a redesign of the product, which may change the raw materials utilized and provide for the creation of molds to accelerate the</w:t>
            </w:r>
            <w:r>
              <w:t xml:space="preserve"> </w:t>
            </w:r>
            <w:r>
              <w:t xml:space="preserve">production process. We plan to use our existing printing and packaging contractor to print the SLINKOR product information and package</w:t>
            </w:r>
            <w:r>
              <w:t xml:space="preserve"> </w:t>
            </w:r>
            <w:r>
              <w:t xml:space="preserve">the SLINKOR in sale-ready packages.</w:t>
            </w:r>
            <w:r>
              <w:t xml:space="preserve"> </w:t>
            </w:r>
            <w:r>
              <w:t xml:space="preserve">We maintain an inventory of products which we believe is sufficient</w:t>
            </w:r>
            <w:r>
              <w:t xml:space="preserve"> </w:t>
            </w:r>
            <w:r>
              <w:t xml:space="preserve">to meet demand. If we should underestimate sales and fail to timely manufacture additional quantities of our products, we could face delays</w:t>
            </w:r>
            <w:r>
              <w:t xml:space="preserve"> </w:t>
            </w:r>
            <w:r>
              <w:t xml:space="preserve">in providing our products to our customers which could have a negative effect on our reputation and result in a decline in our product</w:t>
            </w:r>
            <w:r>
              <w:t xml:space="preserve"> </w:t>
            </w:r>
            <w:r>
              <w:t xml:space="preserve">sales. If we overestimate sales, we will have invested our capital in products that remain in inventory, which will have a negative effect</w:t>
            </w:r>
            <w:r>
              <w:t xml:space="preserve"> </w:t>
            </w:r>
            <w:r>
              <w:t xml:space="preserve">on our financial condition and results of operations. No assurances can be given that we will be able to accurately predict sales and</w:t>
            </w:r>
            <w:r>
              <w:t xml:space="preserve"> </w:t>
            </w:r>
            <w:r>
              <w:t xml:space="preserve">maintain an optimal level of inventory in our system.</w:t>
            </w:r>
            <w:r>
              <w:t xml:space="preserve"> </w:t>
            </w:r>
            <w:r>
              <w:t xml:space="preserve">2</w:t>
            </w:r>
            <w:r>
              <w:t xml:space="preserve"> </w:t>
            </w:r>
            <w:r>
              <w:t xml:space="preserve">Although we have purchased substantially all inventories from one supplier</w:t>
            </w:r>
            <w:r>
              <w:t xml:space="preserve"> </w:t>
            </w:r>
            <w:r>
              <w:t xml:space="preserve">and have been dependent on this supplier for all inventory purchases since we commenced operations, we believe the raw materials for both</w:t>
            </w:r>
            <w:r>
              <w:t xml:space="preserve"> </w:t>
            </w:r>
            <w:r>
              <w:t xml:space="preserve">the Reel Guard and the SLINKOR are available for purchase from several different sources in the open market. We also believe there are</w:t>
            </w:r>
            <w:r>
              <w:t xml:space="preserve"> </w:t>
            </w:r>
            <w:r>
              <w:t xml:space="preserve">several other manufacturing, printing, and packaging services capable of performing the services provided by our current contractors at</w:t>
            </w:r>
            <w:r>
              <w:t xml:space="preserve"> </w:t>
            </w:r>
            <w:r>
              <w:t xml:space="preserve">competitive prices. Our ability to timely obtain raw materials and finished goods may be affected by events beyond our control, such as</w:t>
            </w:r>
            <w:r>
              <w:t xml:space="preserve"> </w:t>
            </w:r>
            <w:r>
              <w:t xml:space="preserve">the inability of suppliers to timely deliver materials due to work stoppages or slowdowns, or significant weather and health conditions</w:t>
            </w:r>
            <w:r>
              <w:t xml:space="preserve"> </w:t>
            </w:r>
            <w:r>
              <w:t xml:space="preserve">(such as COVID-19). Any adverse change in our supply chain and manufacturing, such as our relationship with our third-party contractors,</w:t>
            </w:r>
            <w:r>
              <w:t xml:space="preserve"> </w:t>
            </w:r>
            <w:r>
              <w:t xml:space="preserve">the financial condition of such contractors, and their ability to provide supplies and services to us on a timely basis could have a material</w:t>
            </w:r>
            <w:r>
              <w:t xml:space="preserve"> </w:t>
            </w:r>
            <w:r>
              <w:t xml:space="preserve">adverse effect on our business, results of operations, and financial condition.</w:t>
            </w:r>
            <w:r>
              <w:t xml:space="preserve"> </w:t>
            </w:r>
            <w:r>
              <w:t xml:space="preserve">Marketing / Shipping</w:t>
            </w:r>
            <w:r>
              <w:t xml:space="preserve"> </w:t>
            </w:r>
            <w:r>
              <w:t xml:space="preserve">We currently market and sell the Reel Guard through our website at</w:t>
            </w:r>
            <w:r>
              <w:t xml:space="preserve"> </w:t>
            </w:r>
            <w:r>
              <w:t xml:space="preserve">“</w:t>
            </w:r>
            <w:r>
              <w:t xml:space="preserve"> </w:t>
            </w:r>
            <w:r>
              <w:t xml:space="preserve">outdoorspecialtyproducts.com</w:t>
            </w:r>
            <w:r>
              <w:t xml:space="preserve"> </w:t>
            </w:r>
            <w:r>
              <w:t xml:space="preserve">,” where we also provide access to marketing materials, instructional videos, and installation</w:t>
            </w:r>
            <w:r>
              <w:t xml:space="preserve"> </w:t>
            </w:r>
            <w:r>
              <w:t xml:space="preserve">instructions. We also list the Reel Guard for sale on eBay. To date we have sold the Reel Guard to residents of over 25 states and have</w:t>
            </w:r>
            <w:r>
              <w:t xml:space="preserve"> </w:t>
            </w:r>
            <w:r>
              <w:t xml:space="preserve">made one sale outside the U.S. to a resident of Hungary.</w:t>
            </w:r>
            <w:r>
              <w:t xml:space="preserve"> </w:t>
            </w:r>
            <w:r>
              <w:t xml:space="preserve">When the redesign of the SLINKOR has been completed, we intend to market</w:t>
            </w:r>
            <w:r>
              <w:t xml:space="preserve"> </w:t>
            </w:r>
            <w:r>
              <w:t xml:space="preserve">it on our website and to expand our website to include marketing materials and SLINKOR instructional videos created by the Licensor.</w:t>
            </w:r>
            <w:r>
              <w:t xml:space="preserve"> </w:t>
            </w:r>
            <w:r>
              <w:t xml:space="preserve">We believe our business is affected by seasonality, which historically</w:t>
            </w:r>
            <w:r>
              <w:t xml:space="preserve"> </w:t>
            </w:r>
            <w:r>
              <w:t xml:space="preserve">has resulted in higher sales volume during the spring and summer months.</w:t>
            </w:r>
            <w:r>
              <w:t xml:space="preserve"> </w:t>
            </w:r>
            <w:r>
              <w:t xml:space="preserve">We currently only accept PayPal as the method of payment for our products</w:t>
            </w:r>
            <w:r>
              <w:t xml:space="preserve"> </w:t>
            </w:r>
            <w:r>
              <w:t xml:space="preserve">that are sold on our website and eBay’s payment processing for our products that are sold on eBay. Our products are shipped via</w:t>
            </w:r>
            <w:r>
              <w:t xml:space="preserve"> </w:t>
            </w:r>
            <w:r>
              <w:t xml:space="preserve">U.S. Mail promptly following confirmation from PayPal that payment for an order has been received. Shipping is included in the product</w:t>
            </w:r>
            <w:r>
              <w:t xml:space="preserve"> </w:t>
            </w:r>
            <w:r>
              <w:t xml:space="preserve">price and a customer pays no additional shipping charges.</w:t>
            </w:r>
            <w:r>
              <w:t xml:space="preserve"> </w:t>
            </w:r>
            <w:r>
              <w:t xml:space="preserve">Other Products</w:t>
            </w:r>
            <w:r>
              <w:t xml:space="preserve"> </w:t>
            </w:r>
            <w:r>
              <w:t xml:space="preserve">We have taken initial steps toward the development of a what we believe</w:t>
            </w:r>
            <w:r>
              <w:t xml:space="preserve"> </w:t>
            </w:r>
            <w:r>
              <w:t xml:space="preserve">to be a unique fishing rod product that involves the ability to attach different upper fly rod portions of varying lengths and weights</w:t>
            </w:r>
            <w:r>
              <w:t xml:space="preserve"> </w:t>
            </w:r>
            <w:r>
              <w:t xml:space="preserve">to a single rod butt handle that results in a light weight, multi-purpose fly rod. We have conducted preliminary research regarding the</w:t>
            </w:r>
            <w:r>
              <w:t xml:space="preserve"> </w:t>
            </w:r>
            <w:r>
              <w:t xml:space="preserve">patentability of the proposed product and believe we may be able to obtain patent protection for the product, although no assurances can</w:t>
            </w:r>
            <w:r>
              <w:t xml:space="preserve"> </w:t>
            </w:r>
            <w:r>
              <w:t xml:space="preserve">be given that the product will be developed or that patent protection will be obtained. We have halted our efforts regarding the development</w:t>
            </w:r>
            <w:r>
              <w:t xml:space="preserve"> </w:t>
            </w:r>
            <w:r>
              <w:t xml:space="preserve">of this new product until such time as we have sufficient capital on hand to proceed with its development.</w:t>
            </w:r>
            <w:r>
              <w:t xml:space="preserve"> </w:t>
            </w:r>
            <w:r>
              <w:t xml:space="preserve">We were formed with the belief that there is an underserved marketplace</w:t>
            </w:r>
            <w:r>
              <w:t xml:space="preserve"> </w:t>
            </w:r>
            <w:r>
              <w:t xml:space="preserve">in the outdoor sporting goods space which can be exploited from multiple fronts. In addition to the Reel Guard and the SLINKOR, we intend</w:t>
            </w:r>
            <w:r>
              <w:t xml:space="preserve"> </w:t>
            </w:r>
            <w:r>
              <w:t xml:space="preserve">to investigate opportunities to develop additional products and to market third party products in the outdoor sporting goods space on</w:t>
            </w:r>
            <w:r>
              <w:t xml:space="preserve"> </w:t>
            </w:r>
            <w:r>
              <w:t xml:space="preserve">our website.</w:t>
            </w:r>
            <w:r>
              <w:t xml:space="preserve"> </w:t>
            </w:r>
            <w:r>
              <w:t xml:space="preserve">Intellectual Property</w:t>
            </w:r>
            <w:r>
              <w:t xml:space="preserve"> </w:t>
            </w:r>
            <w:r>
              <w:t xml:space="preserve">We hold a U.S. patent on our Reel Guard. We do not hold patents on</w:t>
            </w:r>
            <w:r>
              <w:t xml:space="preserve"> </w:t>
            </w:r>
            <w:r>
              <w:t xml:space="preserve">any other products, and we do not currently hold any trademarks. No assurance can be given that our patent will provide sufficient protection</w:t>
            </w:r>
            <w:r>
              <w:t xml:space="preserve"> </w:t>
            </w:r>
            <w:r>
              <w:t xml:space="preserve">against potential competitors, and we may be unable to successfully assert our intellectual property rights, or these rights may be invalidated,</w:t>
            </w:r>
            <w:r>
              <w:t xml:space="preserve"> </w:t>
            </w:r>
            <w:r>
              <w:t xml:space="preserve">circumvented, or challenged. Any such inability or a successful intellectual property challenge or infringement proceeding against us,</w:t>
            </w:r>
            <w:r>
              <w:t xml:space="preserve"> </w:t>
            </w:r>
            <w:r>
              <w:t xml:space="preserve">could have a material adverse effect on our business.</w:t>
            </w:r>
            <w:r>
              <w:t xml:space="preserve"> </w:t>
            </w:r>
            <w:r>
              <w:t xml:space="preserve">3</w:t>
            </w:r>
            <w:r>
              <w:t xml:space="preserve"> </w:t>
            </w:r>
            <w:r>
              <w:t xml:space="preserve">Facilities</w:t>
            </w:r>
            <w:r>
              <w:t xml:space="preserve"> </w:t>
            </w:r>
            <w:r>
              <w:t xml:space="preserve">Our operations are currently conducted from at the residence of our</w:t>
            </w:r>
            <w:r>
              <w:t xml:space="preserve"> </w:t>
            </w:r>
            <w:r>
              <w:t xml:space="preserve">president. Our facilities are furnished to us at no cost and consist of the shared use of approximately 500 square feet of office space</w:t>
            </w:r>
            <w:r>
              <w:t xml:space="preserve"> </w:t>
            </w:r>
            <w:r>
              <w:t xml:space="preserve">and assembly/storage space. In connection with the commencement of manufacturing of the SLINKOR, we may investigate the desirability of</w:t>
            </w:r>
            <w:r>
              <w:t xml:space="preserve"> </w:t>
            </w:r>
            <w:r>
              <w:t xml:space="preserve">leasing a small assembly, storage, and office space from a third party.</w:t>
            </w:r>
            <w:r>
              <w:t xml:space="preserve"> </w:t>
            </w:r>
            <w:r>
              <w:t xml:space="preserve">Competition</w:t>
            </w:r>
            <w:r>
              <w:t xml:space="preserve"> </w:t>
            </w:r>
            <w:r>
              <w:t xml:space="preserve">The outdoor specialty products industry is intensely competitive with</w:t>
            </w:r>
            <w:r>
              <w:t xml:space="preserve"> </w:t>
            </w:r>
            <w:r>
              <w:t xml:space="preserve">respect to price, quality, features, and durability, and it is often difficult to entice customers to try a new product. Many of our competitors</w:t>
            </w:r>
            <w:r>
              <w:t xml:space="preserve"> </w:t>
            </w:r>
            <w:r>
              <w:t xml:space="preserve">are well-established companies with name brand recognition and almost all our competitors have substantially greater financial and other</w:t>
            </w:r>
            <w:r>
              <w:t xml:space="preserve"> </w:t>
            </w:r>
            <w:r>
              <w:t xml:space="preserve">resources than do we. Such competitors include many national and regional companies and most of our competitors have been in existence</w:t>
            </w:r>
            <w:r>
              <w:t xml:space="preserve"> </w:t>
            </w:r>
            <w:r>
              <w:t xml:space="preserve">for a substantially longer period than have we and are better established. As such, there can be no assurance that we will be able to</w:t>
            </w:r>
            <w:r>
              <w:t xml:space="preserve"> </w:t>
            </w:r>
            <w:r>
              <w:t xml:space="preserve">compete effectively in our chosen market. In addition, a change in the pricing, marketing, or promotional strategies or product mix of</w:t>
            </w:r>
            <w:r>
              <w:t xml:space="preserve"> </w:t>
            </w:r>
            <w:r>
              <w:t xml:space="preserve">one or more of these competitors could have a material adverse impact on our sales and earnings.</w:t>
            </w:r>
            <w:r>
              <w:t xml:space="preserve"> </w:t>
            </w:r>
            <w:r>
              <w:t xml:space="preserve">Government Regulation</w:t>
            </w:r>
            <w:r>
              <w:t xml:space="preserve"> </w:t>
            </w:r>
            <w:r>
              <w:t xml:space="preserve">Our operations are subject to numerous federal, state, and local government</w:t>
            </w:r>
            <w:r>
              <w:t xml:space="preserve"> </w:t>
            </w:r>
            <w:r>
              <w:t xml:space="preserve">regulations. The failure to comply with such requirements or increase in the cost of compliance could adversely affect our operations.</w:t>
            </w:r>
            <w:r>
              <w:t xml:space="preserve"> </w:t>
            </w:r>
            <w:r>
              <w:t xml:space="preserve">We are also subject to federal and state environmental regulations, which have not had a material effect on our operations to date. Our</w:t>
            </w:r>
            <w:r>
              <w:t xml:space="preserve"> </w:t>
            </w:r>
            <w:r>
              <w:t xml:space="preserve">operations are also subject to federal and state laws governing such matters as wages, working conditions, citizenship requirements, and</w:t>
            </w:r>
            <w:r>
              <w:t xml:space="preserve"> </w:t>
            </w:r>
            <w:r>
              <w:t xml:space="preserve">overtime. We do not currently anticipate that compliance with government regulations, including environmental regulations, will have a</w:t>
            </w:r>
            <w:r>
              <w:t xml:space="preserve"> </w:t>
            </w:r>
            <w:r>
              <w:t xml:space="preserve">material effect on our capital expenditures, earnings, and competitive position.</w:t>
            </w:r>
            <w:r>
              <w:t xml:space="preserve"> </w:t>
            </w:r>
            <w:r>
              <w:t xml:space="preserve">Employees and Consultants</w:t>
            </w:r>
            <w:r>
              <w:t xml:space="preserve"> </w:t>
            </w:r>
            <w:r>
              <w:t xml:space="preserve">We do not currently have any employees other than our founder and president,</w:t>
            </w:r>
            <w:r>
              <w:t xml:space="preserve"> </w:t>
            </w:r>
            <w:r>
              <w:t xml:space="preserve">who has made loans to the Company pursuant to a revolving loan agreement. We anticipate that the loss of our president would have a material</w:t>
            </w:r>
            <w:r>
              <w:t xml:space="preserve"> </w:t>
            </w:r>
            <w:r>
              <w:t xml:space="preserve">adverse impact on our business and financial condition and there is no assurance that we could locate a qualified replacement. We have</w:t>
            </w:r>
            <w:r>
              <w:t xml:space="preserve"> </w:t>
            </w:r>
            <w:r>
              <w:t xml:space="preserve">not entered into an employment agreement with our president and we do not carry “key man” life insurance on his life.</w:t>
            </w:r>
            <w:r>
              <w:t xml:space="preserve"> </w:t>
            </w:r>
            <w:r>
              <w:t xml:space="preserve">Financing</w:t>
            </w:r>
            <w:r>
              <w:t xml:space="preserve"> </w:t>
            </w:r>
            <w:r>
              <w:t xml:space="preserve">Following our incorporation in 2014,</w:t>
            </w:r>
            <w:r>
              <w:t xml:space="preserve"> </w:t>
            </w:r>
            <w:r>
              <w:t xml:space="preserve">we completed the private placement of 285,714 shares of our common stock to accredited investors in a private placement at a price of</w:t>
            </w:r>
            <w:r>
              <w:t xml:space="preserve"> </w:t>
            </w:r>
            <w:r>
              <w:t xml:space="preserve">$0.35 per share for total proceeds of $100,011. The proceeds from the private placement together with our limited product sales were sufficient</w:t>
            </w:r>
            <w:r>
              <w:t xml:space="preserve"> </w:t>
            </w:r>
            <w:r>
              <w:t xml:space="preserve">to fund our operations through our fiscal year ended September 30, 2020. On January 4, 2021, we entered into a revolving promissory note</w:t>
            </w:r>
            <w:r>
              <w:t xml:space="preserve"> </w:t>
            </w:r>
            <w:r>
              <w:t xml:space="preserve">agreement with our president and principal stockholder that, as amended, provides for total loans of up to $127,500 at an interest rate</w:t>
            </w:r>
            <w:r>
              <w:t xml:space="preserve"> </w:t>
            </w:r>
            <w:r>
              <w:t xml:space="preserve">3.5% per annum, which is repayable on or before December 31, 2024. We received proceeds under the revolving promissory note of $31,478</w:t>
            </w:r>
            <w:r>
              <w:t xml:space="preserve"> </w:t>
            </w:r>
            <w:r>
              <w:t xml:space="preserve">during the year ended September 30, 2023, resulting in principal balances of $83,521 and $52,043, with accrued interest of $4,444 and</w:t>
            </w:r>
            <w:r>
              <w:t xml:space="preserve"> </w:t>
            </w:r>
            <w:r>
              <w:t xml:space="preserve">$1,909, at September 30, 2023 and 2022, respectively</w:t>
            </w:r>
            <w:r>
              <w:t xml:space="preserve"> </w:t>
            </w:r>
            <w:r>
              <w:t xml:space="preserve">.</w:t>
            </w:r>
            <w:r>
              <w:t xml:space="preserve"> </w:t>
            </w:r>
            <w:r>
              <w:t xml:space="preserve">During December 2021, we entered into a revolving</w:t>
            </w:r>
            <w:r>
              <w:t xml:space="preserve"> </w:t>
            </w:r>
            <w:r>
              <w:t xml:space="preserve">promissory note agreement with another principal stockholder that, as amended, provides for loans of up to $22,500 at an interest rate</w:t>
            </w:r>
            <w:r>
              <w:t xml:space="preserve"> </w:t>
            </w:r>
            <w:r>
              <w:t xml:space="preserve">of 3.5% per annum, which is repayable on or before December 31, 2024. We received proceeds under the second revolving promissory note</w:t>
            </w:r>
            <w:r>
              <w:t xml:space="preserve"> </w:t>
            </w:r>
            <w:r>
              <w:t xml:space="preserve">of $6,113 during the year ended September 30, 2023, resulting in principal balances of $14,839 and $8,726, with accrued interest of $568</w:t>
            </w:r>
            <w:r>
              <w:t xml:space="preserve"> </w:t>
            </w:r>
            <w:r>
              <w:t xml:space="preserve">and $179, at September 30, 2023 and 2022, respectively.</w:t>
            </w:r>
          </w:p>
        </w:tc>
        <w:tc>
          <w:tcPr/>
          <w:p>
            <w:pPr>
              <w:pStyle w:val="Compact"/>
            </w:pPr>
            <w:r>
              <w:t xml:space="preserve">nan</w:t>
            </w:r>
          </w:p>
        </w:tc>
        <w:tc>
          <w:tcPr/>
          <w:p>
            <w:pPr>
              <w:pStyle w:val="Compact"/>
            </w:pPr>
            <w:r>
              <w:t xml:space="preserve">Item 7. Management’s Discussion and Analysis of Financial</w:t>
            </w:r>
            <w:r>
              <w:t xml:space="preserve"> </w:t>
            </w:r>
            <w:r>
              <w:t xml:space="preserve">Condition and Results of Operations</w:t>
            </w:r>
            <w:r>
              <w:t xml:space="preserve"> </w:t>
            </w:r>
            <w:r>
              <w:t xml:space="preserve">You should read the following discussion in conjunction with our</w:t>
            </w:r>
            <w:r>
              <w:t xml:space="preserve"> </w:t>
            </w:r>
            <w:r>
              <w:t xml:space="preserve">financial statements, which are included elsewhere in this report.</w:t>
            </w:r>
            <w:r>
              <w:t xml:space="preserve"> </w:t>
            </w:r>
            <w:r>
              <w:t xml:space="preserve">The following discussion contains forward-looking statements. Forward-looking</w:t>
            </w:r>
            <w:r>
              <w:t xml:space="preserve"> </w:t>
            </w:r>
            <w:r>
              <w:t xml:space="preserve">statements give our current expectations or forecasts of future events. You can identify these statements by the fact that they do not</w:t>
            </w:r>
            <w:r>
              <w:t xml:space="preserve"> </w:t>
            </w:r>
            <w:r>
              <w:t xml:space="preserve">relate strictly to historical or current facts. They use words such as</w:t>
            </w:r>
            <w:r>
              <w:t xml:space="preserve"> </w:t>
            </w:r>
            <w:r>
              <w:t xml:space="preserve">anticipate</w:t>
            </w:r>
            <w:r>
              <w:t xml:space="preserve"> </w:t>
            </w:r>
            <w:r>
              <w:t xml:space="preserve">,</w:t>
            </w:r>
            <w:r>
              <w:t xml:space="preserve"> </w:t>
            </w:r>
            <w:r>
              <w:t xml:space="preserve">estimate</w:t>
            </w:r>
            <w:r>
              <w:t xml:space="preserve"> </w:t>
            </w:r>
            <w:r>
              <w:t xml:space="preserve">,</w:t>
            </w:r>
            <w:r>
              <w:t xml:space="preserve"> </w:t>
            </w:r>
            <w:r>
              <w:t xml:space="preserve">expect</w:t>
            </w:r>
            <w:r>
              <w:t xml:space="preserve"> </w:t>
            </w:r>
            <w:r>
              <w:t xml:space="preserve">,</w:t>
            </w:r>
            <w:r>
              <w:t xml:space="preserve"> </w:t>
            </w:r>
            <w:r>
              <w:t xml:space="preserve">project</w:t>
            </w:r>
            <w:r>
              <w:t xml:space="preserve"> </w:t>
            </w:r>
            <w:r>
              <w:t xml:space="preserve">,</w:t>
            </w:r>
            <w:r>
              <w:t xml:space="preserve"> </w:t>
            </w:r>
            <w:r>
              <w:t xml:space="preserve">intend</w:t>
            </w:r>
            <w:r>
              <w:t xml:space="preserve"> </w:t>
            </w:r>
            <w:r>
              <w:t xml:space="preserve">,</w:t>
            </w:r>
            <w:r>
              <w:t xml:space="preserve"> </w:t>
            </w:r>
            <w:r>
              <w:t xml:space="preserve">plan</w:t>
            </w:r>
            <w:r>
              <w:t xml:space="preserve"> </w:t>
            </w:r>
            <w:r>
              <w:t xml:space="preserve">,</w:t>
            </w:r>
            <w:r>
              <w:t xml:space="preserve"> </w:t>
            </w:r>
            <w:r>
              <w:t xml:space="preserve">believe</w:t>
            </w:r>
            <w:r>
              <w:t xml:space="preserve"> </w:t>
            </w:r>
            <w:r>
              <w:t xml:space="preserve">, and other words and terms of similar meaning in connection with any discussion of future operating</w:t>
            </w:r>
            <w:r>
              <w:t xml:space="preserve"> </w:t>
            </w:r>
            <w:r>
              <w:t xml:space="preserve">or financial performance. From time to time, we also may provide forward-looking statements in other materials we release to the public.</w:t>
            </w:r>
            <w:r>
              <w:t xml:space="preserve"> </w:t>
            </w:r>
            <w:r>
              <w:t xml:space="preserve">6</w:t>
            </w:r>
            <w:r>
              <w:t xml:space="preserve"> </w:t>
            </w:r>
            <w:r>
              <w:t xml:space="preserve">Overview</w:t>
            </w:r>
            <w:r>
              <w:t xml:space="preserve"> </w:t>
            </w:r>
            <w:r>
              <w:t xml:space="preserve">We are and have since our inception in 2014 been engaged in the business</w:t>
            </w:r>
            <w:r>
              <w:t xml:space="preserve"> </w:t>
            </w:r>
            <w:r>
              <w:t xml:space="preserve">of developing, selling, and marketing products in niche markets within the specialty outdoor products marketplace. We introduced our proprietary</w:t>
            </w:r>
            <w:r>
              <w:t xml:space="preserve"> </w:t>
            </w:r>
            <w:r>
              <w:t xml:space="preserve">“Reel Guard” product in 2014 and continue to offer it for sale. We have postponed the production of our SLINKOR product pending</w:t>
            </w:r>
            <w:r>
              <w:t xml:space="preserve"> </w:t>
            </w:r>
            <w:r>
              <w:t xml:space="preserve">completion of a design change in the composition of the weighting component from lead to another material and the use of molded product</w:t>
            </w:r>
            <w:r>
              <w:t xml:space="preserve"> </w:t>
            </w:r>
            <w:r>
              <w:t xml:space="preserve">components.</w:t>
            </w:r>
            <w:r>
              <w:t xml:space="preserve"> </w:t>
            </w:r>
            <w:r>
              <w:t xml:space="preserve">Our financial statements have been prepared on a going concern basis,</w:t>
            </w:r>
            <w:r>
              <w:t xml:space="preserve"> </w:t>
            </w:r>
            <w:r>
              <w:t xml:space="preserve">which contemplates the realization of assets and the satisfaction of liabilities in the normal course of business. We did not</w:t>
            </w:r>
            <w:r>
              <w:t xml:space="preserve"> </w:t>
            </w:r>
            <w:r>
              <w:t xml:space="preserve">generate sufficient revenue to generate net income, we have negative working capital, and we have a limited operating history. These factors,</w:t>
            </w:r>
            <w:r>
              <w:t xml:space="preserve"> </w:t>
            </w:r>
            <w:r>
              <w:t xml:space="preserve">among others, may indicate that there is substantial doubt that we will be able to continue as a going concern for a reasonable period</w:t>
            </w:r>
            <w:r>
              <w:t xml:space="preserve"> </w:t>
            </w:r>
            <w:r>
              <w:t xml:space="preserve">of time. Our financial statements do not include any adjustments relating to the recoverability and classification of assets and liabilities</w:t>
            </w:r>
            <w:r>
              <w:t xml:space="preserve"> </w:t>
            </w:r>
            <w:r>
              <w:t xml:space="preserve">that might be necessary should we be unable to continue as a going concern. Our continuation as a going concern is dependent upon</w:t>
            </w:r>
            <w:r>
              <w:t xml:space="preserve"> </w:t>
            </w:r>
            <w:r>
              <w:t xml:space="preserve">our ability to generate sufficient cash flow to meet our obligations on a timely basis and ultimately to attain profitability. We</w:t>
            </w:r>
            <w:r>
              <w:t xml:space="preserve"> </w:t>
            </w:r>
            <w:r>
              <w:t xml:space="preserve">intend to seek additional funding, if and to the extent required, through additional stockholder loans and debt or equity offerings. We</w:t>
            </w:r>
            <w:r>
              <w:t xml:space="preserve"> </w:t>
            </w:r>
            <w:r>
              <w:t xml:space="preserve">also intend to increase our sales through the addition of our SLINKOR product if and when its redesign is completed. There is no assurance</w:t>
            </w:r>
            <w:r>
              <w:t xml:space="preserve"> </w:t>
            </w:r>
            <w:r>
              <w:t xml:space="preserve">that we will be successful in raising additional funds or that the SLINKOR product will be successfully redesigned or result in an increase</w:t>
            </w:r>
            <w:r>
              <w:t xml:space="preserve"> </w:t>
            </w:r>
            <w:r>
              <w:t xml:space="preserve">in sales.</w:t>
            </w:r>
            <w:r>
              <w:t xml:space="preserve"> </w:t>
            </w:r>
            <w:r>
              <w:t xml:space="preserve">Results of Operations for the years ended September 30, 2023 and</w:t>
            </w:r>
            <w:r>
              <w:t xml:space="preserve"> </w:t>
            </w:r>
            <w:r>
              <w:t xml:space="preserve">2022</w:t>
            </w:r>
            <w:r>
              <w:t xml:space="preserve"> </w:t>
            </w:r>
            <w:r>
              <w:t xml:space="preserve">Revenues</w:t>
            </w:r>
            <w:r>
              <w:t xml:space="preserve"> </w:t>
            </w:r>
            <w:r>
              <w:t xml:space="preserve">From our inception in 2014 through the present, our revenues have resulted</w:t>
            </w:r>
            <w:r>
              <w:t xml:space="preserve"> </w:t>
            </w:r>
            <w:r>
              <w:t xml:space="preserve">solely from sales of our proprietary Reel Guard product and our costs of sales have also related solely to that product. Our Reel Guard</w:t>
            </w:r>
            <w:r>
              <w:t xml:space="preserve"> </w:t>
            </w:r>
            <w:r>
              <w:t xml:space="preserve">product is offered for sale on our website and on eBay and sales vary from quarter to quarter based on the number of customers that become</w:t>
            </w:r>
            <w:r>
              <w:t xml:space="preserve"> </w:t>
            </w:r>
            <w:r>
              <w:t xml:space="preserve">aware of the product and decide to make a purchase. Total sales for the year ended September 30, 2023, were $546, compared to $302 for</w:t>
            </w:r>
            <w:r>
              <w:t xml:space="preserve"> </w:t>
            </w:r>
            <w:r>
              <w:t xml:space="preserve">the year ended September 30, 2022, an increase of $244, or approximately 81%.</w:t>
            </w:r>
            <w:r>
              <w:t xml:space="preserve"> </w:t>
            </w:r>
            <w:r>
              <w:t xml:space="preserve">Cost of Sales</w:t>
            </w:r>
            <w:r>
              <w:t xml:space="preserve"> </w:t>
            </w:r>
            <w:r>
              <w:t xml:space="preserve">Cost of sales for 2023 was $976, compared to $46 for 2022. Cost of</w:t>
            </w:r>
            <w:r>
              <w:t xml:space="preserve"> </w:t>
            </w:r>
            <w:r>
              <w:t xml:space="preserve">sales for 2023 included an inventory write-down of $961 to adjust the unit cost. Cost of sales without the inventory write-down was $15</w:t>
            </w:r>
            <w:r>
              <w:t xml:space="preserve"> </w:t>
            </w:r>
            <w:r>
              <w:t xml:space="preserve">compared to $46 in 2022, a decrease of $31, or approximately 67%. This decrease is partially attributable to an increase in cost of sales</w:t>
            </w:r>
            <w:r>
              <w:t xml:space="preserve"> </w:t>
            </w:r>
            <w:r>
              <w:t xml:space="preserve">in 2022 as a result of providing sample/promotional Reel Guard products to potential retail outlets without charge, which had the effect</w:t>
            </w:r>
            <w:r>
              <w:t xml:space="preserve"> </w:t>
            </w:r>
            <w:r>
              <w:t xml:space="preserve">of reducing inventory and increasing the cost of sales without generating revenues.</w:t>
            </w:r>
            <w:r>
              <w:t xml:space="preserve"> </w:t>
            </w:r>
            <w:r>
              <w:t xml:space="preserve">General and Administrative Expenses</w:t>
            </w:r>
            <w:r>
              <w:t xml:space="preserve"> </w:t>
            </w:r>
            <w:r>
              <w:t xml:space="preserve">Our general and administrative expenses were $43,118 for 2023, which included</w:t>
            </w:r>
            <w:r>
              <w:t xml:space="preserve"> </w:t>
            </w:r>
            <w:r>
              <w:t xml:space="preserve">legal, accounting, and Edgar filing expenses and the write-down of the Company’s patent in the amount of $4,183. Without the write-down,</w:t>
            </w:r>
            <w:r>
              <w:t xml:space="preserve"> </w:t>
            </w:r>
            <w:r>
              <w:t xml:space="preserve">general and administrative expenses for 2023 were $38,935 as compared to general and administrative expenses of $35,743 for 2022, an increase</w:t>
            </w:r>
            <w:r>
              <w:t xml:space="preserve"> </w:t>
            </w:r>
            <w:r>
              <w:t xml:space="preserve">of $3,192 or approximately 9%. General and administrative expenses for 2022 consisted primarily of legal, accounting, and Edgar filing</w:t>
            </w:r>
            <w:r>
              <w:t xml:space="preserve"> </w:t>
            </w:r>
            <w:r>
              <w:t xml:space="preserve">expenses.</w:t>
            </w:r>
            <w:r>
              <w:t xml:space="preserve"> </w:t>
            </w:r>
            <w:r>
              <w:t xml:space="preserve">Depreciation and Amortization Expense</w:t>
            </w:r>
            <w:r>
              <w:t xml:space="preserve"> </w:t>
            </w:r>
            <w:r>
              <w:t xml:space="preserve">Depreciation and amortization expenses currently are not material to</w:t>
            </w:r>
            <w:r>
              <w:t xml:space="preserve"> </w:t>
            </w:r>
            <w:r>
              <w:t xml:space="preserve">our business. Depreciation expense was $0 for 2023 and 2022. Amortization expense was $408 for 2023 and $409 for 2022, resulting from</w:t>
            </w:r>
            <w:r>
              <w:t xml:space="preserve"> </w:t>
            </w:r>
            <w:r>
              <w:t xml:space="preserve">the amortization of our patent over seventeen years, which is its estimated legal life. As of September 30, 2023, the Company wrote off</w:t>
            </w:r>
            <w:r>
              <w:t xml:space="preserve"> </w:t>
            </w:r>
            <w:r>
              <w:t xml:space="preserve">the remaining net balance on the patent after it was determined an impairment existed in accordance with ASC 360 which requires that a</w:t>
            </w:r>
            <w:r>
              <w:t xml:space="preserve"> </w:t>
            </w:r>
            <w:r>
              <w:t xml:space="preserve">company recognize an impairment loss if, and only if, the carrying amount of a long-lived asset (asset group) is not recoverable from</w:t>
            </w:r>
            <w:r>
              <w:t xml:space="preserve"> </w:t>
            </w:r>
            <w:r>
              <w:t xml:space="preserve">the sum of the undiscounted cash flows expected to result from the use and eventual disposal of the asset.</w:t>
            </w:r>
            <w:r>
              <w:t xml:space="preserve"> </w:t>
            </w:r>
            <w:r>
              <w:t xml:space="preserve">7</w:t>
            </w:r>
            <w:r>
              <w:t xml:space="preserve"> </w:t>
            </w:r>
            <w:r>
              <w:t xml:space="preserve">Research and Development Expenses</w:t>
            </w:r>
            <w:r>
              <w:t xml:space="preserve"> </w:t>
            </w:r>
            <w:r>
              <w:t xml:space="preserve">Research and development expenses are not currently material to our</w:t>
            </w:r>
            <w:r>
              <w:t xml:space="preserve"> </w:t>
            </w:r>
            <w:r>
              <w:t xml:space="preserve">business. We did not incur research and development expenses in either 2023 or 2022.</w:t>
            </w:r>
            <w:r>
              <w:t xml:space="preserve"> </w:t>
            </w:r>
            <w:r>
              <w:t xml:space="preserve">Liquidity and Capital Resources</w:t>
            </w:r>
            <w:r>
              <w:t xml:space="preserve"> </w:t>
            </w:r>
            <w:r>
              <w:t xml:space="preserve">As of September 30, 2023, we had total current assets of $7,281, including</w:t>
            </w:r>
            <w:r>
              <w:t xml:space="preserve"> </w:t>
            </w:r>
            <w:r>
              <w:t xml:space="preserve">cash of $3,162, and current liabilities of $105,682, resulting in a working capital deficit of $98,401. Our current liabilities include</w:t>
            </w:r>
            <w:r>
              <w:t xml:space="preserve"> </w:t>
            </w:r>
            <w:r>
              <w:t xml:space="preserve">an outstanding principal balance of $98,360 and accrued interest of $5,012 under the short-term revolving loan agreements for which the</w:t>
            </w:r>
            <w:r>
              <w:t xml:space="preserve"> </w:t>
            </w:r>
            <w:r>
              <w:t xml:space="preserve">due dates have been extended to December 31, 2024. As of September 30, 2023, we had an accumulated stockholders’ deficit of $202,918.</w:t>
            </w:r>
            <w:r>
              <w:t xml:space="preserve"> </w:t>
            </w:r>
            <w:r>
              <w:t xml:space="preserve">We have financed our operations from sales of our Reel Guard product, proceeds from our 2014 private placement, and proceeds from the</w:t>
            </w:r>
            <w:r>
              <w:t xml:space="preserve"> </w:t>
            </w:r>
            <w:r>
              <w:t xml:space="preserve">revolving loan agreements.</w:t>
            </w:r>
            <w:r>
              <w:t xml:space="preserve"> </w:t>
            </w:r>
            <w:r>
              <w:t xml:space="preserve">For 2023, net cash used by operating activities was $35,670, as a result</w:t>
            </w:r>
            <w:r>
              <w:t xml:space="preserve"> </w:t>
            </w:r>
            <w:r>
              <w:t xml:space="preserve">of a net loss of $46,472, reduced by depreciation and amortization of $408, an impairment loss of $4,183 from the write-down of our patent,</w:t>
            </w:r>
            <w:r>
              <w:t xml:space="preserve"> </w:t>
            </w:r>
            <w:r>
              <w:t xml:space="preserve">a decrease in inventory of $977, an increase in accounts payable of $2,310, and an increase in accrued interest of $2,924. By comparison,</w:t>
            </w:r>
            <w:r>
              <w:t xml:space="preserve"> </w:t>
            </w:r>
            <w:r>
              <w:t xml:space="preserve">for 2022 net cash used by operating activities was $35,446 as a result of a net loss of $37,166, reduced by depreciation and amortization</w:t>
            </w:r>
            <w:r>
              <w:t xml:space="preserve"> </w:t>
            </w:r>
            <w:r>
              <w:t xml:space="preserve">of $409, a decrease in inventory of $46, and an increase in accrued interest of $1,679, and increased by a decrease in accounts payable</w:t>
            </w:r>
            <w:r>
              <w:t xml:space="preserve"> </w:t>
            </w:r>
            <w:r>
              <w:t xml:space="preserve">of $414.</w:t>
            </w:r>
            <w:r>
              <w:t xml:space="preserve"> </w:t>
            </w:r>
            <w:r>
              <w:t xml:space="preserve">In 2023 and 2022, we had no cash flows used in or provided by investing</w:t>
            </w:r>
            <w:r>
              <w:t xml:space="preserve"> </w:t>
            </w:r>
            <w:r>
              <w:t xml:space="preserve">activities.</w:t>
            </w:r>
            <w:r>
              <w:t xml:space="preserve"> </w:t>
            </w:r>
            <w:r>
              <w:t xml:space="preserve">In 2023, we had net cash provided by financing activities of $37,591</w:t>
            </w:r>
            <w:r>
              <w:t xml:space="preserve"> </w:t>
            </w:r>
            <w:r>
              <w:t xml:space="preserve">consisting of the proceeds from the revolving loan agreements, and in 2022 we had net cash provided by financing activities of $30,519,</w:t>
            </w:r>
            <w:r>
              <w:t xml:space="preserve"> </w:t>
            </w:r>
            <w:r>
              <w:t xml:space="preserve">also consisting of the proceeds from the revolving loan agreements.</w:t>
            </w:r>
            <w:r>
              <w:t xml:space="preserve"> </w:t>
            </w:r>
            <w:r>
              <w:t xml:space="preserve">Following our incorporation in 2014,</w:t>
            </w:r>
            <w:r>
              <w:t xml:space="preserve"> </w:t>
            </w:r>
            <w:r>
              <w:t xml:space="preserve">we completed the private placement of 285,714 shares of our common stock to accredited investors in a private placement at a price of</w:t>
            </w:r>
            <w:r>
              <w:t xml:space="preserve"> </w:t>
            </w:r>
            <w:r>
              <w:t xml:space="preserve">$0.35 per share for total proceeds of $100,011. The proceeds from the private placement together with our limited product sales were sufficient</w:t>
            </w:r>
            <w:r>
              <w:t xml:space="preserve"> </w:t>
            </w:r>
            <w:r>
              <w:t xml:space="preserve">to fund our operations through our fiscal year ended September 30, 2020. On January 4, 2021, we entered into a revolving promissory note</w:t>
            </w:r>
            <w:r>
              <w:t xml:space="preserve"> </w:t>
            </w:r>
            <w:r>
              <w:t xml:space="preserve">agreement with our president and principal stockholder that, as amended, provides for total loans of up to $127,500 at an interest rate</w:t>
            </w:r>
            <w:r>
              <w:t xml:space="preserve"> </w:t>
            </w:r>
            <w:r>
              <w:t xml:space="preserve">3.5% per annum, which is repayable on or before December 31, 2024. We received proceeds under the revolving promissory note of $31,478</w:t>
            </w:r>
            <w:r>
              <w:t xml:space="preserve"> </w:t>
            </w:r>
            <w:r>
              <w:t xml:space="preserve">during the year ended September 30, 2023, resulting in principal balances of $83,521 and $52,043, with accrued interest of $4,444 and</w:t>
            </w:r>
            <w:r>
              <w:t xml:space="preserve"> </w:t>
            </w:r>
            <w:r>
              <w:t xml:space="preserve">$1,909, at September 30, 2023 and 2022, respectively</w:t>
            </w:r>
            <w:r>
              <w:t xml:space="preserve"> </w:t>
            </w:r>
            <w:r>
              <w:t xml:space="preserve">.</w:t>
            </w:r>
            <w:r>
              <w:t xml:space="preserve"> </w:t>
            </w:r>
            <w:r>
              <w:t xml:space="preserve">During December 2021, we entered into a revolving</w:t>
            </w:r>
            <w:r>
              <w:t xml:space="preserve"> </w:t>
            </w:r>
            <w:r>
              <w:t xml:space="preserve">promissory note agreement with another principal stockholder that, as amended, provides for loans of up to $22,500 at an interest rate</w:t>
            </w:r>
            <w:r>
              <w:t xml:space="preserve"> </w:t>
            </w:r>
            <w:r>
              <w:t xml:space="preserve">of 3.5% per annum, which is repayable on or before December 31, 2024. We received proceeds under the second revolving promissory note</w:t>
            </w:r>
            <w:r>
              <w:t xml:space="preserve"> </w:t>
            </w:r>
            <w:r>
              <w:t xml:space="preserve">of $6,113 during the year ended September 30, 2023, resulting in principal balances of $14,839 and $8,726, with accrued interest of $568</w:t>
            </w:r>
            <w:r>
              <w:t xml:space="preserve"> </w:t>
            </w:r>
            <w:r>
              <w:t xml:space="preserve">and $179, at September 30, 2023 and 2022, respectively.</w:t>
            </w:r>
            <w:r>
              <w:t xml:space="preserve"> </w:t>
            </w:r>
            <w:r>
              <w:t xml:space="preserve">We believe we have adequate funds to meet our obligations for the next</w:t>
            </w:r>
            <w:r>
              <w:t xml:space="preserve"> </w:t>
            </w:r>
            <w:r>
              <w:t xml:space="preserve">twelve months from our current cash, the revolving note agreements, and projected cash flows from operations. Cash flow from operations</w:t>
            </w:r>
            <w:r>
              <w:t xml:space="preserve"> </w:t>
            </w:r>
            <w:r>
              <w:t xml:space="preserve">has not historically been sufficient to sustain our operations without the above additional sources of capital. Our future working capital</w:t>
            </w:r>
            <w:r>
              <w:t xml:space="preserve"> </w:t>
            </w:r>
            <w:r>
              <w:t xml:space="preserve">requirements will depend on many factors, including the expansion of our product lines to include the new SLINKOR product if it is successfully</w:t>
            </w:r>
            <w:r>
              <w:t xml:space="preserve"> </w:t>
            </w:r>
            <w:r>
              <w:t xml:space="preserve">redesigned. To the extent our cash, cash equivalents, and cash flows from operating activities and the revolving note agreements are insufficient</w:t>
            </w:r>
            <w:r>
              <w:t xml:space="preserve"> </w:t>
            </w:r>
            <w:r>
              <w:t xml:space="preserve">to fund our future activities, we may need to raise additional funds through additional stockholder loans, private equity or debt financing.</w:t>
            </w:r>
            <w:r>
              <w:t xml:space="preserve"> </w:t>
            </w:r>
            <w:r>
              <w:t xml:space="preserve">We also may need to raise additional funds in the event we determine in the future to effect one or more acquisitions of businesses, technologies,</w:t>
            </w:r>
            <w:r>
              <w:t xml:space="preserve"> </w:t>
            </w:r>
            <w:r>
              <w:t xml:space="preserve">or products. If additional funding is required, we may not be able to effect an equity or debt financing on terms acceptable to us or</w:t>
            </w:r>
            <w:r>
              <w:t xml:space="preserve"> </w:t>
            </w:r>
            <w:r>
              <w:t xml:space="preserve">at all.</w:t>
            </w:r>
            <w:r>
              <w:t xml:space="preserve"> </w:t>
            </w:r>
            <w:r>
              <w:t xml:space="preserve">8</w:t>
            </w:r>
            <w:r>
              <w:t xml:space="preserve"> </w:t>
            </w:r>
            <w:r>
              <w:t xml:space="preserve">Requirements</w:t>
            </w:r>
            <w:r>
              <w:t xml:space="preserve"> </w:t>
            </w:r>
            <w:r>
              <w:t xml:space="preserve">The Company currently has no lease obligations or requirements and</w:t>
            </w:r>
            <w:r>
              <w:t xml:space="preserve"> </w:t>
            </w:r>
            <w:r>
              <w:t xml:space="preserve">has not entered into any agreements that require a commitment of cash.</w:t>
            </w:r>
            <w:r>
              <w:t xml:space="preserve"> </w:t>
            </w:r>
            <w:r>
              <w:t xml:space="preserve">Off-Balance Sheet Arrangements</w:t>
            </w:r>
            <w:r>
              <w:t xml:space="preserve"> </w:t>
            </w:r>
            <w:r>
              <w:t xml:space="preserve">As of September 30, 2023 and 2022, we did not have any off-balance</w:t>
            </w:r>
            <w:r>
              <w:t xml:space="preserve"> </w:t>
            </w:r>
            <w:r>
              <w:t xml:space="preserve">sheet financing arrangements.</w:t>
            </w:r>
            <w:r>
              <w:t xml:space="preserve"> </w:t>
            </w:r>
            <w:r>
              <w:t xml:space="preserve">Critical Accounting Policies</w:t>
            </w:r>
            <w:r>
              <w:t xml:space="preserve"> </w:t>
            </w:r>
            <w:r>
              <w:t xml:space="preserve">The preparation of financial statements in conformity with accounting</w:t>
            </w:r>
            <w:r>
              <w:t xml:space="preserve"> </w:t>
            </w:r>
            <w:r>
              <w:t xml:space="preserve">principles generally accepted in the United States requires our management to make assumptions, estimates and judgments that affect the</w:t>
            </w:r>
            <w:r>
              <w:t xml:space="preserve"> </w:t>
            </w:r>
            <w:r>
              <w:t xml:space="preserve">amounts reported in the financial statements, including the notes thereto, and related disclosures of commitments and contingencies, if</w:t>
            </w:r>
            <w:r>
              <w:t xml:space="preserve"> </w:t>
            </w:r>
            <w:r>
              <w:t xml:space="preserve">any. We consider our critical accounting policies to be those that require the more significant judgments and estimates in the preparation</w:t>
            </w:r>
            <w:r>
              <w:t xml:space="preserve"> </w:t>
            </w:r>
            <w:r>
              <w:t xml:space="preserve">of financial statements, including the following:</w:t>
            </w:r>
            <w:r>
              <w:t xml:space="preserve"> </w:t>
            </w:r>
            <w:r>
              <w:t xml:space="preserve">Accounting Estimates</w:t>
            </w:r>
            <w:r>
              <w:t xml:space="preserve"> </w:t>
            </w:r>
            <w:r>
              <w:t xml:space="preserve">The preparation of financial statements in conformity with generally</w:t>
            </w:r>
            <w:r>
              <w:t xml:space="preserve"> </w:t>
            </w:r>
            <w:r>
              <w:t xml:space="preserve">accepted accounting principles in the United States of America requires management to make estimates and assumptions that affect the reported</w:t>
            </w:r>
            <w:r>
              <w:t xml:space="preserve"> </w:t>
            </w:r>
            <w:r>
              <w:t xml:space="preserve">amounts of assets and liabilities and disclosure of contingent assets and liabilities at the date of the financial statements and the</w:t>
            </w:r>
            <w:r>
              <w:t xml:space="preserve"> </w:t>
            </w:r>
            <w:r>
              <w:t xml:space="preserve">reported amounts of revenues and expenses during the reporting period. Actual results could differ from those estimates.</w:t>
            </w:r>
            <w:r>
              <w:t xml:space="preserve"> </w:t>
            </w:r>
            <w:r>
              <w:t xml:space="preserve">Inventories</w:t>
            </w:r>
            <w:r>
              <w:t xml:space="preserve"> </w:t>
            </w:r>
            <w:r>
              <w:t xml:space="preserve">Inventories, consisting primarily of injection molded Reel Guards and</w:t>
            </w:r>
            <w:r>
              <w:t xml:space="preserve"> </w:t>
            </w:r>
            <w:r>
              <w:t xml:space="preserve">Adhesive Strips, are stated at the lower of cost or net realizable value, with cost determined using primarily the first-in-first-out</w:t>
            </w:r>
            <w:r>
              <w:t xml:space="preserve"> </w:t>
            </w:r>
            <w:r>
              <w:t xml:space="preserve">(FIFO) method. The Company purchased substantially all inventories from one supplier and has been dependent on this supplier for</w:t>
            </w:r>
            <w:r>
              <w:t xml:space="preserve"> </w:t>
            </w:r>
            <w:r>
              <w:t xml:space="preserve">all inventory purchases since we commenced operations. The Company has $1,065 and $2,042 in finished goods and $2,596 and $2,596 in raw</w:t>
            </w:r>
            <w:r>
              <w:t xml:space="preserve"> </w:t>
            </w:r>
            <w:r>
              <w:t xml:space="preserve">materials at September 30, 2023 and 2022, respectively.</w:t>
            </w:r>
            <w:r>
              <w:t xml:space="preserve"> </w:t>
            </w:r>
            <w:r>
              <w:t xml:space="preserve">Patents</w:t>
            </w:r>
            <w:r>
              <w:t xml:space="preserve"> </w:t>
            </w:r>
            <w:r>
              <w:t xml:space="preserve">Patents consist of the cost of obtaining the patent for the Reel Guard.</w:t>
            </w:r>
            <w:r>
              <w:t xml:space="preserve"> </w:t>
            </w:r>
            <w:r>
              <w:t xml:space="preserve">Our patents are amortized over their legal life (typically 17 years) and analyzed periodically for impairment in accordance with ASC 360,</w:t>
            </w:r>
            <w:r>
              <w:t xml:space="preserve"> </w:t>
            </w:r>
            <w:r>
              <w:t xml:space="preserve">Impairment and Disposal of Long Lived Assets. As of September 30, 2023, the Company wrote off the remaining net balance on the patent</w:t>
            </w:r>
            <w:r>
              <w:t xml:space="preserve"> </w:t>
            </w:r>
            <w:r>
              <w:t xml:space="preserve">after it was determined an impairment existed in accordance with ASC 360 which requires that a company recognize an impairment loss if,</w:t>
            </w:r>
            <w:r>
              <w:t xml:space="preserve"> </w:t>
            </w:r>
            <w:r>
              <w:t xml:space="preserve">and only if, the carrying amount of a long-lived asset (asset group) is not recoverable from the sum of the undiscounted cash flows expected</w:t>
            </w:r>
            <w:r>
              <w:t xml:space="preserve"> </w:t>
            </w:r>
            <w:r>
              <w:t xml:space="preserve">to result from the use and eventual disposal of the asset.</w:t>
            </w:r>
            <w:r>
              <w:t xml:space="preserve"> </w:t>
            </w:r>
            <w:r>
              <w:t xml:space="preserve">Revenue Recognition</w:t>
            </w:r>
            <w:r>
              <w:t xml:space="preserve"> </w:t>
            </w:r>
            <w:r>
              <w:t xml:space="preserve">When the Company sells a reel protector, it recognizes revenue in accordance</w:t>
            </w:r>
            <w:r>
              <w:t xml:space="preserve"> </w:t>
            </w:r>
            <w:r>
              <w:t xml:space="preserve">with ASC 606, Revenue from Contracts with Customers. Under ASC 606, the Company recognizes revenue upon the transfer of promised goods</w:t>
            </w:r>
            <w:r>
              <w:t xml:space="preserve"> </w:t>
            </w:r>
            <w:r>
              <w:t xml:space="preserve">to customers in amounts that reflect the consideration to which the Company expects to be entitled. The Company considers revenue earned</w:t>
            </w:r>
            <w:r>
              <w:t xml:space="preserve"> </w:t>
            </w:r>
            <w:r>
              <w:t xml:space="preserve">when all the following criteria are met: (i) the contract with the customer has been identified, (ii) the performance obligations have</w:t>
            </w:r>
            <w:r>
              <w:t xml:space="preserve"> </w:t>
            </w:r>
            <w:r>
              <w:t xml:space="preserve">been identified, (iii) the transaction price has been determined, (iv) the transaction price has been allocated to the performance obligations,</w:t>
            </w:r>
            <w:r>
              <w:t xml:space="preserve"> </w:t>
            </w:r>
            <w:r>
              <w:t xml:space="preserve">and (v) the performance obligations have been satisfied. The Company earned $546 and $302 in revenue during the years ended September</w:t>
            </w:r>
            <w:r>
              <w:t xml:space="preserve"> </w:t>
            </w:r>
            <w:r>
              <w:t xml:space="preserve">30, 2023 and 2022, respectively.</w:t>
            </w:r>
            <w:r>
              <w:t xml:space="preserve"> </w:t>
            </w:r>
            <w:r>
              <w:t xml:space="preserve">9</w:t>
            </w:r>
            <w:r>
              <w:t xml:space="preserve"> </w:t>
            </w:r>
            <w:r>
              <w:t xml:space="preserve">Recently Enacted Pronouncements</w:t>
            </w:r>
            <w:r>
              <w:t xml:space="preserve"> </w:t>
            </w:r>
            <w:r>
              <w:t xml:space="preserve">The Company has reviewed all recently issued, but not yet adopted,</w:t>
            </w:r>
            <w:r>
              <w:t xml:space="preserve"> </w:t>
            </w:r>
            <w:r>
              <w:t xml:space="preserve">accounting standards in order to determine their effects, if any, on its results of operation, financial position or cash flows.</w:t>
            </w:r>
            <w:r>
              <w:t xml:space="preserve"> </w:t>
            </w:r>
            <w:r>
              <w:t xml:space="preserve">Based on that review, the Company believes that none of these pronouncements will have a significant effect on its current or future earnings</w:t>
            </w:r>
            <w:r>
              <w:t xml:space="preserve"> </w:t>
            </w:r>
            <w:r>
              <w:t xml:space="preserve">or operations.</w:t>
            </w:r>
          </w:p>
        </w:tc>
        <w:tc>
          <w:tcPr/>
          <w:p>
            <w:pPr>
              <w:pStyle w:val="Compact"/>
            </w:pPr>
            <w:r>
              <w:t xml:space="preserve">17531</w:t>
            </w:r>
          </w:p>
        </w:tc>
        <w:tc>
          <w:tcPr/>
          <w:p>
            <w:pPr>
              <w:pStyle w:val="Compact"/>
            </w:pPr>
            <w:r>
              <w:t xml:space="preserve">0</w:t>
            </w:r>
          </w:p>
        </w:tc>
        <w:tc>
          <w:tcPr/>
          <w:p>
            <w:pPr>
              <w:pStyle w:val="Compact"/>
            </w:pPr>
            <w:r>
              <w:t xml:space="preserve">13426</w:t>
            </w:r>
          </w:p>
        </w:tc>
        <w:tc>
          <w:tcPr/>
          <w:p>
            <w:pPr>
              <w:pStyle w:val="Compact"/>
            </w:pPr>
            <w:r>
              <w:t xml:space="preserve">False</w:t>
            </w:r>
          </w:p>
        </w:tc>
        <w:tc>
          <w:tcPr/>
          <w:p>
            <w:pPr>
              <w:pStyle w:val="Compact"/>
            </w:pPr>
            <w:r>
              <w:t xml:space="preserve">True</w:t>
            </w:r>
          </w:p>
        </w:tc>
        <w:tc>
          <w:tcPr/>
          <w:p>
            <w:pPr>
              <w:pStyle w:val="Compact"/>
            </w:pPr>
            <w:r>
              <w:t xml:space="preserve">False</w:t>
            </w:r>
          </w:p>
        </w:tc>
        <w:tc>
          <w:tcPr/>
          <w:p>
            <w:pPr>
              <w:pStyle w:val="Compact"/>
            </w:pPr>
            <w:r>
              <w:t xml:space="preserve">recheck</w:t>
            </w:r>
          </w:p>
        </w:tc>
        <w:tc>
          <w:tcPr/>
          <w:p>
            <w:pPr>
              <w:pStyle w:val="Compact"/>
            </w:pPr>
            <w:r>
              <w:t xml:space="preserve">None</w:t>
            </w:r>
          </w:p>
        </w:tc>
      </w:tr>
      <w:tr>
        <w:tc>
          <w:tcPr/>
          <w:p>
            <w:pPr>
              <w:pStyle w:val="Compact"/>
            </w:pPr>
            <w:r>
              <w:t xml:space="preserve">20240104_10-K_edgar_data_1029744_0001437749-24-000616.html</w:t>
            </w:r>
          </w:p>
        </w:tc>
        <w:tc>
          <w:tcPr/>
          <w:p>
            <w:pPr>
              <w:pStyle w:val="Compact"/>
            </w:pPr>
            <w:r>
              <w:t xml:space="preserve">..\data\SEC-10K-2024-HTML\20240104_10-K_edgar_data_1029744_0001437749-24-000616.html</w:t>
            </w:r>
          </w:p>
        </w:tc>
        <w:tc>
          <w:tcPr/>
          <w:p>
            <w:pPr>
              <w:pStyle w:val="Compact"/>
            </w:pPr>
            <w:r>
              <w:t xml:space="preserve">2262400</w:t>
            </w:r>
          </w:p>
        </w:tc>
        <w:tc>
          <w:tcPr/>
          <w:p>
            <w:pPr>
              <w:pStyle w:val="Compact"/>
            </w:pPr>
            <w:r>
              <w:t xml:space="preserve">ITEM</w:t>
            </w:r>
            <w:r>
              <w:t xml:space="preserve"> </w:t>
            </w:r>
            <w:r>
              <w:t xml:space="preserve">1. BUSINESS</w:t>
            </w:r>
            <w:r>
              <w:t xml:space="preserve"> </w:t>
            </w:r>
            <w:r>
              <w:t xml:space="preserve">Who We Are</w:t>
            </w:r>
            <w:r>
              <w:t xml:space="preserve"> </w:t>
            </w:r>
            <w:r>
              <w:t xml:space="preserve">Sonic Foundry, Inc. (NASDAQ: SOFO) is dedicated to transforming how the world works and learns through innovative and scalable technology solutions. We help customers maximize the value of their video initiatives and infrastructure while leveraging our expertise and global footprint to help unlock a smarter, more connected world for learners, workers, and entrepreneurs everywhere. Sonic Foundry’s family of brands includes Mediasite®, Video Solutions, Vidable® and Global Learning ExchangeTM, which are trusted by thousands of educational institutions, students, corporations, and health care organizations in dozens of countries around the world.</w:t>
            </w:r>
            <w:r>
              <w:t xml:space="preserve"> </w:t>
            </w:r>
            <w:r>
              <w:t xml:space="preserve">Founded in 1991, Sonic Foundry, Inc. was incorporated in Wisconsin in March 1994 and merged into a Maryland corporation of the same name in October 1996. Our executive offices are located at 222 West Washington Ave., Madison, Wisconsin 53703 and our telephone number is (608) 443-1600. Our Sonic Foundry International B.V. ("Sonic Foundry International") (formerly Media Mission B.V.) office is located in the Netherlands, and our Mediasite K.K. ("Mediasite KK" or "MSKK") office is located in Japan. Our corporate website is www.sonicfoundry.com. In the “Investors” section of our website we make available, free of charge, our annual report on Form 10-K, quarterly reports on Form 10-Q, current reports on Form 8-K and amendments to reports required to be filed pursuant to Sections 13(a) and 15(d) of the Securities Exchange Act of 1934, as soon as reasonably practicable after the filing of such reports with the Securities and Exchange Commission.</w:t>
            </w:r>
            <w:r>
              <w:t xml:space="preserve"> </w:t>
            </w:r>
            <w:r>
              <w:t xml:space="preserve">On January 2, 2024 the Company entered into a Stock and Asset Purchase Agreement (the “Purchase Agreement”) to sell its Mediasite product and service business (the “Mediasite Asset Sale”) to Enghouse Systems Ltd. and certain of its subsidiaries (collectively, the “Buyer”). Under the terms of the Purchase Agreement, Sonic Foundry will sell the assets of its Mediasite business including its Sonic Foundry International and MSKK subsidiaries for US $15.5 million in cash (subject to certain price adjustments set forth in the Purchase Agreement). Closing of the transaction is subject to approval by the holders of at least two-thirds of the outstanding shares of common stock, as well as a number of other customary closing conditions. In connection with the execution of the Purchase Agreement, solely in their respective capacities as stockholders of the Company, each of our executive officers and directors and one other significant stockholder who beneficially owns greater than 5% of the Company’s outstanding common has executed and delivered a Support Agreement pursuant to which, among other things, each such stockholder has agreed, subject to the terms of such Support Agreement, to vote all shares of common stock beneficially owned by such stockholder in favor of the approval of the Purchase Agreement and the Mediasite Asset Sale. Upon the closing of the transaction, our business will consist solely of our Vidable® and Global Learning ExchangeTM businesses. The information in this report does not give effect to the proposed transaction.</w:t>
            </w:r>
            <w:r>
              <w:t xml:space="preserve"> </w:t>
            </w:r>
            <w:r>
              <w:t xml:space="preserve">4</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Our Solutions Address Today's Communication and Education Challenges</w:t>
            </w:r>
            <w:r>
              <w:t xml:space="preserve"> </w:t>
            </w:r>
            <w:r>
              <w:t xml:space="preserve">In this digital-first world, video adoption and utilization are at the core of every in person and remote working or learning environment, helping to facilitate communication and collaboration.With Sonic Foundry’s 30-year reputation as a leader in video technology and deep relationships in higher education, the Company is well-positioned to capitalize on the fundamental needs for rapid and remote communication in the workplace and classroom. Sonic Foundry’s products and services help customers efficiently and cost-effectively address the challenge of sharing information whenever and wherever content is consumed.</w:t>
            </w:r>
            <w:r>
              <w:t xml:space="preserve"> </w:t>
            </w:r>
            <w:r>
              <w:t xml:space="preserve">Our Brands</w:t>
            </w:r>
            <w:r>
              <w:t xml:space="preserve"> </w:t>
            </w:r>
            <w:r>
              <w:t xml:space="preserve">Mediasite</w:t>
            </w:r>
            <w:r>
              <w:t xml:space="preserve"> </w:t>
            </w:r>
            <w:r>
              <w:t xml:space="preserve">Video Capture Solutions (Hardware)</w:t>
            </w:r>
            <w:r>
              <w:t xml:space="preserve"> </w:t>
            </w:r>
            <w:r>
              <w:t xml:space="preserve">Mediasite® is an integrated and scalable video management platform that quickly and cost-effectively automates the capture, management, and distribution of live and on-demand video content. Ideal for a wide spectrum of use cases from higher education classrooms, virtual lab experiences to corporate townhalls and online training modules, Mediasite is used by over 1,500 educational institutions, corporations, health organizations and government entities globally.</w:t>
            </w:r>
            <w:r>
              <w:t xml:space="preserve"> </w:t>
            </w:r>
            <w:r>
              <w:t xml:space="preserve">Mediasite provides the following primary flexible hardware and software solutions to record and upload any video-based content from anywhere, automatically:</w:t>
            </w:r>
            <w:r>
              <w:t xml:space="preserve"> </w:t>
            </w:r>
            <w:r>
              <w:t xml:space="preserve">•</w:t>
            </w:r>
            <w:r>
              <w:t xml:space="preserve"> </w:t>
            </w:r>
            <w:r>
              <w:t xml:space="preserve">Mediasite Recorder and Recorder Pro</w:t>
            </w:r>
            <w:r>
              <w:t xml:space="preserve"> </w:t>
            </w:r>
            <w:r>
              <w:t xml:space="preserve">: The Recorder and Recorder Pro are built-in room appliances that use schedule-based capture and advanced audio/video integration to fully automate high-quality video and content recording in lecture halls, training rooms, simulation labs and auditoriums. The room can be scheduled to automatically record and publish to Mediasite, so instructors and speakers can focus on teaching and presenting, free from technological worries and confident that everything said and presented is being captured.</w:t>
            </w:r>
            <w:r>
              <w:t xml:space="preserve"> </w:t>
            </w:r>
            <w:r>
              <w:t xml:space="preserve">5</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w:t>
            </w:r>
            <w:r>
              <w:t xml:space="preserve"> </w:t>
            </w:r>
            <w:r>
              <w:t xml:space="preserve">Mediasite Mobile Recorders</w:t>
            </w:r>
            <w:r>
              <w:t xml:space="preserve"> </w:t>
            </w:r>
            <w:r>
              <w:t xml:space="preserve">: The Mobile Recorder is a portable recording device used to capture and stream broadcast-quality video from any environment when portability is key. Designed for on-the-go webcasting, hybrid events, guest speakers and conferences, the lightweight design moves easily from location to location and can be set up and ready to record in only a few minutes.</w:t>
            </w:r>
            <w:r>
              <w:t xml:space="preserve"> </w:t>
            </w:r>
            <w:r>
              <w:t xml:space="preserve">Video Capture Solutions (Software)</w:t>
            </w:r>
            <w:r>
              <w:t xml:space="preserve"> </w:t>
            </w:r>
            <w:r>
              <w:t xml:space="preserve">•</w:t>
            </w:r>
            <w:r>
              <w:t xml:space="preserve"> </w:t>
            </w:r>
            <w:r>
              <w:t xml:space="preserve">Mediasite Mosaic &amp; Mosaic Pro</w:t>
            </w:r>
            <w:r>
              <w:t xml:space="preserve"> </w:t>
            </w:r>
            <w:r>
              <w:t xml:space="preserve">: Mosaic allows instructors, employees, and students to create high quality videos, screencasts and slideshows from their computers or mobile devices with just one click. From demos and video training to flipped classes, lectures and assignments, everything needed to record, upload, manage and publish personal videos is in one simple-to-use tool, requiring no professional video skills. Mosaic Pro extends those desktop software capabilities to multi-use PC’s commonly used in classrooms and training rooms by adding full automation workflows and administrative controls that allow presenters to effortlessly publish video content from shared learning spaces.</w:t>
            </w:r>
            <w:r>
              <w:t xml:space="preserve"> </w:t>
            </w:r>
            <w:r>
              <w:t xml:space="preserve">•Mediasite Capture</w:t>
            </w:r>
            <w:r>
              <w:t xml:space="preserve"> </w:t>
            </w:r>
            <w:r>
              <w:t xml:space="preserve">: Released in 2023, Mediasite Capture is a simple, browser-based recording application that provides users a quick, intuitive way to record their camera, microphone, and desktop to create high quality, rich media presentations independent of a desktop-based application.</w:t>
            </w:r>
            <w:r>
              <w:t xml:space="preserve"> </w:t>
            </w:r>
            <w:r>
              <w:t xml:space="preserve">Video is a critical communication and learning tool that has become part of everyday life for businesses and consumers. As part of Sonic Foundry’s end-to-end video solutions, Mediasite video management and delivery solutions ensure the rapid and efficient delivery of recorded and live content.</w:t>
            </w:r>
            <w:r>
              <w:t xml:space="preserve"> </w:t>
            </w:r>
            <w:r>
              <w:t xml:space="preserve">Video Management and Delivery Solutions</w:t>
            </w:r>
            <w:r>
              <w:t xml:space="preserve"> </w:t>
            </w:r>
            <w:r>
              <w:t xml:space="preserve">Mediasite is a scalable, reliable, and secure solution to manage, search, analyze, publish, and stream video content. With Mediasite, government, businesses, and educational institutions can:</w:t>
            </w:r>
            <w:r>
              <w:t xml:space="preserve"> </w:t>
            </w:r>
            <w:r>
              <w:t xml:space="preserve">•</w:t>
            </w:r>
            <w:r>
              <w:t xml:space="preserve"> </w:t>
            </w:r>
            <w:r>
              <w:t xml:space="preserve">Automatically publish video</w:t>
            </w:r>
            <w:r>
              <w:t xml:space="preserve"> </w:t>
            </w:r>
            <w:r>
              <w:t xml:space="preserve">to a learning management system (LMS), content management system (CMS), training portal or any website</w:t>
            </w:r>
            <w:r>
              <w:t xml:space="preserve"> </w:t>
            </w:r>
            <w:r>
              <w:t xml:space="preserve">•</w:t>
            </w:r>
            <w:r>
              <w:t xml:space="preserve"> </w:t>
            </w:r>
            <w:r>
              <w:t xml:space="preserve">Centrally manage</w:t>
            </w:r>
            <w:r>
              <w:t xml:space="preserve"> </w:t>
            </w:r>
            <w:r>
              <w:t xml:space="preserve">and secure any video</w:t>
            </w:r>
            <w:r>
              <w:t xml:space="preserve"> </w:t>
            </w:r>
            <w:r>
              <w:t xml:space="preserve">•</w:t>
            </w:r>
            <w:r>
              <w:t xml:space="preserve"> </w:t>
            </w:r>
            <w:r>
              <w:t xml:space="preserve">Create an enterprise or campus YouTube channel</w:t>
            </w:r>
            <w:r>
              <w:t xml:space="preserve"> </w:t>
            </w:r>
            <w:r>
              <w:t xml:space="preserve">•</w:t>
            </w:r>
            <w:r>
              <w:t xml:space="preserve"> </w:t>
            </w:r>
            <w:r>
              <w:t xml:space="preserve">Deepen engagement</w:t>
            </w:r>
            <w:r>
              <w:t xml:space="preserve"> </w:t>
            </w:r>
            <w:r>
              <w:t xml:space="preserve">and improve learning with quizzing, annotations, comments, polls, surveys and other interactive tools</w:t>
            </w:r>
            <w:r>
              <w:t xml:space="preserve"> </w:t>
            </w:r>
            <w:r>
              <w:t xml:space="preserve">•</w:t>
            </w:r>
            <w:r>
              <w:t xml:space="preserve"> </w:t>
            </w:r>
            <w:r>
              <w:t xml:space="preserve">Analyze viewing metrics</w:t>
            </w:r>
            <w:r>
              <w:t xml:space="preserve"> </w:t>
            </w:r>
            <w:r>
              <w:t xml:space="preserve">to measure learner engagement and outcomes</w:t>
            </w:r>
            <w:r>
              <w:t xml:space="preserve"> </w:t>
            </w:r>
            <w:r>
              <w:t xml:space="preserve">•</w:t>
            </w:r>
            <w:r>
              <w:t xml:space="preserve"> </w:t>
            </w:r>
            <w:r>
              <w:t xml:space="preserve">Search everything</w:t>
            </w:r>
            <w:r>
              <w:t xml:space="preserve"> </w:t>
            </w:r>
            <w:r>
              <w:t xml:space="preserve">with fully indexed audio, video and slide content</w:t>
            </w:r>
            <w:r>
              <w:t xml:space="preserve"> </w:t>
            </w:r>
            <w:r>
              <w:t xml:space="preserve">•</w:t>
            </w:r>
            <w:r>
              <w:t xml:space="preserve"> </w:t>
            </w:r>
            <w:r>
              <w:t xml:space="preserve">Stream live and on-demand</w:t>
            </w:r>
            <w:r>
              <w:t xml:space="preserve"> </w:t>
            </w:r>
            <w:r>
              <w:t xml:space="preserve">video to any device</w:t>
            </w:r>
            <w:r>
              <w:t xml:space="preserve"> </w:t>
            </w:r>
            <w:r>
              <w:t xml:space="preserve">Mediasite On-Premises or Mediasite Cloud</w:t>
            </w:r>
            <w:r>
              <w:t xml:space="preserve"> </w:t>
            </w:r>
            <w:r>
              <w:t xml:space="preserve">Mediasite is available as either an on-premises license or as a SaaS (Software as a Service) offering within our Mediasite Cloud. Customers can conveniently host and manage all their content with Mediasite Cloud, or use it as needed for large events to divert heavy viewing traffic from their on-premises Mediasite deployment. In 2020, the Company made an investment in a new dual redundant, high availability data center in the United Kingdom, which went online at the end of September 2020. The Company also upgraded its existing US data centers, which went online during the first calendar quarter of 2021 and in fiscal 2023 through early fiscal 2024 we are transitioning to a public cloud environment.</w:t>
            </w:r>
            <w:r>
              <w:t xml:space="preserve"> </w:t>
            </w:r>
            <w:r>
              <w:t xml:space="preserve">6</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Vidable</w:t>
            </w:r>
            <w:r>
              <w:t xml:space="preserve"> </w:t>
            </w:r>
            <w:r>
              <w:t xml:space="preserve">®</w:t>
            </w:r>
            <w:r>
              <w:t xml:space="preserve"> </w:t>
            </w:r>
            <w:r>
              <w:t xml:space="preserve">Vidable® is an AI powered solution that turns an organization’s video libraries into dynamic knowledge bases. Vidable is an integrated AI solution with 3 powerful features:</w:t>
            </w:r>
            <w:r>
              <w:t xml:space="preserve"> </w:t>
            </w:r>
            <w:r>
              <w:t xml:space="preserve">Vidable Assistant</w:t>
            </w:r>
            <w:r>
              <w:t xml:space="preserve"> </w:t>
            </w:r>
            <w:r>
              <w:t xml:space="preserve">which applies real-time search and content generation capabilities to single videos or entire libraries of video allowing users to quickly locate the content they need and create derivative content from any video.</w:t>
            </w:r>
            <w:r>
              <w:t xml:space="preserve"> </w:t>
            </w:r>
            <w:r>
              <w:t xml:space="preserve">Vidable Insights</w:t>
            </w:r>
            <w:r>
              <w:t xml:space="preserve"> </w:t>
            </w:r>
            <w:r>
              <w:t xml:space="preserve">is a video analytics tool that organizes video library data and delivers custom analytics through a customizable dashboard.</w:t>
            </w:r>
            <w:r>
              <w:t xml:space="preserve"> </w:t>
            </w:r>
            <w:r>
              <w:t xml:space="preserve">Vidable Transformations</w:t>
            </w:r>
            <w:r>
              <w:t xml:space="preserve"> </w:t>
            </w:r>
            <w:r>
              <w:t xml:space="preserve">is a set of AI tools used to enhance video content through automated workflow which improves production quality, accessibility and searchability of video. Vidable is delivered as a standalone platform or through integrations with Mediasite and other video platforms.</w:t>
            </w:r>
            <w:r>
              <w:t xml:space="preserve"> </w:t>
            </w:r>
            <w:r>
              <w:t xml:space="preserve">Global Learning Exchange</w:t>
            </w:r>
            <w:r>
              <w:t xml:space="preserve"> </w:t>
            </w:r>
            <w:r>
              <w:t xml:space="preserve">TM</w:t>
            </w:r>
            <w:r>
              <w:t xml:space="preserve"> </w:t>
            </w:r>
            <w:r>
              <w:t xml:space="preserve">Global Learning ExchangeTM (GLX) provides students in emerging countries access to higher education in a flexible, cost effective, locally supported environment. GLX offers coursework, degree programs and certifications through partnerships with 7 US and EU Universities and 2 skill-based certification providers.</w:t>
            </w:r>
            <w:r>
              <w:t xml:space="preserve"> </w:t>
            </w:r>
            <w:r>
              <w:t xml:space="preserve">The Global Learning Exchange opened its first GLX Hub in Nassau, Bahamas in July 2022 and has since opened Hubs in Abuja and Benin City, Nigeria and Johannesburg, South Africa. GLX Hubs are used as enrollment and admissions centers and act as support centers where enrolled students can study, network with other students, obtain Wi-Fi access and other technological resources, and receive educational and career support from local Hub advisors.</w:t>
            </w:r>
            <w:r>
              <w:t xml:space="preserve"> </w:t>
            </w:r>
            <w:r>
              <w:t xml:space="preserve">7</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Video Solutions</w:t>
            </w:r>
            <w:r>
              <w:t xml:space="preserve"> </w:t>
            </w:r>
            <w:r>
              <w:t xml:space="preserve">Video Solutions specializes in comprehensive video services and is organized around a simple value proposition: Making video easy. Video Solutions technicians and project managers have decades of experience planning, managing, and executing video initiatives for event organizers and enterprise organizations around the world. Video Solutions plugs into organizations as needed – providing self-service tools or full-service offerings supported by expert technicians and project managers. From organizing video capture and distribution for an in person, live or hybrid event, to migrating an existing video content library to the cloud to planning and executing an organization's video strategy from start to finish, Video Solutions is a full service offering that is customized specifically to an organization’s needs and objectives.</w:t>
            </w:r>
            <w:r>
              <w:t xml:space="preserve"> </w:t>
            </w:r>
            <w:r>
              <w:t xml:space="preserve">Mediasite Professional Services</w:t>
            </w:r>
            <w:r>
              <w:t xml:space="preserve"> </w:t>
            </w:r>
            <w:r>
              <w:t xml:space="preserve">Customers can maximize the value of their Mediasite instance and their video library with additional Mediasite Professional Services including integration services, installation assistance, custom development, training, cloud migration support and monitoring services. The majority of professional services are completed remotely, allowing for uninterrupted year-round professional services support for new users and existing customers.</w:t>
            </w:r>
            <w:r>
              <w:t xml:space="preserve"> </w:t>
            </w:r>
            <w:r>
              <w:t xml:space="preserve">Mediasite Customer Care</w:t>
            </w:r>
            <w:r>
              <w:t xml:space="preserve"> </w:t>
            </w:r>
            <w:r>
              <w:t xml:space="preserve">Mediasite Customer Care plans include software upgrades for Mediasite and Mediasite capture solutions, technical support, warranty extensions and advanced replacement on hardware, as well as access to the Mediasite Community and other online resources. Nearly all our customers purchase a Customer Care plan when they purchase Mediasite or a Mediasite capture solutions. Annual service contracts for Mediasite Cloud include a standard Customer Care plan.</w:t>
            </w:r>
            <w:r>
              <w:t xml:space="preserve"> </w:t>
            </w:r>
            <w:r>
              <w:t xml:space="preserve">8</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Segment Information</w:t>
            </w:r>
            <w:r>
              <w:t xml:space="preserve"> </w:t>
            </w:r>
            <w:r>
              <w:t xml:space="preserve">In accordance with the Financial Accounting Standards Board (“FASB”) Accounting Standards Codification (“ASC”) 280-10,</w:t>
            </w:r>
            <w:r>
              <w:t xml:space="preserve"> </w:t>
            </w:r>
            <w:r>
              <w:t xml:space="preserve">Segment Reporting</w:t>
            </w:r>
            <w:r>
              <w:t xml:space="preserve"> </w:t>
            </w:r>
            <w:r>
              <w:t xml:space="preserve">, the Company has three operating segments; however, these segments meet the criteria for aggregation for reporting purposes as one reporting segment as of fiscal years ended September 30, 2023 and 2022.</w:t>
            </w:r>
            <w:r>
              <w:t xml:space="preserve"> </w:t>
            </w:r>
            <w:r>
              <w:t xml:space="preserve">Billings</w:t>
            </w:r>
            <w:r>
              <w:t xml:space="preserve"> </w:t>
            </w:r>
            <w:r>
              <w:t xml:space="preserve">Our services are typically billed and collected in advance of providing the service. Billings, which are a non-GAAP measure, are an important indicator of customer activity and cash flow, in addition to revenue, and is therefore used by management as a key operational indicator. Billings are computed by combining revenue with the change in unearned revenue.</w:t>
            </w:r>
            <w:r>
              <w:t xml:space="preserve"> </w:t>
            </w:r>
            <w:r>
              <w:t xml:space="preserve">Our largest individual customers can be either value added resellers (“VARs”) or end users in the case of large higher education institutions. No single customer represented over 10% of billings or revenue in 2023 or 2022.</w:t>
            </w:r>
            <w:r>
              <w:t xml:space="preserve"> </w:t>
            </w:r>
            <w:r>
              <w:t xml:space="preserve">Sales</w:t>
            </w:r>
            <w:r>
              <w:t xml:space="preserve"> </w:t>
            </w:r>
            <w:r>
              <w:t xml:space="preserve">We sell and market our offerings through a sales force that manages a channel of value-added resellers, system integrators, and consultants. These third-party representatives specialize in understanding both audio/video systems and IT networking. We also sell to over 200 resellers, and over 1,150 total end users.</w:t>
            </w:r>
            <w:r>
              <w:t xml:space="preserve"> </w:t>
            </w:r>
            <w:r>
              <w:t xml:space="preserve">Our GLX business sells directly to students.</w:t>
            </w:r>
            <w:r>
              <w:t xml:space="preserve"> </w:t>
            </w:r>
            <w:r>
              <w:t xml:space="preserve">Market expansion:</w:t>
            </w:r>
            <w:r>
              <w:t xml:space="preserve"> </w:t>
            </w:r>
            <w:r>
              <w:t xml:space="preserve">Historically, over two-thirds of our revenue has been realized from the education market. However, we have recently diversified our customer base due to the rapid adoption of video across verticals.</w:t>
            </w:r>
            <w:r>
              <w:t xml:space="preserve"> </w:t>
            </w:r>
            <w:r>
              <w:t xml:space="preserve">In recent years, the Company has made extensive investments in our cloud infrastructure which has resulted in an increase in multi-year agreements and the growth of annual recurring revenue as customers have migrated to our cloud environment.</w:t>
            </w:r>
            <w:r>
              <w:t xml:space="preserve"> </w:t>
            </w:r>
            <w:r>
              <w:t xml:space="preserve">Additionally, the company has diversified its core offerings through the launch of Vidable® and Global Learning ExchangeTM which has expanded the Company into new and adjacent markets where we have the opportunity to expand and leverage relationships with existing education and enterprise customers.</w:t>
            </w:r>
            <w:r>
              <w:t xml:space="preserve"> </w:t>
            </w:r>
            <w:r>
              <w:t xml:space="preserve">Operations</w:t>
            </w:r>
            <w:r>
              <w:t xml:space="preserve"> </w:t>
            </w:r>
            <w:r>
              <w:t xml:space="preserve">We do not own or operate any manufacturing facilities. Instead, we contract with a third party to build the hardware for our Mediasite Recorders and purchase quantities sufficient to fill specific customer orders, including purchases of inventory by resellers. Quantities are maintained in inventory by the third-party provider and shipped directly to the end customer or reseller. The hardware manufacturer provides a limited one-year warranty on the hardware, which is passed on to our customers who purchase a Mediasite Customer Care support and maintenance plan. While we have long-standing relationships with our contract manufacturer, there are other manufacturing alternatives if needed.</w:t>
            </w:r>
            <w:r>
              <w:t xml:space="preserve"> </w:t>
            </w:r>
            <w:r>
              <w:t xml:space="preserve">9</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Research and Development</w:t>
            </w:r>
            <w:r>
              <w:t xml:space="preserve"> </w:t>
            </w:r>
            <w:r>
              <w:t xml:space="preserve">We believe that our future success will depend on our ability to deepen our relationship with current customers and attract new customers by offering a compelling value proposition that enhances their workplace and business objectives. Accordingly, we invest a significant amount of our resources in research and development activities, with a particular focus on our SaaS offerings. During the fiscal years ended September 30, 2023 and 2022, we spent $11.2 million and $7.6 million, respectively, on internal research and development activities in our business. These amounts represent 50% in 2023 and 28% in 2022 of total revenue.</w:t>
            </w:r>
            <w:r>
              <w:t xml:space="preserve"> </w:t>
            </w:r>
            <w:r>
              <w:t xml:space="preserve">Global Expansion</w:t>
            </w:r>
            <w:r>
              <w:t xml:space="preserve"> </w:t>
            </w:r>
            <w:r>
              <w:t xml:space="preserve">We continue to operate Sonic Foundry, International B.V.in the Netherlands and Mediasite KK in Japan which we acquired in 2014. The investment in maintaining a local presence in these regions has allowed us to better serve the ongoing sales and support demands of our customers and prospective customers in those markets. Additionally, we’ve been able to deploy customer care and cloud hosting services more quickly in each of those markets to capitalize on the trend to move data intensive applications, such as video, to the cloud.</w:t>
            </w:r>
            <w:r>
              <w:t xml:space="preserve"> </w:t>
            </w:r>
            <w:r>
              <w:t xml:space="preserve">In 2022, our Global Learning Exchange business opened its first Hub in Nassau, Bahamas that provides students with local support resources and a physical space to connect with other students in the area. In 2023, GLX expanded its presence into Africa with the opening of GLX Hubs in Nigeria (2) and South Africa (1). These strategic locations were selected based upon the dramatic supply-demand imbalance in higher education that exists in these markets. The GLX Hub facilities are used for both student recruitment and for student support services, once students are enrolled in coursework or a degree program through one of GLX’s education partners.</w:t>
            </w:r>
            <w:r>
              <w:t xml:space="preserve"> </w:t>
            </w:r>
            <w:r>
              <w:t xml:space="preserve">Human Capital</w:t>
            </w:r>
            <w:r>
              <w:t xml:space="preserve"> </w:t>
            </w:r>
            <w:r>
              <w:t xml:space="preserve">At September 30, 2023 and 2022, we had 153 and 193 full-time employees, respectively. Our employees are not represented by a labor union, nor are they subject to a collective bargaining agreement.</w:t>
            </w:r>
            <w:r>
              <w:t xml:space="preserve"> </w:t>
            </w:r>
            <w:r>
              <w:t xml:space="preserve">We have a competitive compensation plan and benefits plan that is designed to attract, retain, and reward individuals and includes an employee stock purchase plan and a 401k plan with a matching contribution. We offer 6 weeks of PTO and flexible work arrangements that encourage employees to achieve a comfortable work-life balance.</w:t>
            </w:r>
          </w:p>
        </w:tc>
        <w:tc>
          <w:tcPr/>
          <w:p>
            <w:pPr>
              <w:pStyle w:val="Compact"/>
            </w:pPr>
            <w:r>
              <w:t xml:space="preserve">ITEM</w:t>
            </w:r>
            <w:r>
              <w:t xml:space="preserve"> </w:t>
            </w:r>
            <w:r>
              <w:t xml:space="preserve">1A. RISK FACTORS</w:t>
            </w:r>
            <w:r>
              <w:t xml:space="preserve"> </w:t>
            </w:r>
            <w:r>
              <w:t xml:space="preserve">YOU SHOULD CAREFULLY CONSIDER THE RISKS DESCRIBED BELOW BEFORE MAKING AN INVESTMENT DECISION. THE RISKS DESCRIBED BELOW ARE NOT THE ONLY ONES WE FACE. ADDITIONAL RISKS THAT WE ARE NOT PRESENTLY AWARE OF OR THAT WE CURRENTLY BELIEVE ARE IMMATERIAL MAY ALSO IMPAIR OUR BUSINESS OPERATIONS. OUR BUSINESS COULD BE HARMED BY ANY OR ALL OF THESE RISKS. THE TRADING PRICE OF OUR COMMON STOCK COULD DECLINE SIGNIFICANTLY DUE TO ANY OF THESE RISKS, AND YOU MAY LOSE ALL OR PART OF YOUR INVESTMENT. IN ASSESSING THESE RISKS, YOU SHOULD ALSO REFER TO THE OTHER INFORMATION CONTAINED OR INCORPORATED BY REFERENCE IN THIS ANNUAL REPORT ON FORM</w:t>
            </w:r>
            <w:r>
              <w:t xml:space="preserve"> </w:t>
            </w:r>
            <w:r>
              <w:t xml:space="preserve">10-K, INCLUDING OUR CONSOLIDATED FINANCIAL STATEMENTS AND RELATED NOTES.</w:t>
            </w:r>
            <w:r>
              <w:t xml:space="preserve"> </w:t>
            </w:r>
            <w:r>
              <w:t xml:space="preserve">On August 26, 2020, the Securities and Exchange Commission (“Commission”) announced the adoption of amendments to modernize certain disclosures registrants are required to make pursuant to Regulation S-K. The amendments are intended to reflect the Commission’s commitment to a principles-based, registrant-specific approach to disclosure, rooted in materiality. The modernization of Item 105 Risk Factor Disclosures includes the following:</w:t>
            </w:r>
            <w:r>
              <w:t xml:space="preserve"> </w:t>
            </w:r>
            <w:r>
              <w:t xml:space="preserve">●</w:t>
            </w:r>
            <w:r>
              <w:t xml:space="preserve"> </w:t>
            </w:r>
            <w:r>
              <w:t xml:space="preserve">The requirement for inclusion of a summary risk factor disclosure of no more than two pages if the risk factor section exceeds 15 pages.</w:t>
            </w:r>
            <w:r>
              <w:t xml:space="preserve"> </w:t>
            </w:r>
            <w:r>
              <w:t xml:space="preserve">●</w:t>
            </w:r>
            <w:r>
              <w:t xml:space="preserve"> </w:t>
            </w:r>
            <w:r>
              <w:t xml:space="preserve">Refining the principles-based approach by requiring disclosure of “material” risk factors versus “most significant.”</w:t>
            </w:r>
            <w:r>
              <w:t xml:space="preserve"> </w:t>
            </w:r>
            <w:r>
              <w:t xml:space="preserve">●</w:t>
            </w:r>
            <w:r>
              <w:t xml:space="preserve"> </w:t>
            </w:r>
            <w:r>
              <w:t xml:space="preserve">The requirement to organize risk factors under relevant headings for ease of understanding, with generic risk factors placed at the end of the section. The amendments do not specify the risk factor headings.</w:t>
            </w:r>
            <w:r>
              <w:t xml:space="preserve"> </w:t>
            </w:r>
            <w:r>
              <w:t xml:space="preserve">The Company has reviewed its current risk factors and has organized them under the primary categories of company risk, industry risk, and investor risk.</w:t>
            </w:r>
            <w:r>
              <w:t xml:space="preserve"> </w:t>
            </w:r>
            <w:r>
              <w:t xml:space="preserve">10</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Risk Factor Summary Disclosure</w:t>
            </w:r>
            <w:r>
              <w:t xml:space="preserve"> </w:t>
            </w:r>
            <w:r>
              <w:t xml:space="preserve">A.</w:t>
            </w:r>
            <w:r>
              <w:t xml:space="preserve"> </w:t>
            </w:r>
            <w:r>
              <w:t xml:space="preserve">Company Risks</w:t>
            </w:r>
            <w:r>
              <w:t xml:space="preserve"> </w:t>
            </w:r>
            <w:r>
              <w:t xml:space="preserve">consist of both internal and external items and events that impact Sonic Foundry as a company. These are further categorized as follows:</w:t>
            </w:r>
            <w:r>
              <w:t xml:space="preserve"> </w:t>
            </w:r>
            <w:r>
              <w:t xml:space="preserve">1</w:t>
            </w:r>
            <w:r>
              <w:t xml:space="preserve"> </w:t>
            </w:r>
            <w:r>
              <w:t xml:space="preserve">Mediasite Asset Sale Risks</w:t>
            </w:r>
            <w:r>
              <w:t xml:space="preserve"> </w:t>
            </w:r>
            <w:r>
              <w:t xml:space="preserve">impact our overall financial condition and ability to generate future cash flows from operations. Those risks include, but are not limited to the following:</w:t>
            </w:r>
            <w:r>
              <w:t xml:space="preserve"> </w:t>
            </w:r>
            <w:r>
              <w:t xml:space="preserve">a. The announcement of the sale, whether or not consummated, may adversely affect our business.</w:t>
            </w:r>
            <w:r>
              <w:t xml:space="preserve"> </w:t>
            </w:r>
            <w:r>
              <w:t xml:space="preserve">b. We cannot be sure if or when the sale will be completed.</w:t>
            </w:r>
            <w:r>
              <w:t xml:space="preserve"> </w:t>
            </w:r>
            <w:r>
              <w:t xml:space="preserve">c. The Purchase Agreement limits our ability to pursue alternatives to the sale.</w:t>
            </w:r>
            <w:r>
              <w:t xml:space="preserve"> </w:t>
            </w:r>
            <w:r>
              <w:t xml:space="preserve">d. Our stockholders will not receive any of the proceeds of the sale.</w:t>
            </w:r>
            <w:r>
              <w:t xml:space="preserve"> </w:t>
            </w:r>
            <w:r>
              <w:t xml:space="preserve">e. We will incur significant expenses in connection with the sale, regardless of whether it is completed.</w:t>
            </w:r>
            <w:r>
              <w:t xml:space="preserve"> </w:t>
            </w:r>
            <w:r>
              <w:t xml:space="preserve">f. The purchase price is subject to adjustment provisions in the Purchase Agreement.</w:t>
            </w:r>
            <w:r>
              <w:t xml:space="preserve"> </w:t>
            </w:r>
            <w:r>
              <w:t xml:space="preserve">g. We must use a significant portion of the purchase price at closing to repay the NBE Debt.</w:t>
            </w:r>
            <w:r>
              <w:t xml:space="preserve"> </w:t>
            </w:r>
            <w:r>
              <w:t xml:space="preserve">h. Even after repaying the NBE Debt we will have a significant amount of debt.</w:t>
            </w:r>
            <w:r>
              <w:t xml:space="preserve"> </w:t>
            </w:r>
            <w:r>
              <w:t xml:space="preserve">2.</w:t>
            </w:r>
            <w:r>
              <w:t xml:space="preserve"> </w:t>
            </w:r>
            <w:r>
              <w:t xml:space="preserve">Financial Risks</w:t>
            </w:r>
            <w:r>
              <w:t xml:space="preserve"> </w:t>
            </w:r>
            <w:r>
              <w:t xml:space="preserve">impact the financial well-being of the Company. Those risks include, but are not limited to the following:</w:t>
            </w:r>
            <w:r>
              <w:t xml:space="preserve"> </w:t>
            </w:r>
            <w:r>
              <w:t xml:space="preserve">a.</w:t>
            </w:r>
            <w:r>
              <w:t xml:space="preserve"> </w:t>
            </w:r>
            <w:r>
              <w:t xml:space="preserve">Our strategy for growth is evolving.</w:t>
            </w:r>
            <w:r>
              <w:t xml:space="preserve"> </w:t>
            </w:r>
            <w:r>
              <w:t xml:space="preserve">b.</w:t>
            </w:r>
            <w:r>
              <w:t xml:space="preserve"> </w:t>
            </w:r>
            <w:r>
              <w:t xml:space="preserve">We have breached financial covenants in our loan documents with our senior secured lender.</w:t>
            </w:r>
            <w:r>
              <w:t xml:space="preserve"> </w:t>
            </w:r>
            <w:r>
              <w:t xml:space="preserve">c.</w:t>
            </w:r>
            <w:r>
              <w:t xml:space="preserve"> </w:t>
            </w:r>
            <w:r>
              <w:t xml:space="preserve">We have a history of losses.</w:t>
            </w:r>
            <w:r>
              <w:t xml:space="preserve"> </w:t>
            </w:r>
            <w:r>
              <w:t xml:space="preserve">d.</w:t>
            </w:r>
            <w:r>
              <w:t xml:space="preserve"> </w:t>
            </w:r>
            <w:r>
              <w:t xml:space="preserve">We may need to raise additional capital.</w:t>
            </w:r>
            <w:r>
              <w:t xml:space="preserve"> </w:t>
            </w:r>
            <w:r>
              <w:t xml:space="preserve">e.</w:t>
            </w:r>
            <w:r>
              <w:t xml:space="preserve"> </w:t>
            </w:r>
            <w:r>
              <w:t xml:space="preserve">If customer adoption has barriers, our business may not succeed.</w:t>
            </w:r>
            <w:r>
              <w:t xml:space="preserve"> </w:t>
            </w:r>
            <w:r>
              <w:t xml:space="preserve">f.</w:t>
            </w:r>
            <w:r>
              <w:t xml:space="preserve"> </w:t>
            </w:r>
            <w:r>
              <w:t xml:space="preserve">Large, multi-unit deals are needed for continued success.</w:t>
            </w:r>
            <w:r>
              <w:t xml:space="preserve"> </w:t>
            </w:r>
            <w:r>
              <w:t xml:space="preserve">g.</w:t>
            </w:r>
            <w:r>
              <w:t xml:space="preserve"> </w:t>
            </w:r>
            <w:r>
              <w:t xml:space="preserve">Because most of our service contracts are renewable on an annual basis, a reduction in our service renewal rate could significantly reduce our revenues.</w:t>
            </w:r>
            <w:r>
              <w:t xml:space="preserve"> </w:t>
            </w:r>
            <w:r>
              <w:t xml:space="preserve">h.</w:t>
            </w:r>
            <w:r>
              <w:t xml:space="preserve"> </w:t>
            </w:r>
            <w:r>
              <w:t xml:space="preserve">If we are viewed only as a commodity supplier, our margins and valuations will shrink.</w:t>
            </w:r>
            <w:r>
              <w:t xml:space="preserve"> </w:t>
            </w:r>
            <w:r>
              <w:t xml:space="preserve">i.</w:t>
            </w:r>
            <w:r>
              <w:t xml:space="preserve"> </w:t>
            </w:r>
            <w:r>
              <w:t xml:space="preserve">Our operating results are hard to predict as a significant amount of our sales typically occur at the end of a quarter, and the mix of product and service orders may vary significantly.</w:t>
            </w:r>
            <w:r>
              <w:t xml:space="preserve"> </w:t>
            </w:r>
            <w:r>
              <w:t xml:space="preserve">j.</w:t>
            </w:r>
            <w:r>
              <w:t xml:space="preserve"> </w:t>
            </w:r>
            <w:r>
              <w:t xml:space="preserve">Accounting regulations and related interpretations and policies, particularly those related to revenue recognition, cause us to defer revenue recognition into future periods for all or portions of our products and services.</w:t>
            </w:r>
            <w:r>
              <w:t xml:space="preserve"> </w:t>
            </w:r>
            <w:r>
              <w:t xml:space="preserve">k.</w:t>
            </w:r>
            <w:r>
              <w:t xml:space="preserve"> </w:t>
            </w:r>
            <w:r>
              <w:t xml:space="preserve">Because we generally recognize revenues ratably over the term of our service contracts, a decrease or increase in service transactions will not be fully reflected in our operating results until future periods.</w:t>
            </w:r>
            <w:r>
              <w:t xml:space="preserve"> </w:t>
            </w:r>
            <w:r>
              <w:t xml:space="preserve">l.</w:t>
            </w:r>
            <w:r>
              <w:t xml:space="preserve"> </w:t>
            </w:r>
            <w:r>
              <w:t xml:space="preserve">Currency exchange rate fluctuations could result in higher costs and decreased margins and earnings.</w:t>
            </w:r>
            <w:r>
              <w:t xml:space="preserve"> </w:t>
            </w:r>
            <w:r>
              <w:t xml:space="preserve">m.</w:t>
            </w:r>
            <w:r>
              <w:t xml:space="preserve"> </w:t>
            </w:r>
            <w:r>
              <w:t xml:space="preserve">Our ability to utilize our net operating loss carryforwards may be limited.</w:t>
            </w:r>
            <w:r>
              <w:t xml:space="preserve"> </w:t>
            </w:r>
            <w:r>
              <w:t xml:space="preserve">3.</w:t>
            </w:r>
            <w:r>
              <w:t xml:space="preserve"> </w:t>
            </w:r>
            <w:r>
              <w:t xml:space="preserve">Operational Risks</w:t>
            </w:r>
            <w:r>
              <w:t xml:space="preserve"> </w:t>
            </w:r>
            <w:r>
              <w:t xml:space="preserve">disrupt fundamental daily operations of the Company. Those risks include, but are not limited to the following:</w:t>
            </w:r>
            <w:r>
              <w:t xml:space="preserve"> </w:t>
            </w:r>
            <w:r>
              <w:t xml:space="preserve">a.</w:t>
            </w:r>
            <w:r>
              <w:t xml:space="preserve"> </w:t>
            </w:r>
            <w:r>
              <w:t xml:space="preserve">Operational failures in our network infrastructure could disrupt our remote hosting services, cause us to lose clients and sales to potential clients and result in increased expenses and reduced revenues.</w:t>
            </w:r>
            <w:r>
              <w:t xml:space="preserve"> </w:t>
            </w:r>
            <w:r>
              <w:t xml:space="preserve">b.</w:t>
            </w:r>
            <w:r>
              <w:t xml:space="preserve"> </w:t>
            </w:r>
            <w:r>
              <w:t xml:space="preserve">Our business is susceptible to risks associated with international operations.</w:t>
            </w:r>
            <w:r>
              <w:t xml:space="preserve"> </w:t>
            </w:r>
            <w:r>
              <w:t xml:space="preserve">c.</w:t>
            </w:r>
            <w:r>
              <w:t xml:space="preserve"> </w:t>
            </w:r>
            <w:r>
              <w:t xml:space="preserve">Supporting our existing and growing customer base and implementing large customer deployments could strain our personnel resources and infrastructure, and if we are unable to scale our operations and increase productivity, customer satisfaction and our business will be harmed.</w:t>
            </w:r>
            <w:r>
              <w:t xml:space="preserve"> </w:t>
            </w:r>
            <w:r>
              <w:t xml:space="preserve">d.</w:t>
            </w:r>
            <w:r>
              <w:t xml:space="preserve"> </w:t>
            </w:r>
            <w:r>
              <w:t xml:space="preserve">If we lose key personnel or fail to integrate replacement personnel successfully, our ability to manage our business could be impaired.</w:t>
            </w:r>
            <w:r>
              <w:t xml:space="preserve"> </w:t>
            </w:r>
            <w:r>
              <w:t xml:space="preserve">e.</w:t>
            </w:r>
            <w:r>
              <w:t xml:space="preserve"> </w:t>
            </w:r>
            <w:r>
              <w:t xml:space="preserve">Manufacturing disruption or capacity constraints would harm our business.</w:t>
            </w:r>
            <w:r>
              <w:t xml:space="preserve"> </w:t>
            </w:r>
            <w:r>
              <w:t xml:space="preserve">4.</w:t>
            </w:r>
            <w:r>
              <w:t xml:space="preserve"> </w:t>
            </w:r>
            <w:r>
              <w:t xml:space="preserve">Strategic Risks</w:t>
            </w:r>
            <w:r>
              <w:t xml:space="preserve"> </w:t>
            </w:r>
            <w:r>
              <w:t xml:space="preserve">prevent the Company from achieving its strategic objectives. Those risks include, but are not limited to the following:</w:t>
            </w:r>
            <w:r>
              <w:t xml:space="preserve"> </w:t>
            </w:r>
            <w:r>
              <w:t xml:space="preserve">a.</w:t>
            </w:r>
            <w:r>
              <w:t xml:space="preserve"> </w:t>
            </w:r>
            <w:r>
              <w:t xml:space="preserve">The technology underlying our products and services is complex and may contain unknown defects that could harm our reputation, result in product liability or decrease market acceptance of our products.</w:t>
            </w:r>
            <w:r>
              <w:t xml:space="preserve"> </w:t>
            </w:r>
            <w:r>
              <w:t xml:space="preserve">b.</w:t>
            </w:r>
            <w:r>
              <w:t xml:space="preserve"> </w:t>
            </w:r>
            <w:r>
              <w:t xml:space="preserve">Our success depends upon the proprietary aspects of our technology.</w:t>
            </w:r>
            <w:r>
              <w:t xml:space="preserve"> </w:t>
            </w:r>
            <w:r>
              <w:t xml:space="preserve">c.</w:t>
            </w:r>
            <w:r>
              <w:t xml:space="preserve"> </w:t>
            </w:r>
            <w:r>
              <w:t xml:space="preserve">We may not be able to innovate to meet the needs of our target market.</w:t>
            </w:r>
            <w:r>
              <w:t xml:space="preserve"> </w:t>
            </w:r>
            <w:r>
              <w:t xml:space="preserve">d.</w:t>
            </w:r>
            <w:r>
              <w:t xml:space="preserve"> </w:t>
            </w:r>
            <w:r>
              <w:t xml:space="preserve">If potential customers or competitors use open-source software to develop products that are competitive with our products and services, we may face decreased demand and pressure to reduce the prices for our products.</w:t>
            </w:r>
            <w:r>
              <w:t xml:space="preserve"> </w:t>
            </w:r>
            <w:r>
              <w:t xml:space="preserve">e.</w:t>
            </w:r>
            <w:r>
              <w:t xml:space="preserve"> </w:t>
            </w:r>
            <w:r>
              <w:t xml:space="preserve">We also rely upon trademark, copyright and trade secret laws, which may not be sufficient to protect our intellectual property.</w:t>
            </w:r>
            <w:r>
              <w:t xml:space="preserve"> </w:t>
            </w:r>
            <w:r>
              <w:t xml:space="preserve">f.</w:t>
            </w:r>
            <w:r>
              <w:t xml:space="preserve"> </w:t>
            </w:r>
            <w:r>
              <w:t xml:space="preserve">If other parties bring infringement or other claims against us, we may incur significant costs or lose customers.</w:t>
            </w:r>
            <w:r>
              <w:t xml:space="preserve"> </w:t>
            </w:r>
            <w:r>
              <w:t xml:space="preserve">g.</w:t>
            </w:r>
            <w:r>
              <w:t xml:space="preserve"> </w:t>
            </w:r>
            <w:r>
              <w:t xml:space="preserve">There is a great deal of competition in the market for our products, which could lower the demand for our products and have a negative impact on our operations.</w:t>
            </w:r>
            <w:r>
              <w:t xml:space="preserve"> </w:t>
            </w:r>
            <w:r>
              <w:t xml:space="preserve">h.</w:t>
            </w:r>
            <w:r>
              <w:t xml:space="preserve"> </w:t>
            </w:r>
            <w:r>
              <w:t xml:space="preserve">If our marketing and lead generation efforts are not successful, our business will be harmed.</w:t>
            </w:r>
            <w:r>
              <w:t xml:space="preserve"> </w:t>
            </w:r>
            <w:r>
              <w:t xml:space="preserve">i.</w:t>
            </w:r>
            <w:r>
              <w:t xml:space="preserve"> </w:t>
            </w:r>
            <w:r>
              <w:t xml:space="preserve">The length of our sales and deployment cycles are uncertain, which may cause our revenue and operating results to vary significantly from quarter to quarter and year to year.</w:t>
            </w:r>
            <w:r>
              <w:t xml:space="preserve"> </w:t>
            </w:r>
            <w:r>
              <w:t xml:space="preserve">j.</w:t>
            </w:r>
            <w:r>
              <w:t xml:space="preserve"> </w:t>
            </w:r>
            <w:r>
              <w:t xml:space="preserve">We depend in part on the success of our relationships with third-party resellers and integrators.</w:t>
            </w:r>
            <w:r>
              <w:t xml:space="preserve"> </w:t>
            </w:r>
            <w:r>
              <w:t xml:space="preserve">k.</w:t>
            </w:r>
            <w:r>
              <w:t xml:space="preserve"> </w:t>
            </w:r>
            <w:r>
              <w:t xml:space="preserve">We may need to make acquisitions or form strategic alliances or partnerships in order to remain competitive in our market, and acquisitions, strategic alliances or partnerships, could be difficult to integrate, disrupt our business and dilute stockholder value.</w:t>
            </w:r>
            <w:r>
              <w:t xml:space="preserve"> </w:t>
            </w:r>
            <w:r>
              <w:t xml:space="preserve">l.</w:t>
            </w:r>
            <w:r>
              <w:t xml:space="preserve"> </w:t>
            </w:r>
            <w:r>
              <w:t xml:space="preserve">Our Mediasite events and cloud businesses are an area of emphasis for us and carry challenging delivery requirements. The cloud offering requires significant investment in infrastructure, willingness of our customers to move from on-premise installations to our cloud and carry increased cyber and privacy risks. Our events business has been very successful in pivoting from in-person to virtual events as a result of COVID but future growth relies on a greater willingness of companies to hold events, both virtual and in-person.</w:t>
            </w:r>
            <w:r>
              <w:t xml:space="preserve"> </w:t>
            </w:r>
            <w:r>
              <w:t xml:space="preserve">m.</w:t>
            </w:r>
            <w:r>
              <w:t xml:space="preserve"> </w:t>
            </w:r>
            <w:r>
              <w:t xml:space="preserve">Our fiscal 2024 business plan includes an expectation that we invest strategically in new product and service offerings in areas where we can leverage our product development skills, understanding of video technologies and strength in the higher education vertical. These offerings will likely require additional resources in engineering, sales and operations, in order to successfully grow and scale new businesses.</w:t>
            </w:r>
            <w:r>
              <w:t xml:space="preserve"> </w:t>
            </w:r>
            <w:r>
              <w:t xml:space="preserve">11</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5.</w:t>
            </w:r>
            <w:r>
              <w:t xml:space="preserve"> </w:t>
            </w:r>
            <w:r>
              <w:t xml:space="preserve">Compliance Risks</w:t>
            </w:r>
            <w:r>
              <w:t xml:space="preserve"> </w:t>
            </w:r>
            <w:r>
              <w:t xml:space="preserve">result from non-compliance of laws and regulations from various governing bodies. Those risks include, but are not limited to the following:</w:t>
            </w:r>
            <w:r>
              <w:t xml:space="preserve"> </w:t>
            </w:r>
            <w:r>
              <w:t xml:space="preserve">a.</w:t>
            </w:r>
            <w:r>
              <w:t xml:space="preserve"> </w:t>
            </w:r>
            <w:r>
              <w:t xml:space="preserve">Our customers may use our products to share confidential and sensitive information, and if our system security is breached, our reputation could be harmed and we may lose customers.</w:t>
            </w:r>
            <w:r>
              <w:t xml:space="preserve"> </w:t>
            </w:r>
            <w:r>
              <w:t xml:space="preserve">b.</w:t>
            </w:r>
            <w:r>
              <w:t xml:space="preserve"> </w:t>
            </w:r>
            <w:r>
              <w:t xml:space="preserve">Our business is subject to changing regulations regarding corporate governance and public disclosure that will increase both our costs and the risk of noncompliance.</w:t>
            </w:r>
            <w:r>
              <w:t xml:space="preserve"> </w:t>
            </w:r>
            <w:r>
              <w:t xml:space="preserve">6.</w:t>
            </w:r>
            <w:r>
              <w:t xml:space="preserve"> </w:t>
            </w:r>
            <w:r>
              <w:t xml:space="preserve">Industry Risks</w:t>
            </w:r>
            <w:r>
              <w:t xml:space="preserve"> </w:t>
            </w:r>
            <w:r>
              <w:t xml:space="preserve">are items and events that have macro-level impacts on our industry. Those risks include, but are not limited to the following:</w:t>
            </w:r>
            <w:r>
              <w:t xml:space="preserve"> </w:t>
            </w:r>
            <w:r>
              <w:t xml:space="preserve">a.</w:t>
            </w:r>
            <w:r>
              <w:t xml:space="preserve"> </w:t>
            </w:r>
            <w:r>
              <w:t xml:space="preserve">Economic conditions could materially adversely affect the Company.</w:t>
            </w:r>
            <w:r>
              <w:t xml:space="preserve"> </w:t>
            </w:r>
            <w:r>
              <w:t xml:space="preserve">b.</w:t>
            </w:r>
            <w:r>
              <w:t xml:space="preserve"> </w:t>
            </w:r>
            <w:r>
              <w:t xml:space="preserve">Economic conditions may have a disproportionate effect on the sale of our products and services.</w:t>
            </w:r>
            <w:r>
              <w:t xml:space="preserve"> </w:t>
            </w:r>
            <w:r>
              <w:t xml:space="preserve">c.</w:t>
            </w:r>
            <w:r>
              <w:t xml:space="preserve"> </w:t>
            </w:r>
            <w:r>
              <w:t xml:space="preserve">We could lose revenues if there are changes in the spending policies or budget priorities for government funding of colleges, universities, schools and other education providers.</w:t>
            </w:r>
            <w:r>
              <w:t xml:space="preserve"> </w:t>
            </w:r>
            <w:r>
              <w:t xml:space="preserve">d.</w:t>
            </w:r>
            <w:r>
              <w:t xml:space="preserve"> </w:t>
            </w:r>
            <w:r>
              <w:t xml:space="preserve">Changes in U.S. trade policy, including the imposition of tariffs and the resulting consequences, may have a material adverse impact on our business, operating results and financial condition.</w:t>
            </w:r>
            <w:r>
              <w:t xml:space="preserve"> </w:t>
            </w:r>
            <w:r>
              <w:t xml:space="preserve">e.</w:t>
            </w:r>
            <w:r>
              <w:t xml:space="preserve"> </w:t>
            </w:r>
            <w:r>
              <w:t xml:space="preserve">Privacy concerns and laws, evolving regulation of cloud computing, cross-border data transfer restrictions and other domestic or foreign regulations may limit the use and adoption of our solutions and adversely affect our business.</w:t>
            </w:r>
            <w:r>
              <w:t xml:space="preserve"> </w:t>
            </w:r>
            <w:r>
              <w:t xml:space="preserve">f.</w:t>
            </w:r>
            <w:r>
              <w:t xml:space="preserve"> </w:t>
            </w:r>
            <w:r>
              <w:t xml:space="preserve">We face risks associated with government regulation of the internet and related legal uncertainties.</w:t>
            </w:r>
            <w:r>
              <w:t xml:space="preserve"> </w:t>
            </w:r>
            <w:r>
              <w:t xml:space="preserve">g.</w:t>
            </w:r>
            <w:r>
              <w:t xml:space="preserve"> </w:t>
            </w:r>
            <w:r>
              <w:t xml:space="preserve">COVID has negatively impacted interest and ability to hold in-person events and while virtual events are often held in place of in-person events, some companies and attendees are less likely to hold or attend virtual events.</w:t>
            </w:r>
            <w:r>
              <w:t xml:space="preserve"> </w:t>
            </w:r>
            <w:r>
              <w:t xml:space="preserve">7.</w:t>
            </w:r>
            <w:r>
              <w:t xml:space="preserve"> </w:t>
            </w:r>
            <w:r>
              <w:t xml:space="preserve">Investor Risks</w:t>
            </w:r>
            <w:r>
              <w:t xml:space="preserve"> </w:t>
            </w:r>
            <w:r>
              <w:t xml:space="preserve">are both internal and external risks that impact an investment made in the Company’s stock. Those risks include, but are not limited to the following:</w:t>
            </w:r>
            <w:r>
              <w:t xml:space="preserve"> </w:t>
            </w:r>
            <w:r>
              <w:t xml:space="preserve">a.</w:t>
            </w:r>
            <w:r>
              <w:t xml:space="preserve"> </w:t>
            </w:r>
            <w:r>
              <w:t xml:space="preserve">The market price of our common stock may be subject to volatility.</w:t>
            </w:r>
            <w:r>
              <w:t xml:space="preserve"> </w:t>
            </w:r>
            <w:r>
              <w:t xml:space="preserve">b.</w:t>
            </w:r>
            <w:r>
              <w:t xml:space="preserve"> </w:t>
            </w:r>
            <w:r>
              <w:t xml:space="preserve">Our common stock is traded on the OTC Markets and is subject to low trading volume and broad price swings.</w:t>
            </w:r>
            <w:r>
              <w:t xml:space="preserve"> </w:t>
            </w:r>
            <w:r>
              <w:t xml:space="preserve">c.</w:t>
            </w:r>
            <w:r>
              <w:t xml:space="preserve"> </w:t>
            </w:r>
            <w:r>
              <w:t xml:space="preserve">Exercise of outstanding options and warrants will result in further dilution.</w:t>
            </w:r>
            <w:r>
              <w:t xml:space="preserve"> </w:t>
            </w:r>
            <w:r>
              <w:t xml:space="preserve">d.</w:t>
            </w:r>
            <w:r>
              <w:t xml:space="preserve"> </w:t>
            </w:r>
            <w:r>
              <w:t xml:space="preserve">Provisions of our charter documents, and Maryland law, could also discourage an acquisition of our Company that would benefit our stockholders and, due to our insiders control of a substantial percentage of our stock, our officers, directors, and major stockholders will have a substantial amount of control over whether to approve or disapprove of a transaction.</w:t>
            </w:r>
            <w:r>
              <w:t xml:space="preserve"> </w:t>
            </w:r>
            <w:r>
              <w:t xml:space="preserve">Following is a more detailed discussion of each risk factor outlined in the summary.</w:t>
            </w:r>
            <w:r>
              <w:t xml:space="preserve"> </w:t>
            </w:r>
            <w:r>
              <w:t xml:space="preserve">Risks related to the Mediasite Asset Sale</w:t>
            </w:r>
            <w:r>
              <w:t xml:space="preserve"> </w:t>
            </w:r>
            <w:r>
              <w:t xml:space="preserve">The announcement and pendency of the Mediasite Asset Sale may adversely affect our business.</w:t>
            </w:r>
            <w:r>
              <w:t xml:space="preserve"> </w:t>
            </w:r>
            <w:r>
              <w:t xml:space="preserve">The announcement and pendency of the Mediasite Asset Sale, whether or not consummated, may adversely affect the trading price of our common stock, our business or our relationships with customers, suppliers and employees. In addition, pending the completion of the Mediasite Asset Sale, we may be unable to attract and retain key personnel and the focus and attention of our management and employee resources may be diverted from operational matters during the pendency of the Mediasite Asset Sale.</w:t>
            </w:r>
            <w:r>
              <w:t xml:space="preserve"> </w:t>
            </w:r>
            <w:r>
              <w:t xml:space="preserve">We cannot be sure if or when the Mediasite Asset Sale will be completed.</w:t>
            </w:r>
            <w:r>
              <w:t xml:space="preserve"> </w:t>
            </w:r>
            <w:r>
              <w:t xml:space="preserve">The consummation of the Mediasite Asset Sale is subject to the satisfaction or waiver of various conditions, including the approval of the Mediasite Asset Sale by our stockholders. We cannot guarantee that the closing conditions set forth in the Purchase Agreement will be satisfied. If we are unable to satisfy the closing conditions in the Buyer’s favor or if other mutual closing conditions are not satisfied, the Buyer will not be obligated to complete the Mediasite Asset Sale. In the event that the Mediasite Asset Sale is not completed, the announcement of the termination of the Purchase Agreement may adversely affect the trading price of our common stock, our business and operations or our relationships with customers, suppliers and employees and may also cause Neltjeberg Bay Enterprises, LLC ("NBE”), our senior secured lender, to declare an event of default under its debt and to pursue its available legal remedies.</w:t>
            </w:r>
            <w:r>
              <w:t xml:space="preserve"> </w:t>
            </w:r>
            <w:r>
              <w:t xml:space="preserve">12</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The Purchase Agreement limits our ability to pursue alternatives to the Mediasite Asset Sale.</w:t>
            </w:r>
            <w:r>
              <w:t xml:space="preserve"> </w:t>
            </w:r>
            <w:r>
              <w:t xml:space="preserve">The Purchase Agreement contains provisions that make it more difficult for us to sell our assets or engage in another type acquisition transaction with a party other than the Buyer. These provisions include a non-solicitation provision and a provision obligating us to pay the Buyer a termination fee of $450,000 or be obligated to reimburse the Buyer’s transaction expenses up to a maximum of $100,000 under certain circumstances. These provisions could discourage a third party that might have an interest in acquiring Sonic Foundry or the Mediasite business from considering or proposing such an acquisition, even if that party were prepared to pay consideration with a higher value than the consideration to be paid by the Buyer.</w:t>
            </w:r>
            <w:r>
              <w:t xml:space="preserve"> </w:t>
            </w:r>
            <w:r>
              <w:t xml:space="preserve">Our stockholders will not receive any of the proceeds of the Mediasite Asset Sale.</w:t>
            </w:r>
            <w:r>
              <w:t xml:space="preserve"> </w:t>
            </w:r>
            <w:r>
              <w:t xml:space="preserve">The proceeds from the Mediasite Asset Sale will be paid directly to Sonic Foundry. We intend to use the proceeds of the Mediasite Asset Sale, after repaying our outstanding debt (the “NBE Debt”) to NBE and paying transaction and other expenses, for working capital and general corporate purposes</w:t>
            </w:r>
            <w:r>
              <w:t xml:space="preserve"> </w:t>
            </w:r>
            <w:r>
              <w:t xml:space="preserve">.</w:t>
            </w:r>
            <w:r>
              <w:t xml:space="preserve"> </w:t>
            </w:r>
            <w:r>
              <w:t xml:space="preserve">We will incur significant expenses in connection with the Mediasite Asset Sale, regardless of whether the Mediasite Asset Sale is completed and, in certain circumstances, may be required to pay a termination fee to the Buyer.</w:t>
            </w:r>
            <w:r>
              <w:t xml:space="preserve"> </w:t>
            </w:r>
            <w:r>
              <w:t xml:space="preserve">We expect to incur significant expenses related to the Mediasite Asset Sale. These expenses include, but are not limited to, financial advisory and opinion fees and expenses, legal fees, accounting fees and expenses, filing fees, printing expenses and other related fees and expenses. Many of these expenses will be payable by us regardless of whether the Mediasite Asset Sale is completed. In addition, if the Purchase Agreement is terminated in certain circumstances, we will be required to pay Buyer a termination fee.</w:t>
            </w:r>
            <w:r>
              <w:t xml:space="preserve"> </w:t>
            </w:r>
            <w:r>
              <w:t xml:space="preserve">The purchase price for the Mediasite Asset Sale is subject to adjustment provisions in the Purchase Agreement which may reduce the total amount we actually receive.</w:t>
            </w:r>
            <w:r>
              <w:t xml:space="preserve"> </w:t>
            </w:r>
            <w:r>
              <w:t xml:space="preserve">Although the Purchase Agreement provides for a total purchase price of up to $15.5 million, the Purchase Agreement includes a number of provisions for adjustment that are expected to reduce the total amount of proceeds we actually receive from the Mediasite Asset Sale. A holdback amount of $1 million will be deducted from the purchase price payable at closing and payable on the first anniversary of the closing date, but will be subject to claims for indemnification and based on the collectability of accounts receivable and the sale of inventory after closing. In addition, the amount of the purchase price is subject to reduction based on the amount by which our net cash assets at closing is less than $0. We currently estimate that the net cash asset adjustment will reduce the purchase price by approximately $4 million.</w:t>
            </w:r>
            <w:r>
              <w:t xml:space="preserve"> </w:t>
            </w:r>
            <w:r>
              <w:t xml:space="preserve">We must use a significant portion of the purchase price at closing to repay the NBE Debt.</w:t>
            </w:r>
            <w:r>
              <w:t xml:space="preserve"> </w:t>
            </w:r>
            <w:r>
              <w:t xml:space="preserve">We are required to repay the NBE Debt upon the closing of the Mediasite Asset Sale. We estimate that the amount to repay the NBE Debt will be approximately $5.7 million, which will reduce the cash consideration that we receive at closing pursuant to the Purchase Agreement.</w:t>
            </w:r>
            <w:r>
              <w:t xml:space="preserve"> </w:t>
            </w:r>
            <w:r>
              <w:t xml:space="preserve">Even after repaying the NBE Debt we will have a significant amount of debt.</w:t>
            </w:r>
            <w:r>
              <w:t xml:space="preserve"> </w:t>
            </w:r>
            <w:r>
              <w:t xml:space="preserve">Although we will repay the NBE Debt upon the closing of the Mediasite Asset Sale, we do not expect to use any of the proceeds of the Mediasite Asset Sale to repay our outstanding debt to Mark Burish (the “Burish Debt”). The Company owes approximately $5.75 million as of the date of this report to Mark Burish, and we may borrow additional amounts from Mr. Burish if he agrees in order to provide funds for the Company’s business. Following the closing of the Mediasite Asset Sale, our business operations will be limited to the Vidable and GLX businesses, both of which generate limited revenues, negative cash flow and significant losses. As a result, our ability to make scheduled payments of the principal of, to pay interest on or to refinance the Burish Debt will be limited. Our business likely will not be able to generate cash flow from operations sufficient to service the Burish Debt under its current terms and fund the Company’s operating and other expenses. We may be required to adopt one or more alternatives, such as selling assets (including potentially to Mr. Burish in exchange for debt relief), restructuring the Burish Debt or obtaining additional equity capital on terms that may be onerous or highly dilutive. Our ability to raise equity capital will depend on the capital markets and our financial condition at such time, and will be challenging due to the reduced size of our operations after the Mediasite Asset Sale and the recent delisting of our common stock from the NASDAQ Capital Market. We may not be able to engage in any of these activities or engage in these activities on desirable terms, which could result in a default on our debt obligations, our inability to continue as a going concern and the loss of all or a substantial part of the value of our common stock.</w:t>
            </w:r>
            <w:r>
              <w:t xml:space="preserve"> </w:t>
            </w:r>
            <w:r>
              <w:t xml:space="preserve">13</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Company Risks</w:t>
            </w:r>
            <w:r>
              <w:t xml:space="preserve"> </w:t>
            </w:r>
            <w:r>
              <w:t xml:space="preserve">–</w:t>
            </w:r>
            <w:r>
              <w:t xml:space="preserve"> </w:t>
            </w:r>
            <w:r>
              <w:t xml:space="preserve">Financial</w:t>
            </w:r>
            <w:r>
              <w:t xml:space="preserve"> </w:t>
            </w:r>
            <w:r>
              <w:t xml:space="preserve">Our strategy for growth is evolving</w:t>
            </w:r>
            <w:r>
              <w:t xml:space="preserve"> </w:t>
            </w:r>
            <w:r>
              <w:t xml:space="preserve">While the Company continues to work at steadily improving results of its Mediasite business, we recognized growth constraints in our existing business, and, therefore, we are shifting our focus toward building our runway in adjacent markets for future growth strategies as follows:</w:t>
            </w:r>
            <w:r>
              <w:t xml:space="preserve"> </w:t>
            </w:r>
            <w:r>
              <w:t xml:space="preserve">●</w:t>
            </w:r>
            <w:r>
              <w:t xml:space="preserve"> </w:t>
            </w:r>
            <w:r>
              <w:t xml:space="preserve">First, we are expanding our cloud capabilities to better support our customers’ video needs. This is an important step in moving Sonic Foundry from primarily a hardware provider to a SaaS service provider with recurring revenue streams. A key aspect of this strategy is a move from third party data centers to a public cloud, which we are in the process of completing.</w:t>
            </w:r>
            <w:r>
              <w:t xml:space="preserve"> </w:t>
            </w:r>
            <w:r>
              <w:t xml:space="preserve">●</w:t>
            </w:r>
            <w:r>
              <w:t xml:space="preserve"> </w:t>
            </w:r>
            <w:r>
              <w:t xml:space="preserve">Second, we are building a library of AI-enabled video solutions that can deliver instant, comprehensive, and automated video enhancement at scale, branded as Vidable. We believe the market for this technology is compelling</w:t>
            </w:r>
            <w:r>
              <w:t xml:space="preserve"> </w:t>
            </w:r>
            <w:r>
              <w:t xml:space="preserve">.</w:t>
            </w:r>
            <w:r>
              <w:t xml:space="preserve"> </w:t>
            </w:r>
            <w:r>
              <w:t xml:space="preserve">●</w:t>
            </w:r>
            <w:r>
              <w:t xml:space="preserve"> </w:t>
            </w:r>
            <w:r>
              <w:t xml:space="preserve">The third key component of our growth strategy is aimed at democratizing global higher education with a solution we have branded as Global Learning Exchange (“GLX”). U.S. and U.K. universities are being increasingly challenged with lower enrollment and are looking for ways to expand into new growth markets. In close collaboration with several university clients, we have identified a global supply-demand imbalance. There are many students worldwide that can afford a higher education yet do not have access to it for a variety of reasons—geo/political instability; international travel restrictions; and inadequate infrastructure. Our innovative solution will allow students to have an in-person experience in locally supported, affordable, community-centric environments that offer aggregated educational content. This is essentially master classes taught by top professors that encourage students to engage with one another in a collaborative and supported setting that bridges the educational gap and offers education opportunities in economically disadvantaged regions.</w:t>
            </w:r>
            <w:r>
              <w:t xml:space="preserve"> </w:t>
            </w:r>
            <w:r>
              <w:t xml:space="preserve">This transformation from focusing solely on our Mediasite business to investing substantially, not only in our current space, but in these adjacent markets began in fiscal 2022. While we achieved modest revenue in fiscal 2023 from these growth initiatives, we intend to continue to invest in them with the expectation that they will ultimately achieve more significant revenue growth. Managing a business with a combination of mature and start-up brands is challenging and has required constant adjustment in the allocation of resources within the brands, particularly in the current weak economic environment. Such adjustments have delayed expected growth in one or more brands or made retention of customers or employees more challenging. The Company is actively reviewing strategic options to reduce distraction and improve access to capital.</w:t>
            </w:r>
            <w:r>
              <w:t xml:space="preserve"> </w:t>
            </w:r>
            <w:r>
              <w:t xml:space="preserve">We have breached financial covenants in our loan documents with our senior secured lender</w:t>
            </w:r>
            <w:r>
              <w:t xml:space="preserve"> </w:t>
            </w:r>
            <w:r>
              <w:t xml:space="preserve">.</w:t>
            </w:r>
            <w:r>
              <w:t xml:space="preserve"> </w:t>
            </w:r>
            <w:r>
              <w:t xml:space="preserve">As of September 30 2023, we were in breach of certain financial covenants in our loan documents with NBE. In December 2023, the Company received a Conditional Consent Agreement from NBE whereby NBE agreed not to call its loan in default due to breaches of certain financial covenants. NBE has the right to reconsider its consent and withdraw such conditional agreement at any time. If NBE were to do so, it could declare an event of default under the loan and pursue its available legal remedies, which could impair our ability to continue our operations and cause our stockholders to lose all or a part of their investment.</w:t>
            </w:r>
            <w:r>
              <w:t xml:space="preserve"> </w:t>
            </w:r>
            <w:r>
              <w:t xml:space="preserve">We have a history of losses.</w:t>
            </w:r>
            <w:r>
              <w:t xml:space="preserve"> </w:t>
            </w:r>
            <w:r>
              <w:t xml:space="preserve">Our operations have generated losses in most years with a revenue trend that’s been generally flat with a greater decline in fiscals 2022 and 2023. Despite our plans to focus on businesses with greater opportunities for growth, in our opinion, we still need to generate much greater growth in order to be successful. We may not realize sufficient revenues to achieve success in these areas and will likely need to hire for certain targeted positions and invest more significantly in other areas well in advance of achieving meaningful revenue – leading to continued losses. As such, we face risks, expenses and uncertainties related to our specific business model, as well as those typically encountered by similar companies. Those risks include, but are not limited to our ability to successfully achieve the following:</w:t>
            </w:r>
            <w:r>
              <w:t xml:space="preserve"> </w:t>
            </w:r>
            <w:r>
              <w:t xml:space="preserve">●</w:t>
            </w:r>
            <w:r>
              <w:t xml:space="preserve"> </w:t>
            </w:r>
            <w:r>
              <w:t xml:space="preserve">Manage the changes in our business, including known and unknown challenges and expenses;</w:t>
            </w:r>
            <w:r>
              <w:t xml:space="preserve"> </w:t>
            </w:r>
            <w:r>
              <w:t xml:space="preserve">●</w:t>
            </w:r>
            <w:r>
              <w:t xml:space="preserve"> </w:t>
            </w:r>
            <w:r>
              <w:t xml:space="preserve">Acquire new customers and retain and expand existing customers;</w:t>
            </w:r>
            <w:r>
              <w:t xml:space="preserve"> </w:t>
            </w:r>
            <w:r>
              <w:t xml:space="preserve">●</w:t>
            </w:r>
            <w:r>
              <w:t xml:space="preserve"> </w:t>
            </w:r>
            <w:r>
              <w:t xml:space="preserve">Develop new and complimentary price competitive product and service offerings, both internally and in partnership with third parties;</w:t>
            </w:r>
            <w:r>
              <w:t xml:space="preserve"> </w:t>
            </w:r>
            <w:r>
              <w:t xml:space="preserve">●</w:t>
            </w:r>
            <w:r>
              <w:t xml:space="preserve"> </w:t>
            </w:r>
            <w:r>
              <w:t xml:space="preserve">Maintain and develop relationships with strategic partners including dealers, A/V integrators, large institutional end-users, and other channel partners;</w:t>
            </w:r>
            <w:r>
              <w:t xml:space="preserve"> </w:t>
            </w:r>
            <w:r>
              <w:t xml:space="preserve">14</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w:t>
            </w:r>
            <w:r>
              <w:t xml:space="preserve"> </w:t>
            </w:r>
            <w:r>
              <w:t xml:space="preserve">Compete successfully with companies offering similar products and services;</w:t>
            </w:r>
            <w:r>
              <w:t xml:space="preserve"> </w:t>
            </w:r>
            <w:r>
              <w:t xml:space="preserve">●</w:t>
            </w:r>
            <w:r>
              <w:t xml:space="preserve"> </w:t>
            </w:r>
            <w:r>
              <w:t xml:space="preserve">Develop targeted marketing efforts to expand our reach into new markets and deepen penetration into existing markets;</w:t>
            </w:r>
            <w:r>
              <w:t xml:space="preserve"> </w:t>
            </w:r>
            <w:r>
              <w:t xml:space="preserve">●</w:t>
            </w:r>
            <w:r>
              <w:t xml:space="preserve"> </w:t>
            </w:r>
            <w:r>
              <w:t xml:space="preserve">Manage and scale a high-performance technology infrastructure;</w:t>
            </w:r>
            <w:r>
              <w:t xml:space="preserve"> </w:t>
            </w:r>
            <w:r>
              <w:t xml:space="preserve">●</w:t>
            </w:r>
            <w:r>
              <w:t xml:space="preserve"> </w:t>
            </w:r>
            <w:r>
              <w:t xml:space="preserve">Ensure a highly secure and reliable product platform;</w:t>
            </w:r>
            <w:r>
              <w:t xml:space="preserve"> </w:t>
            </w:r>
            <w:r>
              <w:t xml:space="preserve">●</w:t>
            </w:r>
            <w:r>
              <w:t xml:space="preserve"> </w:t>
            </w:r>
            <w:r>
              <w:t xml:space="preserve">Attract and retain highly skilled personnel to execute in a fast-paced, rapidly changing environment;</w:t>
            </w:r>
            <w:r>
              <w:t xml:space="preserve"> </w:t>
            </w:r>
            <w:r>
              <w:t xml:space="preserve">●</w:t>
            </w:r>
            <w:r>
              <w:t xml:space="preserve"> </w:t>
            </w:r>
            <w:r>
              <w:t xml:space="preserve">Navigate the ongoing evolution of changing regulatory requirements, such as privacy laws and tax laws, and how it impacts our business, including our products and services; and</w:t>
            </w:r>
            <w:r>
              <w:t xml:space="preserve"> </w:t>
            </w:r>
            <w:r>
              <w:t xml:space="preserve">●</w:t>
            </w:r>
            <w:r>
              <w:t xml:space="preserve"> </w:t>
            </w:r>
            <w:r>
              <w:t xml:space="preserve">Expand our competitive reach into international markets.</w:t>
            </w:r>
            <w:r>
              <w:t xml:space="preserve"> </w:t>
            </w:r>
            <w:r>
              <w:t xml:space="preserve">●</w:t>
            </w:r>
            <w:r>
              <w:t xml:space="preserve"> </w:t>
            </w:r>
            <w:r>
              <w:t xml:space="preserve">Fund these aggressive investments.</w:t>
            </w:r>
            <w:r>
              <w:t xml:space="preserve"> </w:t>
            </w:r>
            <w:r>
              <w:t xml:space="preserve">We have experienced some of these risks already and will continue to encounter them as the business evolves. Failure to successfully manage them could adversely affect our financial condition and results of operations.</w:t>
            </w:r>
            <w:r>
              <w:t xml:space="preserve"> </w:t>
            </w:r>
            <w:r>
              <w:t xml:space="preserve">We have limited sources of liquidity.</w:t>
            </w:r>
            <w:r>
              <w:t xml:space="preserve"> </w:t>
            </w:r>
            <w:r>
              <w:t xml:space="preserve">At September 30, 2023, we had cash of $840 thousand, $498 thousand of which was in our foreign operations, compared to total cash of $3.3 million and foreign operations cash of $1.1 million at September 30, 2022. We raised debt of $10.3 million and equity of $1.2 million in fiscal 2023 in order to fund our operations. There can be no assurances that we will comply with the covenants and other restrictions of our debt facilities in the future and nor that other sources of financing will be available, or if available, on acceptable terms. The Company has a history of losses, is investing heavily in new brands in advance of achieving meaningful revenue and has historically financed its operations primarily through cash from sales of equity or debt securities. We cannot ensure that revenue will grow in fiscal 2024 or beyond, even with strategic investment of resources in business lines where we believe there is a greater opportunity for growth. If revenue is determined to be growing at a rate less than anticipated and expenses are not sufficiently matched, our cash resources may not be sufficient to support working capital needs, and we may have to attempt to borrow additional funds from other debt providers, attempt to raise equity capital or significantly reduce expenses. We have managed through periods of poor liquidity by working to accelerate collections from customers and delay payments to vendors. Such near-term solutions can have negative long-term effects on our relationships with customers and vendors and result in discounting of receipts and finance charges associated with delayed payments. Customers or vendors may elect to cease doing business with us as a result.</w:t>
            </w:r>
            <w:r>
              <w:t xml:space="preserve"> </w:t>
            </w:r>
            <w:r>
              <w:t xml:space="preserve">In the event we need to borrow additional money, raise additional equity capital, or sell certain assets, we may not be able to do so on acceptable terms and conditions including discounts from market, warrants, convertible securities or preferred stock, or at all. In that event, we may seek to raise money from entities that are affiliated with the Company, as we have done in the past. The Company has had to rely on its Chairman, Mark Burish, ("Mr. Burish") to provide capital on terms reasonable and acceptable to the independent members of the Board of Directors. There is no assurance, however, that Mr. Burish, or any other affiliated party, will be willing to provide additional capital.</w:t>
            </w:r>
            <w:r>
              <w:t xml:space="preserve"> </w:t>
            </w:r>
            <w:r>
              <w:t xml:space="preserve">In the event we have a need to borrow money, we may incur significant interest charges, or fees, which could harm our profitability. Holders of debt would also have rights, preferences or privileges senior to those of existing holders of our common stock. In the event we are able to raise additional equity, the terms of such financing may dilute the ownership interests of current investors and cause our stock price to fall significantly. In the event additional capital is provided by executive officers or directors, then, due to the low price levels of our common stock, control by such executive officers or directors may substantially increase.</w:t>
            </w:r>
            <w:r>
              <w:t xml:space="preserve"> </w:t>
            </w:r>
            <w:r>
              <w:t xml:space="preserve">Given our history of losses, negative cash flow and lack of available credit, management has concluded that factors exist that raise the need to consider the Company’s ability to continue as a going concern. However, management has considered its plans to continue the Company as a going concern and believes substantial doubt is alleviated. Management developed a plan to improve liquidity in its operations through reductions in expenses, incentives to accelerate cash collections, monetization of excess inventory, potential additional borrowings from Mark Burish, as well as anticipated exchange of a portion of his debt into equity, exchange of a portion of debt for the sale of certain assets and further financial support in the form of additional debt or equity, and proceeds from the proposed sale of the Company’s Mediasite business. The Company believes it will be successful in such initiatives and will be able to continue as a going concern through at least the next twelve months.</w:t>
            </w:r>
            <w:r>
              <w:t xml:space="preserve"> </w:t>
            </w:r>
            <w:r>
              <w:t xml:space="preserve">If the funds held by our foreign subsidiaries are needed for our operations in the United States, the repatriation of some of these funds to the United States could require payment of additional U.S. taxes.</w:t>
            </w:r>
            <w:r>
              <w:t xml:space="preserve"> </w:t>
            </w:r>
            <w:r>
              <w:t xml:space="preserve">15</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If customer adoption has barriers, our business may not succeed.</w:t>
            </w:r>
            <w:r>
              <w:t xml:space="preserve"> </w:t>
            </w:r>
            <w:r>
              <w:t xml:space="preserve">Part of our strategic challenge is to convince enterprise customers of the stability, productivity, improved communications, cost savings, suitability and other benefits of our products and services, some of which are new or being developed. The market for content delivery solutions is very complex, includes many products and solutions that address various aspects of customer needs and as a result it is often difficult for customers and channel partners to understand how our products and services compare. Further, corporate customers may use video as a tool, but may choose to rely upon their own IT infrastructure and resources to manage their video content. Because many companies generally are predisposed to maintaining control of their IT systems and infrastructure, there may be resistance to using software as a service provided by a third party. Our future revenue and revenue growth rates will depend in large part on migrating more customers to our cloud platform, on our success in delivering products effectively, creating market acceptance for these products in existing markets that we sell into and in new markets, and meeting customer’s needs for new or enhanced products. If we fail to do so, our products will not achieve widespread market acceptance, or will no longer be used by our customers, and we may not generate sufficient revenue to offset our product development and selling and marketing costs, which will adversely impact the valuation of the Company, the price of our stock, and will harm our business.</w:t>
            </w:r>
            <w:r>
              <w:t xml:space="preserve"> </w:t>
            </w:r>
            <w:r>
              <w:t xml:space="preserve">Large, multi-unit deals are needed for continued success.</w:t>
            </w:r>
            <w:r>
              <w:t xml:space="preserve"> </w:t>
            </w:r>
            <w:r>
              <w:t xml:space="preserve">We need to complete larger initial or multi-year transactions of software and service solutions to educational, corporate and government institutions in order to sell most efficiently and become profitable. Sales of large solutions to corporate customers have lagged behind results achieved in the higher education market; consequently, we have allocated more resources to the higher education market. While we have addressed a strategy to leverage existing customers, better address the needs of potential new customers, and close multiple unit, or multiple year software and service transactions, a customer may choose not to make expected purchases of our products. Despite our strategy to focus on a customer base with a recurring need to purchase our products and services, we need to identify and sell more products and services to new customers, enter new markets, and reduce the rate of attrition from certain existing customers, typically those with smaller deployments. The failure to develop effective strategies to enter new markets and increase sales will adversely impact the valuation of the Company and the price of our stock.</w:t>
            </w:r>
            <w:r>
              <w:t xml:space="preserve"> </w:t>
            </w:r>
            <w:r>
              <w:t xml:space="preserve">Because most of our service contracts are renewable on an annual basis, a reduction in our service renewal rate could significantly reduce our revenues.</w:t>
            </w:r>
            <w:r>
              <w:t xml:space="preserve"> </w:t>
            </w:r>
            <w:r>
              <w:t xml:space="preserve">Our clients have no obligation to renew their content hosting agreements, customer support contracts or other annual service contracts after the expiration of the initial period, which is typically one year, and some clients have elected not to do so. A decline in renewal rates would likely cause our revenues to decline. Our renewal rates may decline or fluctuate as a result of a number of factors, including client dissatisfaction with our products and services, our slow response to customer technical inquiries, our failure to update our products to maintain their attractiveness in the market, deteriorating economic conditions, our deteriorating financial performance or budgetary constraints or changes in budget priorities faced by our clients. If our retention rates decrease, we may need to provide more incentives, reduce pricing or increase marketing costs to improve lead generation through marketing in order to increase revenues, all of which could reduce profitability.</w:t>
            </w:r>
            <w:r>
              <w:t xml:space="preserve"> </w:t>
            </w:r>
            <w:r>
              <w:t xml:space="preserve">If we are viewed only as a commodity supplier, our margins and valuations will shrink.</w:t>
            </w:r>
            <w:r>
              <w:t xml:space="preserve"> </w:t>
            </w:r>
            <w:r>
              <w:t xml:space="preserve">We need to provide value-added services in order to avoid being viewed as a commodity supplier, which could adversely impact the valuation of the Company, and the price of our stock. This entails building long-term customer relationships and developing features that will distinguish our products. Our technology is complex and is often confused with other products and technologies in the marketplace, including video conferencing, streaming and collaboration.</w:t>
            </w:r>
            <w:r>
              <w:t xml:space="preserve"> </w:t>
            </w:r>
            <w:r>
              <w:t xml:space="preserve">We have developed lower cost hardware, software products and cloud solutions to better address the more cost-conscious customers. Such products have more limited features compared to our existing products. While we believe we can preserve the market for our full-featured products due to differentiation between the two and migration to full featured products, release of lower cost products has and could continue to reduce gross margins and demand for products sold at higher prices, which could further adversely affect our business and operating results. Potential large-scale deployments of our products often include the lower cost products we sell, putting greater pressure on gross margin due to expectations for greater volume discounts.</w:t>
            </w:r>
            <w:r>
              <w:t xml:space="preserve"> </w:t>
            </w:r>
            <w:r>
              <w:t xml:space="preserve">Our video solutions business pursued a greater percentage of virtual events during the onset of COVID restrictions. Some attendees and companies are less likely to attend virtual events which negatively impacted the number of events held yet increased per event revenue. Now that COVID restrictions have lapsed, some events have migrated back to in-person but at much lower levels than pre COVID, resulting in a lesser number of events without enhanced services associated with virtual events.</w:t>
            </w:r>
            <w:r>
              <w:t xml:space="preserve"> </w:t>
            </w:r>
            <w:r>
              <w:t xml:space="preserve">If we fail to build long-term customer relationships, develop features that distinguish our products in the marketplace and address the market for lower function and cost solutions, our margins will shrink, and our stock may be adversely impacted.</w:t>
            </w:r>
            <w:r>
              <w:t xml:space="preserve"> </w:t>
            </w:r>
            <w:r>
              <w:t xml:space="preserve">Our operating results are hard to predict as a significant amount of our sales typically occur at the end of a quarter and the mix of product and service orders may vary significantly.</w:t>
            </w:r>
            <w:r>
              <w:t xml:space="preserve"> </w:t>
            </w:r>
            <w:r>
              <w:t xml:space="preserve">Revenue for any particular quarter is extremely difficult to predict with any degree of certainty. We typically ship products or invoice for services within a short time after we receive an order and therefore, we do not have an order backlog with which to estimate future revenue. Any decline or uncertainty in end-user demand could negatively impact end-user orders. Accordingly, our expectations for both short and long-term future revenue is based almost exclusively on our own estimate of future demand based on history and the pipeline of sales opportunities we manage, rather than on firm orders. The mix of product demand varies significantly from quarter to quarter, further complicating our estimated product needs. Our expense and inventory levels are based largely on these estimates. In addition, our video solutions business is particularly unpredictable and subject to variation due to the short time-frame between when we learn of an opportunity and when the event occurs. Further, the majority of our product orders are received in the last month of a quarter; thus, the unpredictability of the receipt of these orders could negatively impact our future results. Accordingly, any significant shortfall in demand for our products or services in relation to our expectations, even if the result was a short-term delay in orders, would have an adverse impact on our operating results.</w:t>
            </w:r>
            <w:r>
              <w:t xml:space="preserve"> </w:t>
            </w:r>
            <w:r>
              <w:t xml:space="preserve">16</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The demand for our hosting and video solutions services as well as a growing preference from our customers in purchasing our annually licensed software has grown over time, while sales of our recorders have declined. As a result, we have seen an increase in service billings and recurring revenue as a percentage of total billings, and a decrease in hardware billings. We expect this trend to continue, which we expect to help improve predictability of revenue and gross margins but will delay the impact on revenue of any increase or decrease in billings during any particular quarter. We subcontract for some services required by our events customers, such as onsite management labor. We typically charge for such services at a lower margin than other services. The percentage of billings represented by services, provided either directly or indirectly, is also likely to fluctuate from quarter to quarter due to seasonality of event services and other factors. Since content hosting and support services are typically billed in advance of providing the service, revenue is initially deferred, leading to reduced current period revenue with a corresponding negative impact to profits or losses in periods of significant increase in the percentage of our billings for deferred services.</w:t>
            </w:r>
            <w:r>
              <w:t xml:space="preserve"> </w:t>
            </w:r>
            <w:r>
              <w:t xml:space="preserve">Accounting regulations and related interpretations and policies, particularly those related to revenue recognition, cause us to defer revenue recognition into future periods for all or portions of our products and services.</w:t>
            </w:r>
            <w:r>
              <w:t xml:space="preserve"> </w:t>
            </w:r>
            <w:r>
              <w:t xml:space="preserve">Revenue recognition for our products and services is complex and subject to multiple sources of authoritative guidance as well as varied interpretations and implementation practices for such rules. These rules require us to apply judgment in determining revenue recognition. In certain situations, we may have to defer the entire amount of revenue from a transaction, even when the product has already shipped. This may occur when the customer has delayed payment on the transaction, or in certain other circumstances, such as when we agree to extend payment terms on other invoices from such customer. In addition, we always defer revenue when services are included in a transaction, and not performed. Other factors that are considered in revenue recognition include those such as standalone selling price (SSP), best estimate of selling price and the inclusion of other services and contingencies to payment terms. We expect that we will continue to defer portions or, in certain circumstances, all of our product or service billings because of these factors, and to the extent that management’s judgment is incorrect it could result in an increase in the amount of revenue deferred in any one period. The amounts deferred may be significant and may vary from quarter to quarter depending on, among other factors, compliance with payment terms, the mix of products sold, combination of products and services sold together or contractual terms.</w:t>
            </w:r>
            <w:r>
              <w:t xml:space="preserve"> </w:t>
            </w:r>
            <w:r>
              <w:t xml:space="preserve">Additional changes in authoritative guidance, including the interpretation of "Revenue from Contracts with Customers (Topic 606)", or changes in practice in applying such rules could also cause us to defer the recognition of revenue to future periods or recognize lower revenue. See Note 1 - Accounting Policies of the Notes to Financial Statements (Part II, Item 8 of this Form 10-K) for further discussion.</w:t>
            </w:r>
            <w:r>
              <w:t xml:space="preserve"> </w:t>
            </w:r>
            <w:r>
              <w:t xml:space="preserve">Because we generally recognize revenues ratably over the term of our service contracts, decreases or increases in service transactions will not be fully reflected in our operating results until future periods.</w:t>
            </w:r>
            <w:r>
              <w:t xml:space="preserve"> </w:t>
            </w:r>
            <w:r>
              <w:t xml:space="preserve">We recognize most of our revenues from service contracts monthly over the terms of their agreements, which are typically 12 months, although terms have ranged from less than one month to 48 months, or more. As a result, much of the service revenue we report in each quarter is attributable to agreements entered into during previous quarters. Consequently, a decline in sales, client renewals or market acceptance of our products in any one quarter will not necessarily be fully reflected in the revenues in that quarter and will negatively affect our revenues and profitability in future quarters. This ratable revenue recognition also makes it difficult for us to rapidly increase our revenues through additional sales in any period, as revenues from new clients must be recognized over the applicable agreement term.</w:t>
            </w:r>
            <w:r>
              <w:t xml:space="preserve"> </w:t>
            </w:r>
            <w:r>
              <w:t xml:space="preserve">Currency exchange rate fluctuations could result in higher costs and decreased margins and earnings.</w:t>
            </w:r>
            <w:r>
              <w:t xml:space="preserve"> </w:t>
            </w:r>
            <w:r>
              <w:t xml:space="preserve">The functional currency of our foreign subsidiaries in the Netherlands is the Euro and in Japan is the Japanese Yen. They are subject to foreign currency exchange rate risk and saw significant weakening of foreign currencies compared to the US dollar in fiscal 2022 that continues to this day. The conversion rate of the Yen to the US Dollar varied from about 112 to approximately 150 during fiscal 2022, and from 128 to 150 during fiscal 2023 compared to as strong as 102 to the US dollar in fiscal 2021. The strength of the dollar impacts our ability to export profitably to other countries and will likely continue to fluctuate. Any increase in the exchange rate of the US Dollar compared to the Euro or the Japanese Yen will negatively impact our ability to sell US dollar denominated products and services into foreign countries and dilute the translation of local billed revenue in Japan and Europe.</w:t>
            </w:r>
            <w:r>
              <w:t xml:space="preserve"> </w:t>
            </w:r>
            <w:r>
              <w:t xml:space="preserve">Our ability to utilize our net operating loss carryforwards may be limited.</w:t>
            </w:r>
            <w:r>
              <w:t xml:space="preserve"> </w:t>
            </w:r>
            <w:r>
              <w:t xml:space="preserve">The use of our net operating loss carryforwards may have limitations resulting from certain future ownership changes or other factors under the Internal Revenue Code and other taxing authorities. The Tax Cuts and Jobs Act of 2017 changed both the federal deferred tax value of the net operating loss carryforwards and the rules of utilization of federal net operating loss carryforwards. The Tax Cuts and Jobs Act of 2017 lowered the corporate tax rate from 35% to 21% effective for our 2018 fiscal year. For net operating loss carryforwards generated in years prior to 2018, there is no annual limitation on the utilization and the carryforward period remains at 20 years. There could be a limitation if a change in ownership occurs. However, net operating loss carryforwards generated in years after 2017 will only be available to offset 80% of future taxable income in any single year, but will not expire.</w:t>
            </w:r>
            <w:r>
              <w:t xml:space="preserve"> </w:t>
            </w:r>
            <w:r>
              <w:t xml:space="preserve">17</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If our net operating loss carryforwards are limited, and we have taxable income which exceeds the available net operating loss carryforwards for that period, we would incur an income tax liability even though net operating loss carryforwards may be available in future years prior to their expiration. Any such income tax liability may adversely affect our future cash flow, financial position, and financial results.</w:t>
            </w:r>
            <w:r>
              <w:t xml:space="preserve"> </w:t>
            </w:r>
            <w:r>
              <w:t xml:space="preserve">Company Risks</w:t>
            </w:r>
            <w:r>
              <w:t xml:space="preserve"> </w:t>
            </w:r>
            <w:r>
              <w:t xml:space="preserve">–</w:t>
            </w:r>
            <w:r>
              <w:t xml:space="preserve"> </w:t>
            </w:r>
            <w:r>
              <w:t xml:space="preserve">Operational</w:t>
            </w:r>
            <w:r>
              <w:t xml:space="preserve"> </w:t>
            </w:r>
            <w:r>
              <w:t xml:space="preserve">Operational failures in our network infrastructure could disrupt our remote hosting services, cause us to lose clients and sales to potential clients and result in increased expenses and reduced revenues.</w:t>
            </w:r>
            <w:r>
              <w:t xml:space="preserve"> </w:t>
            </w:r>
            <w:r>
              <w:t xml:space="preserve">Unanticipated problems affecting our network systems could cause interruptions or delays in the delivery of the hosting services we provide to some of our clients. We are not equipped to provide full disaster recovery to all of our hosted clients. If there are operational failures in our network infrastructure that cause interruptions, slower response times, loss of data or extended loss of service for our remotely hosted clients, we may be required to issue credits or pay penalties, current clients may terminate their contracts or elect not to renew them and we may lose sales to potential clients.</w:t>
            </w:r>
            <w:r>
              <w:t xml:space="preserve"> </w:t>
            </w:r>
            <w:r>
              <w:t xml:space="preserve">In fiscal 2023 we began the process of migrating our hosted infrastructure to a public cloud which we believe will improve reliability, scalability and cost efficiency. We’ve migrated all but one of our data centers and expect to complete the process in the next few months. The process involves operational risks and may result in some customer attrition if they perceive that their data is less local, or at greater risk of being compromised. Any service outage or loss of revenue would have a negative impact on our results. While we believe the migration to the public cloud will allow us to avoid significant additional capital and operating costs, the contract with our public cloud provider is expensive and requires a commitment through fiscal 2026. As a result, we are reliant on third parties for network availability, so outages may be outside our control.</w:t>
            </w:r>
            <w:r>
              <w:t xml:space="preserve"> </w:t>
            </w:r>
            <w:r>
              <w:t xml:space="preserve">Our business is susceptible to risks associated with international operations.</w:t>
            </w:r>
            <w:r>
              <w:t xml:space="preserve"> </w:t>
            </w:r>
            <w:r>
              <w:t xml:space="preserve">International product and service billings represented 29% and 25% of the Company’s total billings in 2022 and 2023, respectively, and are expected to continue to account for a significant portion of our business in the future. International sales are subject to a variety of risks, including:</w:t>
            </w:r>
            <w:r>
              <w:t xml:space="preserve"> </w:t>
            </w:r>
            <w:r>
              <w:t xml:space="preserve">●</w:t>
            </w:r>
            <w:r>
              <w:t xml:space="preserve"> </w:t>
            </w:r>
            <w:r>
              <w:t xml:space="preserve">Difficulties in establishing and managing international subsidiaries, distribution channels and operations;</w:t>
            </w:r>
            <w:r>
              <w:t xml:space="preserve"> </w:t>
            </w:r>
            <w:r>
              <w:t xml:space="preserve">●</w:t>
            </w:r>
            <w:r>
              <w:t xml:space="preserve"> </w:t>
            </w:r>
            <w:r>
              <w:t xml:space="preserve">Difficulties in selling, servicing, and supporting overseas products, translating products into foreign languages and compliance with local hardware requirements;</w:t>
            </w:r>
            <w:r>
              <w:t xml:space="preserve"> </w:t>
            </w:r>
            <w:r>
              <w:t xml:space="preserve">●</w:t>
            </w:r>
            <w:r>
              <w:t xml:space="preserve"> </w:t>
            </w:r>
            <w:r>
              <w:t xml:space="preserve">Restrictions related to COVID on traveling to support our international customers.</w:t>
            </w:r>
            <w:r>
              <w:t xml:space="preserve"> </w:t>
            </w:r>
            <w:r>
              <w:t xml:space="preserve">●</w:t>
            </w:r>
            <w:r>
              <w:t xml:space="preserve"> </w:t>
            </w:r>
            <w:r>
              <w:t xml:space="preserve">Difficulties in managing the demands of large international deployments, many of which distract key sales personnel from opportunities in other parts of the world;</w:t>
            </w:r>
            <w:r>
              <w:t xml:space="preserve"> </w:t>
            </w:r>
            <w:r>
              <w:t xml:space="preserve">●</w:t>
            </w:r>
            <w:r>
              <w:t xml:space="preserve"> </w:t>
            </w:r>
            <w:r>
              <w:t xml:space="preserve">Challenges associated with management transition;</w:t>
            </w:r>
            <w:r>
              <w:t xml:space="preserve"> </w:t>
            </w:r>
            <w:r>
              <w:t xml:space="preserve">●</w:t>
            </w:r>
            <w:r>
              <w:t xml:space="preserve"> </w:t>
            </w:r>
            <w:r>
              <w:t xml:space="preserve">Challenges related to language or cultural differences;</w:t>
            </w:r>
            <w:r>
              <w:t xml:space="preserve"> </w:t>
            </w:r>
            <w:r>
              <w:t xml:space="preserve">●</w:t>
            </w:r>
            <w:r>
              <w:t xml:space="preserve"> </w:t>
            </w:r>
            <w:r>
              <w:t xml:space="preserve">The uncertainty of laws and enforcement in certain countries, such as China, relating to the protection of intellectual property or requirements for product certification, protection of personal data or other restrictions;</w:t>
            </w:r>
            <w:r>
              <w:t xml:space="preserve"> </w:t>
            </w:r>
            <w:r>
              <w:t xml:space="preserve">●</w:t>
            </w:r>
            <w:r>
              <w:t xml:space="preserve"> </w:t>
            </w:r>
            <w:r>
              <w:t xml:space="preserve">Competitive pressure impacting other parts of the world;</w:t>
            </w:r>
            <w:r>
              <w:t xml:space="preserve"> </w:t>
            </w:r>
            <w:r>
              <w:t xml:space="preserve">●</w:t>
            </w:r>
            <w:r>
              <w:t xml:space="preserve"> </w:t>
            </w:r>
            <w:r>
              <w:t xml:space="preserve">Multiple and possibly overlapping tax structures;</w:t>
            </w:r>
            <w:r>
              <w:t xml:space="preserve"> </w:t>
            </w:r>
            <w:r>
              <w:t xml:space="preserve">●</w:t>
            </w:r>
            <w:r>
              <w:t xml:space="preserve"> </w:t>
            </w:r>
            <w:r>
              <w:t xml:space="preserve">Currency and exchange rate fluctuations and imposition of tariffs or quotas;</w:t>
            </w:r>
            <w:r>
              <w:t xml:space="preserve"> </w:t>
            </w:r>
            <w:r>
              <w:t xml:space="preserve">●</w:t>
            </w:r>
            <w:r>
              <w:t xml:space="preserve"> </w:t>
            </w:r>
            <w:r>
              <w:t xml:space="preserve">Difficulties in collecting accounts receivable in foreign countries, including complexities in documenting letters of credit;</w:t>
            </w:r>
            <w:r>
              <w:t xml:space="preserve"> </w:t>
            </w:r>
            <w:r>
              <w:t xml:space="preserve">●</w:t>
            </w:r>
            <w:r>
              <w:t xml:space="preserve"> </w:t>
            </w:r>
            <w:r>
              <w:t xml:space="preserve">Economic or political changes in international markets;</w:t>
            </w:r>
            <w:r>
              <w:t xml:space="preserve"> </w:t>
            </w:r>
            <w:r>
              <w:t xml:space="preserve">●</w:t>
            </w:r>
            <w:r>
              <w:t xml:space="preserve"> </w:t>
            </w:r>
            <w:r>
              <w:t xml:space="preserve">Restrictions on access to the Internet; and</w:t>
            </w:r>
            <w:r>
              <w:t xml:space="preserve"> </w:t>
            </w:r>
            <w:r>
              <w:t xml:space="preserve">●</w:t>
            </w:r>
            <w:r>
              <w:t xml:space="preserve"> </w:t>
            </w:r>
            <w:r>
              <w:t xml:space="preserve">Difficulty in complying with international employment related requirements.</w:t>
            </w:r>
            <w:r>
              <w:t xml:space="preserve"> </w:t>
            </w:r>
            <w:r>
              <w:t xml:space="preserve">Supporting our existing and growing customer base and implementing large customer deployments could strain our personnel resources and infrastructure, and if we are unable to scale our operations and increase productivity, customer satisfaction and our business will be harmed.</w:t>
            </w:r>
            <w:r>
              <w:t xml:space="preserve"> </w:t>
            </w:r>
            <w:r>
              <w:t xml:space="preserve">Frequent enhancements to our software put pressure on our customers to install, maintain and train their personnel on its use. Furthermore, frequent releases of the software can lead to less product stability. As a result, our customer care and engineering resources have come under, and are expected in the future, to come under significant pressure in providing the high-quality of technical support our customers expect during periods of high demand. We may be unable to respond quickly enough to accommodate short-term increases in customer demand for support services. Increased customer demand for these services, without corresponding revenues, could increase costs and adversely affect our operating results. In addition, our sales process is highly dependent on our applications and business reputation and on positive recommendations from our existing customers. Any failure to maintain high-quality technical support, or a market perception that we do not maintain high-quality support, could adversely affect our reputation, our ability to sell our products and services to existing and prospective customers, and our business, operating results and financial position.</w:t>
            </w:r>
            <w:r>
              <w:t xml:space="preserve"> </w:t>
            </w:r>
            <w:r>
              <w:t xml:space="preserve">We have targeted more of our sales efforts at larger initial transactions – creating increasingly complex deployments requiring substantial technical and management resources, including in some cases significant product customization and integration with other applications or hardware. Customers making large expenditures for our products and services typically have higher expectations of product and service operability and response time if issues arise. Some of these customers have asked us to host their content and have significant amounts of legacy content to transfer to our datacenter. Such increased activity and storage demand on our data centers put additional strain on our personnel and hosting infrastructure. Our hosting customers typically require a high level of access, data security and need to capture and store multiple high-definition streams. Such requirements require costly enhancements to our infrastructure. If we do not accurately plan for our infrastructure capacity requirements and we experience significant strains on our data center capacity, our customers could experience performance degradation or service outages that may subject us to financial penalties, result in customer losses and harm our business. As we transition from our data centers to a public cloud, we may move or transfer our data and our customers’ data. Despite precautions taken during this process, any unsuccessful data transfers may impair the delivery of our services, which may damage our business. High demand on technical and management resources to manage large transactions distract personnel from existing customers, development of new products and other important activities which could lead to potential customer dissatisfaction, product development delays or other issues associated with the distraction.</w:t>
            </w:r>
            <w:r>
              <w:t xml:space="preserve"> </w:t>
            </w:r>
            <w:r>
              <w:t xml:space="preserve">18</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If a customer is not satisfied with the quality of work performed by us or a third party in performing our events services, we could incur additional costs to address the situation and delay recognition of revenue, the profitability of that work might be impaired, and the customer’s dissatisfaction with our services could damage our ability to obtain additional work from that customer. We could face equipment or Internet connection failure outside our control but could regardless result in the customer being dissatisfied with our performance. In addition, negative publicity related to our customer relationships, regardless of its accuracy, may further damage our business by affecting our ability to compete for new business with current and prospective customers.</w:t>
            </w:r>
            <w:r>
              <w:t xml:space="preserve"> </w:t>
            </w:r>
            <w:r>
              <w:t xml:space="preserve">If we lose key personnel or fail to integrate replacement personnel successfully, our ability to manage our business could be impaired.</w:t>
            </w:r>
            <w:r>
              <w:t xml:space="preserve"> </w:t>
            </w:r>
            <w:r>
              <w:t xml:space="preserve">Our future success depends upon the continued service of our key management, technical, sales and other critical personnel, including our Chief Executive Officer. Most of our officers and other key personnel are employees-at-will, and we cannot assure that we will be able to retain them. Key personnel have left our Company in the past, sometimes to accept employment with companies that sell similar products or services to existing or potential customers of ours. The technology industry is subject to substantial and continuous competition for engineers with high levels of experience in designing, developing, and managing software and Internet-related services, as well as competition for sales and operations personnel. There will likely be additional departures of key personnel from time to time in the future and such departures could result in additional competition, loss of institutional knowledge, reduced capacity to execute our business, loss of customers or confusion in the marketplace. As we seek to replace such departures, or expand our business, the hiring of qualified sales, technical and support personnel is difficult due to the limited number of qualified professionals and may be impossible to do in a timely manner. Training of new sales, technical and support personnel can take six months or longer before they become productive. Sales and technical strategies have changed and will likely change further in the future and require different skills to sell to different customer types and develop new and changing products. The loss of any key employee could result in significant disruptions to our operations, including adversely affecting the timeliness of product releases, the successful implementation and completion of Company initiatives and the results of our operations. In addition, we do not have life insurance policies on any of our key employees. If we lose the services of any of our key employees, the integration of replacement personnel could be time-consuming, potentially causing disruptions to our operations and may be unsuccessful.</w:t>
            </w:r>
            <w:r>
              <w:t xml:space="preserve"> </w:t>
            </w:r>
            <w:r>
              <w:t xml:space="preserve">Manufacturing disruption or capacity constraints would harm our business.</w:t>
            </w:r>
            <w:r>
              <w:t xml:space="preserve"> </w:t>
            </w:r>
            <w:r>
              <w:t xml:space="preserve">We subcontract the manufacturing of our recorders to a third-party contract manufacturer. Although we believe there are multiple sources of supply from other contract manufacturers, as well as multiple suppliers of component parts required by our contract manufacturer, there have been recent periods of global shortages of most component parts. The inability to get parts or completed systems required to satisfy customer demand would have a material negative impact on our revenues. Likewise, we are susceptible to any material change in terms, such as pricing, level of services performed or changes to payment terms by our contract manufacturer. In particular, the cost of our products increased as a result of increased tariffs, an imbalance between supply and demand, inflation and challenges finding sources of distribution. Many component parts currently have long delivery lead times or cease production of certain components with limited notice in which to evaluate or obtain alternate supply, requiring conservative estimation of production requirements. Lengthening lead times, product design changes and other third-party manufacturing disruptions have caused delays in delivery in the past and will likely continue to occur. We have a past due balance with our subcontract manufacturer which has resulted in finance charges, reduced service and has strained relationships. In order to compensate for supply delays, we have sourced components from increased order lead-time from approximately three months to fifteen months, shopped other offshore locations, used cross component parts, paid significantly higher prices or premium fees to expedite delivery for short supply components, produced alternate versions and converted inventory from one version to another. We have typically maintained greater amounts of inventory as insurance against delays. Our inventory levels at September 30, 2023 were $1.9 million compared to $1.5 million at September 30, 2022. Many of these strategies have increased our costs or require substantial resources to maintain and may not be sufficient to ensure against a product shortage. We depend on our subcontract manufacturer to produce our products efficiently while maintaining high levels of quality despite frequent changes in configuration and scheduling imposed by us. Any manufacturing or component defects, delay in production or changes in product features will likely cause customer dissatisfaction and may harm our reputation. Moreover, any incapacitation of the manufacturing site due to destruction, natural disaster or similar events could result in a loss of product inventory. As a result of any of the foregoing, we may not be able to meet demand for our products, which could negatively affect revenues in the quarter of the disruption or longer depending upon the magnitude of the event, and could harm our reputation.</w:t>
            </w:r>
            <w:r>
              <w:t xml:space="preserve"> </w:t>
            </w:r>
            <w:r>
              <w:t xml:space="preserve">We license technology from third parties. If we are unable to maintain these licenses, our operations and financial condition may be negatively impacted.</w:t>
            </w:r>
            <w:r>
              <w:t xml:space="preserve"> </w:t>
            </w:r>
            <w:r>
              <w:t xml:space="preserve">We license technology from third parties. The loss of, our inability to maintain, or changes in material terms of these licenses could result in increased cost or delayed sales of our software, and services, or may cause us to remove features from our products or services. We anticipate that we will continue to license technology from third parties in the future. This technology may not continue to be available on commercially reasonable terms, if at all. Although we do not believe that we are substantially dependent on any individual licensed technology, some of the component technologies that we license from third parties could be difficult for us to replace. The impairment of these third-party relationships, especially if this impairment were to occur in unison, could result in delays in the delivery of our software and services until equivalent technology, if available, is identified, licensed, and integrated. This delay could adversely affect our operating results and financial condition.</w:t>
            </w:r>
            <w:r>
              <w:t xml:space="preserve"> </w:t>
            </w:r>
            <w:r>
              <w:t xml:space="preserve">19</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Company Risks</w:t>
            </w:r>
            <w:r>
              <w:t xml:space="preserve"> </w:t>
            </w:r>
            <w:r>
              <w:t xml:space="preserve">–</w:t>
            </w:r>
            <w:r>
              <w:t xml:space="preserve"> </w:t>
            </w:r>
            <w:r>
              <w:t xml:space="preserve">Strategic</w:t>
            </w:r>
            <w:r>
              <w:t xml:space="preserve"> </w:t>
            </w:r>
            <w:r>
              <w:t xml:space="preserve">The technology underlying our products and services is complex and may contain unknown defects that could harm our reputation, result in product liability, or decrease market acceptance of our products.</w:t>
            </w:r>
            <w:r>
              <w:t xml:space="preserve"> </w:t>
            </w:r>
            <w:r>
              <w:t xml:space="preserve">The technology underlying our products and services is complex and includes software that is internally developed, software licensed from third parties and hardware purchased from third parties. These products have, and will in the future, contain errors or defects, particularly when first introduced or when new versions or enhancements are released. We may not discover defects that affect our current or new applications or enhancements until after they are sold, and our insurance coverage may not be sufficient to cover our exposure. Further, there are third-party applications our products and services are dependent on, or integrate with, such as operating systems and learning management systems. These integrations require specialized knowledge that is difficult and expensive to maintain. Failure to maintain compatibility with such applications or identification of defects in our products and services could:</w:t>
            </w:r>
            <w:r>
              <w:t xml:space="preserve"> </w:t>
            </w:r>
            <w:r>
              <w:t xml:space="preserve">●</w:t>
            </w:r>
            <w:r>
              <w:t xml:space="preserve"> </w:t>
            </w:r>
            <w:r>
              <w:t xml:space="preserve">Damage our reputation;</w:t>
            </w:r>
            <w:r>
              <w:t xml:space="preserve"> </w:t>
            </w:r>
            <w:r>
              <w:t xml:space="preserve">●</w:t>
            </w:r>
            <w:r>
              <w:t xml:space="preserve"> </w:t>
            </w:r>
            <w:r>
              <w:t xml:space="preserve">Cause our customers to initiate product liability suits against us;</w:t>
            </w:r>
            <w:r>
              <w:t xml:space="preserve"> </w:t>
            </w:r>
            <w:r>
              <w:t xml:space="preserve">●</w:t>
            </w:r>
            <w:r>
              <w:t xml:space="preserve"> </w:t>
            </w:r>
            <w:r>
              <w:t xml:space="preserve">Increase our product development resources;</w:t>
            </w:r>
            <w:r>
              <w:t xml:space="preserve"> </w:t>
            </w:r>
            <w:r>
              <w:t xml:space="preserve">●</w:t>
            </w:r>
            <w:r>
              <w:t xml:space="preserve"> </w:t>
            </w:r>
            <w:r>
              <w:t xml:space="preserve">Cause customers to cancel orders, ask for partial refunds or potential customers to purchase competitive products or services;</w:t>
            </w:r>
            <w:r>
              <w:t xml:space="preserve"> </w:t>
            </w:r>
            <w:r>
              <w:t xml:space="preserve">●</w:t>
            </w:r>
            <w:r>
              <w:t xml:space="preserve"> </w:t>
            </w:r>
            <w:r>
              <w:t xml:space="preserve">Delay release or market acceptance of our products, or otherwise adversely impact our relationships with our customers; and/or</w:t>
            </w:r>
            <w:r>
              <w:t xml:space="preserve"> </w:t>
            </w:r>
            <w:r>
              <w:t xml:space="preserve">●</w:t>
            </w:r>
            <w:r>
              <w:t xml:space="preserve"> </w:t>
            </w:r>
            <w:r>
              <w:t xml:space="preserve">Cause us to allocate valuable engineering resources to fix our existing products, which may cause us to allocate fewer resources toward developing new products, or toward adding features to our existing products.</w:t>
            </w:r>
            <w:r>
              <w:t xml:space="preserve"> </w:t>
            </w:r>
            <w:r>
              <w:t xml:space="preserve">Our success depends upon the proprietary aspects of our technology.</w:t>
            </w:r>
            <w:r>
              <w:t xml:space="preserve"> </w:t>
            </w:r>
            <w:r>
              <w:t xml:space="preserve">Our success and ability to compete depend to a significant degree upon the protection of our proprietary technology. We currently have three U.S. patents that have been issued to us. We may seek additional patents in the future. However, it is possible that:</w:t>
            </w:r>
            <w:r>
              <w:t xml:space="preserve"> </w:t>
            </w:r>
            <w:r>
              <w:t xml:space="preserve">●</w:t>
            </w:r>
            <w:r>
              <w:t xml:space="preserve"> </w:t>
            </w:r>
            <w:r>
              <w:t xml:space="preserve">Any patents acquired by or issued to us may not be broad enough to protect us.</w:t>
            </w:r>
            <w:r>
              <w:t xml:space="preserve"> </w:t>
            </w:r>
            <w:r>
              <w:t xml:space="preserve">●</w:t>
            </w:r>
            <w:r>
              <w:t xml:space="preserve"> </w:t>
            </w:r>
            <w:r>
              <w:t xml:space="preserve">Any issued patent could be successfully challenged by one or more third parties, which could result in our loss of the right to prevent others from exploiting the inventions claimed in those patents.</w:t>
            </w:r>
            <w:r>
              <w:t xml:space="preserve"> </w:t>
            </w:r>
            <w:r>
              <w:t xml:space="preserve">●</w:t>
            </w:r>
            <w:r>
              <w:t xml:space="preserve"> </w:t>
            </w:r>
            <w:r>
              <w:t xml:space="preserve">Current and future competitors may independently develop similar technology, duplicate our services or design around any of our patents.</w:t>
            </w:r>
            <w:r>
              <w:t xml:space="preserve"> </w:t>
            </w:r>
            <w:r>
              <w:t xml:space="preserve">●</w:t>
            </w:r>
            <w:r>
              <w:t xml:space="preserve"> </w:t>
            </w:r>
            <w:r>
              <w:t xml:space="preserve">Effective patent protection, including effective legal-enforcement mechanisms against those who violate our patent-related assets, may not be available in every country in which we do or plan to do business.</w:t>
            </w:r>
            <w:r>
              <w:t xml:space="preserve"> </w:t>
            </w:r>
            <w:r>
              <w:t xml:space="preserve">●</w:t>
            </w:r>
            <w:r>
              <w:t xml:space="preserve"> </w:t>
            </w:r>
            <w:r>
              <w:t xml:space="preserve">We may not have the resources to enforce our patents or may determine the potential benefits are not worth the cost and risk of ultimately being unsuccessful.</w:t>
            </w:r>
            <w:r>
              <w:t xml:space="preserve"> </w:t>
            </w:r>
            <w:r>
              <w:t xml:space="preserve">We may not be able to innovate to meet the needs of our target markets.</w:t>
            </w:r>
            <w:r>
              <w:t xml:space="preserve"> </w:t>
            </w:r>
            <w:r>
              <w:t xml:space="preserve">Our future success will continue to depend upon our ability to create an effective product development strategy, to develop new products, product enhancements and service offerings that address future and rapidly changing needs of our existing target markets and enable us to expand the market for our products and service offerings. Our success is also dependent upon our ability to respond to changing standards and practices on a timely basis, particularly as customers move away from hardware to software solutions. The success of new strategies, products, product enhancements and service offerings depend on several factors, including timely completion, quality and stability, and market acceptance. Our Mediasite brand is highly valued by the majority of our customers but faces significant competition from other products that may include features Mediasite doesn’t include. Maintaining a competitive advantage has been and will likely continue to be challenging. Our fiscal 2024 business plan includes an expectation that we continue to develop and introduce new products and service offerings under our new Vidable and Global Learning Exchange brands. These offerings will likely take significant investment in key engineering, sales and management resources with little impact on fiscal 2024 revenue. While the Company believes that investment in areas where it believes there is a much greater opportunity for growth will yield significant revenue improvement in future years, there can be no assurance we will be successful due to market acceptance, correct identification of opportunity markets, speed to market, unknown competitors, stability of educational and learning needs and other relevant new product development risks.</w:t>
            </w:r>
            <w:r>
              <w:t xml:space="preserve"> </w:t>
            </w:r>
            <w:r>
              <w:t xml:space="preserve">Our revenue could be adversely impacted if we do not capitalize on opportunities to develop innovative new products, product enhancements and service offerings that will increase the likelihood that our products and services will be accepted in preference to the products and services of our current and future competitors. Some of our prospective customers may delay the purchase of our products or services until certain features are completed, may require custom development of certain features as part of the purchase decision, or may condition additional payments tied to completion of such features. Prioritizing such custom features can be difficult to adapt to other customers and distracts our engineering team from implementing features required by other customers.</w:t>
            </w:r>
            <w:r>
              <w:t xml:space="preserve"> </w:t>
            </w:r>
            <w:r>
              <w:t xml:space="preserve">If potential customers or competitors use open-source software to develop products that are competitive with our products and services, we may face decreased demand and pressure to reduce the prices for our products.</w:t>
            </w:r>
            <w:r>
              <w:t xml:space="preserve"> </w:t>
            </w:r>
            <w:r>
              <w:t xml:space="preserve">The growing acceptance and prevalence of open-source software may make it easier for competitors or potential competitors to develop software applications that compete with our products, or for customers and potential customers to internally develop software applications that they would otherwise have licensed from us. One of the aspects of open-source software is that it can be modified or used to develop new software that competes with proprietary software applications, such as ours. Such competition can develop without the degree of overhead and lead time required by traditional proprietary software companies. As open-source offerings become more prevalent, customers may defer or forego purchases of our products, which could reduce our sales and lengthen the sales cycle for our products or result in the loss of current customers to open-source solutions. If we are unable to differentiate our products from competitive products based on open-source software, demand for our products and services may decline, and we may face pressure to reduce the prices of our products, which would hurt our profitability. If our use of open-source is challenged and construed unfavorably, our operating results could be adversely impacted.</w:t>
            </w:r>
            <w:r>
              <w:t xml:space="preserve"> </w:t>
            </w:r>
            <w:r>
              <w:t xml:space="preserve">20</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We use open-source software in our application suite. Although we monitor our use of open-source software closely, the terms of many open source licenses have not been interpreted by United States courts, and there is risk that such licenses could be construed in a manner that imposes unanticipated conditions or restrictions on our ability to commercialize our products. In such event, we could be required to re-engineer our technology or to discontinue offering all or a portion of our products in the event re-engineering cannot be accomplished on a timely basis, any of which could adversely affect our business, operating results, and financial condition.</w:t>
            </w:r>
            <w:r>
              <w:t xml:space="preserve"> </w:t>
            </w:r>
            <w:r>
              <w:t xml:space="preserve">We also rely upon trademark, copyright, and trade secret laws, which may not be sufficient to protect our intellectual property.</w:t>
            </w:r>
            <w:r>
              <w:t xml:space="preserve"> </w:t>
            </w:r>
            <w:r>
              <w:t xml:space="preserve">We also rely on a combination of laws, such as copyright, trademark and trade secret laws and contractual restrictions, such as confidentiality agreements and licenses, to establish and protect our technology. We have registered three U.S. and four foreign country trademarks. These forms of intellectual property protection are critically important to our ability to establish and maintain our competitive position. However, it is possible that:</w:t>
            </w:r>
            <w:r>
              <w:t xml:space="preserve"> </w:t>
            </w:r>
            <w:r>
              <w:t xml:space="preserve">●</w:t>
            </w:r>
            <w:r>
              <w:t xml:space="preserve"> </w:t>
            </w:r>
            <w:r>
              <w:t xml:space="preserve">Third parties may infringe or misappropriate our copyrights, trademarks and similar proprietary rights.</w:t>
            </w:r>
            <w:r>
              <w:t xml:space="preserve"> </w:t>
            </w:r>
            <w:r>
              <w:t xml:space="preserve">●</w:t>
            </w:r>
            <w:r>
              <w:t xml:space="preserve"> </w:t>
            </w:r>
            <w:r>
              <w:t xml:space="preserve">Laws and contractual restrictions may not be sufficient to prevent misappropriation of our technology or to deter others from developing similar technologies, particularly in foreign countries where the laws may not protect our proprietary rights as fully or as readily as Unites States laws.</w:t>
            </w:r>
            <w:r>
              <w:t xml:space="preserve"> </w:t>
            </w:r>
            <w:r>
              <w:t xml:space="preserve">●</w:t>
            </w:r>
            <w:r>
              <w:t xml:space="preserve"> </w:t>
            </w:r>
            <w:r>
              <w:t xml:space="preserve">There have been attacks on certain patent systems, increasing the likelihood of changes to established laws, including in the United States. We cannot predict the long-term effects of any potential changes, which could be detrimental to our licensing program.</w:t>
            </w:r>
            <w:r>
              <w:t xml:space="preserve"> </w:t>
            </w:r>
            <w:r>
              <w:t xml:space="preserve">●</w:t>
            </w:r>
            <w:r>
              <w:t xml:space="preserve"> </w:t>
            </w:r>
            <w:r>
              <w:t xml:space="preserve">Effective trademark, copyright, and trade secret protection, including effective legal-enforcement mechanisms against those who violate our trademark, copyright or trade secret assets, may be cost prohibitive or unavailable or limited in foreign countries.</w:t>
            </w:r>
            <w:r>
              <w:t xml:space="preserve"> </w:t>
            </w:r>
            <w:r>
              <w:t xml:space="preserve">●</w:t>
            </w:r>
            <w:r>
              <w:t xml:space="preserve"> </w:t>
            </w:r>
            <w:r>
              <w:t xml:space="preserve">Contractual agreements may not provide meaningful protection for our trade secrets, know-how or other proprietary information in the event of any unauthorized use, misappropriation or disclosure of such trade secrets, know-how or other proprietary information.</w:t>
            </w:r>
            <w:r>
              <w:t xml:space="preserve"> </w:t>
            </w:r>
            <w:r>
              <w:t xml:space="preserve">●</w:t>
            </w:r>
            <w:r>
              <w:t xml:space="preserve"> </w:t>
            </w:r>
            <w:r>
              <w:t xml:space="preserve">Other companies may claim common law trademark rights based upon state or foreign laws that precede the federal registration of our marks.</w:t>
            </w:r>
            <w:r>
              <w:t xml:space="preserve"> </w:t>
            </w:r>
            <w:r>
              <w:t xml:space="preserve">●</w:t>
            </w:r>
            <w:r>
              <w:t xml:space="preserve"> </w:t>
            </w:r>
            <w:r>
              <w:t xml:space="preserve">Policing unauthorized use of our services and trademarks is difficult, expensive, and time-consuming, and we may be unable to determine the extent of any unauthorized use.</w:t>
            </w:r>
            <w:r>
              <w:t xml:space="preserve"> </w:t>
            </w:r>
            <w:r>
              <w:t xml:space="preserve">●</w:t>
            </w:r>
            <w:r>
              <w:t xml:space="preserve"> </w:t>
            </w:r>
            <w:r>
              <w:t xml:space="preserve">Reverse engineering, unauthorized copying or other misappropriation of our proprietary technology could enable third parties to benefit from our technology without paying us for it, which would significantly harm our business.</w:t>
            </w:r>
            <w:r>
              <w:t xml:space="preserve"> </w:t>
            </w:r>
            <w:r>
              <w:t xml:space="preserve">If other parties bring infringement or other claims against us, we may incur significant costs or lose customers.</w:t>
            </w:r>
            <w:r>
              <w:t xml:space="preserve"> </w:t>
            </w:r>
            <w:r>
              <w:t xml:space="preserve">Other companies may obtain patents or other proprietary rights that would limit our ability to conduct our business and could assert that our technologies or other intellectual property infringe their proprietary rights. We have incurred substantial costs to defend against such claims in the past and could incur legal costs in the future, even if without merit, and intellectual property litigation could force us to cease using key technology, obtain a license or redesign our products. In the course of our business, we may sell certain systems to our customers, and in connection with such sale, we may agree to indemnify these customers from claims made against them by third parties for patent infringement related to these systems, which could harm our business.</w:t>
            </w:r>
            <w:r>
              <w:t xml:space="preserve"> </w:t>
            </w:r>
            <w:r>
              <w:t xml:space="preserve">There is a great deal of competition in the market for our product and services, which could lower the demand for our offerings and have a negative impact on our operations.</w:t>
            </w:r>
            <w:r>
              <w:t xml:space="preserve"> </w:t>
            </w:r>
            <w:r>
              <w:t xml:space="preserve">The market for our products and services is intensely competitive, dynamic and subject to rapid technological change. The intensity of the competition and the pace of change are expected to increase in the future, and likely will require the Company to compete on price and our offerings more than in the past, which could adversely affect our business and operating results. Increased competition has reduced gross margins, has resulted in new customer losses and may result in a loss of market share, any one of which could seriously harm our business. Competitors vary in size and in the scope and breadth of the products and services offered, many of which have greater financial resources, greater name recognition, more employees and greater financial, technical, marketing, public relations and distribution resources than we have. In addition, new competitors with greater financial resources may arise through partnerships, distribution agreements, mergers, acquisitions, or other types of transactions at any time. In particular, large companies have begun to make investments in and/or partner with smaller companies to enter the lecture capture and video management markets.</w:t>
            </w:r>
            <w:r>
              <w:t xml:space="preserve"> </w:t>
            </w:r>
            <w:r>
              <w:t xml:space="preserve">Various vendors provide lecture capture, enterprise webcasting or video content management capabilities, but few offer an end-to-end solution that addresses all phases of the video content lifecycle (capture, delivery, transformation, and management) in a single platform like Mediasite.</w:t>
            </w:r>
            <w:r>
              <w:t xml:space="preserve"> </w:t>
            </w:r>
            <w:r>
              <w:t xml:space="preserve">21</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Lecture capture solutions</w:t>
            </w:r>
            <w:r>
              <w:t xml:space="preserve"> </w:t>
            </w:r>
            <w:r>
              <w:t xml:space="preserve">designed specifically for higher education differ in their technological approach.</w:t>
            </w:r>
            <w:r>
              <w:t xml:space="preserve"> </w:t>
            </w:r>
            <w:r>
              <w:t xml:space="preserve">●</w:t>
            </w:r>
            <w:r>
              <w:t xml:space="preserve"> </w:t>
            </w:r>
            <w:r>
              <w:t xml:space="preserve">Appliance- or room-based lecture capture provides a fully integrated system with complete recording automation for live or on-demand content. The automated, pre-scheduled workflow results in the greatest faculty and staff adoption and largest volumes of recorded content in the shortest amount of time.</w:t>
            </w:r>
            <w:r>
              <w:t xml:space="preserve"> </w:t>
            </w:r>
            <w:r>
              <w:t xml:space="preserve">●</w:t>
            </w:r>
            <w:r>
              <w:t xml:space="preserve"> </w:t>
            </w:r>
            <w:r>
              <w:t xml:space="preserve">Software-based lecture capture that resides on a podium or computer in the classroom also captures and publishes rich media content but relies on campus- or user-supplied hardware.</w:t>
            </w:r>
            <w:r>
              <w:t xml:space="preserve"> </w:t>
            </w:r>
            <w:r>
              <w:t xml:space="preserve">●</w:t>
            </w:r>
            <w:r>
              <w:t xml:space="preserve"> </w:t>
            </w:r>
            <w:r>
              <w:t xml:space="preserve">Desktop capture tools reside on individual users’ laptops or computers allowing them to record user-generated content.</w:t>
            </w:r>
            <w:r>
              <w:t xml:space="preserve"> </w:t>
            </w:r>
            <w:r>
              <w:t xml:space="preserve">Few lecture capture vendors offer a mix of all lecture capture approaches to best suit customers’ needs. Most vendors, including Extron and Panopto, support only one approach to lecture capture. Likewise, a very small number of vendors provide an integrated platform like Mediasite to archive and manage video and rich media recorded with their solution. Most rely on a third-party platform, typically the institution’s learning or course management system, to publish, search and secure content.</w:t>
            </w:r>
            <w:r>
              <w:t xml:space="preserve"> </w:t>
            </w:r>
            <w:r>
              <w:t xml:space="preserve">Enterprise video management solutions</w:t>
            </w:r>
            <w:r>
              <w:t xml:space="preserve"> </w:t>
            </w:r>
            <w:r>
              <w:t xml:space="preserve">serve as centralized media repositories that facilitate the delivery, publishing, and management of on-demand video. Unlike Mediasite, most platforms do not include a video capture, webcasting, or live streaming component, but instead ingest or import video-based content captured by other third-party devices or solutions. Also, most other platforms focus on ingesting video-only content rather than rich video which combines multiple synchronous videos and/or slide streams into an interactive media experience.</w:t>
            </w:r>
            <w:r>
              <w:t xml:space="preserve"> </w:t>
            </w:r>
            <w:r>
              <w:t xml:space="preserve">Some current and potential customers develop their own home-grown lecture capture, webcasting or video content solutions which may also compete with Mediasite. However, we often find many of these organizations are now looking for a commercial solution that offers comprehensive management capabilities, requires fewer resources and internal maintenance, and delivers a less cumbersome workflow.</w:t>
            </w:r>
            <w:r>
              <w:t xml:space="preserve"> </w:t>
            </w:r>
            <w:r>
              <w:t xml:space="preserve">The competitive environment has required us to make changes in our products, pricing, licensing, services, or marketing to maintain and extend our current technology. Price concessions or the emergence of other pricing, licensing, and distribution strategies or technology solutions of competitors has impacted revenue growth and may in the future further reduce our revenue, margins, or market share. Other changes we have to make in response to competition, such as our desktop user interface or changes to address privacy concerns, could cause us to expend significant financial and other resources, disrupt our operations, strain relationships with partners, release products and enhancements before they are thoroughly tested or result in customer dissatisfaction, any of which could harm our operating results and stock price.</w:t>
            </w:r>
            <w:r>
              <w:t xml:space="preserve"> </w:t>
            </w:r>
            <w:r>
              <w:t xml:space="preserve">If our marketing and lead generation efforts are not successful, our business will be harmed.</w:t>
            </w:r>
            <w:r>
              <w:t xml:space="preserve"> </w:t>
            </w:r>
            <w:r>
              <w:t xml:space="preserve">We believe that continued marketing efforts will be critical in achieving widespread acceptance of our products. Our marketing strategies and campaigns may not be successful, and we may not be able to generate sufficient cash flow from operations to cover the expenses required to implement effective strategies and campaigns or may need to reallocate marketing resources from one brand to another. For example, failure to adequately generate and develop qualified sales leads could cause our future revenue to decrease. In addition, our inability to generate and cultivate qualified sales leads into large organizations, or significant cost to attain and maintain leads, where there is the potential for significant use of our products, could have a material adverse effect on our business. We may not be able to identify and secure the number of strategic qualified sales leads necessary to help generate marketplace acceptance of our products. If our marketing or lead-generation efforts are not successful, our business and operating results will be harmed.</w:t>
            </w:r>
            <w:r>
              <w:t xml:space="preserve"> </w:t>
            </w:r>
            <w:r>
              <w:t xml:space="preserve">The length of our sales and deployment cycles is uncertain, which may cause our revenue and operating results to vary significantly from quarter to quarter and year to year.</w:t>
            </w:r>
            <w:r>
              <w:t xml:space="preserve"> </w:t>
            </w:r>
            <w:r>
              <w:t xml:space="preserve">During our sales cycle, we spend considerable time and expense providing information to prospective customers about the use and benefits of our products without generating corresponding revenue. Our expense levels are relatively fixed in the short-term and based in part on our expectations of future revenue. Therefore, any delay in our sales cycle could cause significant variations in our operating results, particularly because a relatively small number of customer orders represent a large portion of our revenue.</w:t>
            </w:r>
            <w:r>
              <w:t xml:space="preserve"> </w:t>
            </w:r>
            <w:r>
              <w:t xml:space="preserve">Our largest potential sources of revenue are educational institutions, large corporations and government entities that often require long testing and approval processes before making a decision to purchase our products, particularly when evaluating our products for inclusion in new buildings under construction, high dollar transactions or competitive bids. In general, the process of selling our products to a potential customer may involve lengthy negotiations, collaborations with consultants, designers and architects, time consuming installation processes and changes in network infrastructure in excess of what we or our VARs are able to provide. In addition, educational institutions that started with small pilots are committing to more complex installations and expanding to include undergraduate classrooms, which, due to the increased size of these types of transactions, typically require a longer sales cycle. Also, our enterprise accounts are less motivated by seasonal sales and promotions, and therefore are frequently difficult to finalize. As a result of these factors, our sales and deployment cycles are unpredictable. Our sales and deployment cycles are also subject to delays as a result of customer-specific factors over which we have little or no control, including budgetary constraints, existing infrastructure technical issues and internal approval procedures, particularly with customers or potential customers that rely on government funding.</w:t>
            </w:r>
            <w:r>
              <w:t xml:space="preserve"> </w:t>
            </w:r>
            <w:r>
              <w:t xml:space="preserve">Our products are aimed toward a broadened user base within our key markets and these products are relatively early in their product life cycles. We cannot predict how the market for our products will develop, and part of our strategic challenge will be to convince targeted users of the productivity, improved communications and test scores, cost savings and other benefits. Accordingly, it is likely that delays in our sales cycles with these products will occur and this could cause significant variations in our operating results.</w:t>
            </w:r>
            <w:r>
              <w:t xml:space="preserve"> </w:t>
            </w:r>
            <w:r>
              <w:t xml:space="preserve">22</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Sales of some of our products have experienced seasonal fluctuations which have affected sequential growth rates for these products, particularly in our first fiscal quarter. For example, there is generally a slowdown for sales of our products in the higher education and corporate markets in the first fiscal quarter of each year. Seasonal fluctuations could negatively affect our business, which could cause our operating results to fall short of anticipated results for such quarters. As such, we believe that quarter-to-quarter comparisons of our revenues, operating results and cash flows may not be meaningful and should not be relied upon as an indication of future performance.</w:t>
            </w:r>
            <w:r>
              <w:t xml:space="preserve"> </w:t>
            </w:r>
            <w:r>
              <w:t xml:space="preserve">We depend in part on the success of our relationships with third-party resellers and integrators.</w:t>
            </w:r>
            <w:r>
              <w:t xml:space="preserve"> </w:t>
            </w:r>
            <w:r>
              <w:t xml:space="preserve">Our success depends on various third-party relationships, particularly in our non-higher education business, with certain international geographies and our events services operations. The relationships include third party resellers, as well as, system integrators that assist with the implementation of our products and sourcing of our products and services. Identifying partners, negotiating, and documenting relationships with them and maintaining their relationships require significant time and resources from us. In addition, our agreements with our resellers and integrators are typically non-exclusive and do not prohibit them from working with our competitors or from offering competing products or services. We have limited control, if any, as to whether these strategic partners devote adequate resources to promoting, selling, and implementing our products as compared to our competitor’s products. Our competitors may be effective in providing incentives to third parties to favor their products or services. If we are unsuccessful in establishing or maintaining our relationships with these third parties, our ability to compete in the marketplace or to maintain or grow our revenue could be impaired and our operating results would suffer.</w:t>
            </w:r>
            <w:r>
              <w:t xml:space="preserve"> </w:t>
            </w:r>
            <w:r>
              <w:t xml:space="preserve">We may need to make acquisitions or form strategic alliances or partnerships in order to remain competitive in our market, and such acquisitions, strategic alliances or partnerships, could be difficult to integrate, disrupt our business and dilute stockholder value.</w:t>
            </w:r>
            <w:r>
              <w:t xml:space="preserve"> </w:t>
            </w:r>
            <w:r>
              <w:t xml:space="preserve">We completed the acquisitions of Mediasite KK in Japan and MediaMission (now Sonic Foundry International) in the Netherlands in fiscal 2014. In the future, we may acquire or form strategic alliances or partnerships with other businesses in order to remain competitive or to acquire new technologies. Acquisitions, alliances, and investments involve numerous risks, including:</w:t>
            </w:r>
            <w:r>
              <w:t xml:space="preserve"> </w:t>
            </w:r>
            <w:r>
              <w:t xml:space="preserve">●</w:t>
            </w:r>
            <w:r>
              <w:t xml:space="preserve"> </w:t>
            </w:r>
            <w:r>
              <w:t xml:space="preserve">The potential failure to achieve the expected benefits of the combination or acquisition;</w:t>
            </w:r>
            <w:r>
              <w:t xml:space="preserve"> </w:t>
            </w:r>
            <w:r>
              <w:t xml:space="preserve">●</w:t>
            </w:r>
            <w:r>
              <w:t xml:space="preserve"> </w:t>
            </w:r>
            <w:r>
              <w:t xml:space="preserve">Difficulties in and the cost of integrating operations, technologies, services, and personnel;</w:t>
            </w:r>
            <w:r>
              <w:t xml:space="preserve"> </w:t>
            </w:r>
            <w:r>
              <w:t xml:space="preserve">●</w:t>
            </w:r>
            <w:r>
              <w:t xml:space="preserve"> </w:t>
            </w:r>
            <w:r>
              <w:t xml:space="preserve">Diversion of financial and managerial resources from existing operations;</w:t>
            </w:r>
            <w:r>
              <w:t xml:space="preserve"> </w:t>
            </w:r>
            <w:r>
              <w:t xml:space="preserve">●</w:t>
            </w:r>
            <w:r>
              <w:t xml:space="preserve"> </w:t>
            </w:r>
            <w:r>
              <w:t xml:space="preserve">Risk of entering new markets in which we have little or no experience or where competitors may have stronger market positions;</w:t>
            </w:r>
            <w:r>
              <w:t xml:space="preserve"> </w:t>
            </w:r>
            <w:r>
              <w:t xml:space="preserve">●</w:t>
            </w:r>
            <w:r>
              <w:t xml:space="preserve"> </w:t>
            </w:r>
            <w:r>
              <w:t xml:space="preserve">Potential write-offs of acquired assets or investments, and potential financial and credit risks associated with acquired customers;</w:t>
            </w:r>
            <w:r>
              <w:t xml:space="preserve"> </w:t>
            </w:r>
            <w:r>
              <w:t xml:space="preserve">●</w:t>
            </w:r>
            <w:r>
              <w:t xml:space="preserve"> </w:t>
            </w:r>
            <w:r>
              <w:t xml:space="preserve">Potential loss of key employees;</w:t>
            </w:r>
            <w:r>
              <w:t xml:space="preserve"> </w:t>
            </w:r>
            <w:r>
              <w:t xml:space="preserve">●</w:t>
            </w:r>
            <w:r>
              <w:t xml:space="preserve"> </w:t>
            </w:r>
            <w:r>
              <w:t xml:space="preserve">Inability to generate sufficient revenue to offset acquisition or investment costs;</w:t>
            </w:r>
            <w:r>
              <w:t xml:space="preserve"> </w:t>
            </w:r>
            <w:r>
              <w:t xml:space="preserve">●</w:t>
            </w:r>
            <w:r>
              <w:t xml:space="preserve"> </w:t>
            </w:r>
            <w:r>
              <w:t xml:space="preserve">The inability to maintain relationships with customers and partners of the acquired business;</w:t>
            </w:r>
            <w:r>
              <w:t xml:space="preserve"> </w:t>
            </w:r>
            <w:r>
              <w:t xml:space="preserve">●</w:t>
            </w:r>
            <w:r>
              <w:t xml:space="preserve"> </w:t>
            </w:r>
            <w:r>
              <w:t xml:space="preserve">The difficulty of transitioning the acquired technology onto our existing platforms and maintaining the security standards consistent with our other services for such technology;</w:t>
            </w:r>
            <w:r>
              <w:t xml:space="preserve"> </w:t>
            </w:r>
            <w:r>
              <w:t xml:space="preserve">●</w:t>
            </w:r>
            <w:r>
              <w:t xml:space="preserve"> </w:t>
            </w:r>
            <w:r>
              <w:t xml:space="preserve">Potential unknown liabilities associated with the acquired businesses;</w:t>
            </w:r>
            <w:r>
              <w:t xml:space="preserve"> </w:t>
            </w:r>
            <w:r>
              <w:t xml:space="preserve">●</w:t>
            </w:r>
            <w:r>
              <w:t xml:space="preserve"> </w:t>
            </w:r>
            <w:r>
              <w:t xml:space="preserve">Unanticipated expenses related to acquired technology and its integration into existing technology;</w:t>
            </w:r>
            <w:r>
              <w:t xml:space="preserve"> </w:t>
            </w:r>
            <w:r>
              <w:t xml:space="preserve">●</w:t>
            </w:r>
            <w:r>
              <w:t xml:space="preserve"> </w:t>
            </w:r>
            <w:r>
              <w:t xml:space="preserve">Negative impact to our results of operations because of the depreciation and amortization of amounts related to acquired intangible assets, fixed assets and deferred compensation, and the loss of acquired deferred revenue and unbilled deferred revenue;</w:t>
            </w:r>
            <w:r>
              <w:t xml:space="preserve"> </w:t>
            </w:r>
            <w:r>
              <w:t xml:space="preserve">●</w:t>
            </w:r>
            <w:r>
              <w:t xml:space="preserve"> </w:t>
            </w:r>
            <w:r>
              <w:t xml:space="preserve">Delays in customer purchases due to uncertainty related to any acquisition;</w:t>
            </w:r>
            <w:r>
              <w:t xml:space="preserve"> </w:t>
            </w:r>
            <w:r>
              <w:t xml:space="preserve">●</w:t>
            </w:r>
            <w:r>
              <w:t xml:space="preserve"> </w:t>
            </w:r>
            <w:r>
              <w:t xml:space="preserve">The need to implement controls, procedures, and policies at the acquired company;</w:t>
            </w:r>
            <w:r>
              <w:t xml:space="preserve"> </w:t>
            </w:r>
            <w:r>
              <w:t xml:space="preserve">●</w:t>
            </w:r>
            <w:r>
              <w:t xml:space="preserve"> </w:t>
            </w:r>
            <w:r>
              <w:t xml:space="preserve">Challenges caused by distance, language, and cultural differences;</w:t>
            </w:r>
            <w:r>
              <w:t xml:space="preserve"> </w:t>
            </w:r>
            <w:r>
              <w:t xml:space="preserve">●</w:t>
            </w:r>
            <w:r>
              <w:t xml:space="preserve"> </w:t>
            </w:r>
            <w:r>
              <w:t xml:space="preserve">In the case of foreign acquisitions, the challenges associated with integrating operations across different cultures and languages and currency, technological, employee and other regulatory risks and uncertainties in the economic, social, and political conditions associated with specific countries; and</w:t>
            </w:r>
            <w:r>
              <w:t xml:space="preserve"> </w:t>
            </w:r>
            <w:r>
              <w:t xml:space="preserve">●</w:t>
            </w:r>
            <w:r>
              <w:t xml:space="preserve"> </w:t>
            </w:r>
            <w:r>
              <w:t xml:space="preserve">The tax effects of any such acquisitions.</w:t>
            </w:r>
            <w:r>
              <w:t xml:space="preserve"> </w:t>
            </w:r>
            <w:r>
              <w:t xml:space="preserve">Our failure to successfully manage the acquisitions of Mediasite KK and Sonic Foundry International, or other future acquisitions, strategic alliances or partnerships could seriously harm our operating results. In addition, our stockholders would be diluted if we finance future acquisitions, strategic alliances or partnerships by incurring convertible debt or issuing equity securities.</w:t>
            </w:r>
            <w:r>
              <w:t xml:space="preserve"> </w:t>
            </w:r>
            <w:r>
              <w:t xml:space="preserve">Company Risks</w:t>
            </w:r>
            <w:r>
              <w:t xml:space="preserve"> </w:t>
            </w:r>
            <w:r>
              <w:t xml:space="preserve">–</w:t>
            </w:r>
            <w:r>
              <w:t xml:space="preserve"> </w:t>
            </w:r>
            <w:r>
              <w:t xml:space="preserve">Compliance</w:t>
            </w:r>
            <w:r>
              <w:t xml:space="preserve"> </w:t>
            </w:r>
            <w:r>
              <w:t xml:space="preserve">Our customers may use our products to share confidential and sensitive information, and if our system security is breached, our reputation could be harmed and we may lose customers.</w:t>
            </w:r>
            <w:r>
              <w:t xml:space="preserve"> </w:t>
            </w:r>
            <w:r>
              <w:t xml:space="preserve">Our customers may use our products and services to share confidential and sensitive information, the security of which is critical to their business. Third parties may attempt to breach our security for customer hosted content or the networks of our customers.</w:t>
            </w:r>
            <w:r>
              <w:t xml:space="preserve"> </w:t>
            </w:r>
            <w:r>
              <w:t xml:space="preserve">23</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Malicious third-parties may also conduct attacks designed to temporarily deny customers access to our services. Customers may take inadequate security precautions with their sensitive information and may inadvertently make that information public. We may be liable to our customers or subject to fines for a breach in security, and any breach could harm our reputation and cause us to lose customers. In addition, customers are vulnerable to computer viruses, physical or electronic break-ins and similar disruptions, which could lead to interruptions, delays, or loss of data. We may be required to expend significant capital and other resources to further protect against security breaches or to resolve problems caused by any breach, including litigation-related expenses if we are sued.</w:t>
            </w:r>
            <w:r>
              <w:t xml:space="preserve"> </w:t>
            </w:r>
            <w:r>
              <w:t xml:space="preserve">Our business is subject to changing regulations regarding corporate governance and public disclosure that will increase both our costs and the risk of noncompliance.</w:t>
            </w:r>
            <w:r>
              <w:t xml:space="preserve"> </w:t>
            </w:r>
            <w:r>
              <w:t xml:space="preserve">As a publicly traded company we are subject to significant regulations, including the Sarbanes-Oxley Act of 2002. While we have developed and instituted a corporate compliance program based on what we believe are the current best practices and continue to update the program in response to newly implemented regulatory requirements and guidance, we cannot assure that we are or will be in compliance with all potentially applicable regulations. If we fail to comply with any of these regulations, we could be subject to a range of regulatory actions, fines, or other sanctions or litigation.</w:t>
            </w:r>
            <w:r>
              <w:t xml:space="preserve"> </w:t>
            </w:r>
            <w:r>
              <w:t xml:space="preserve">Pursuant to Section 404 of the Sarbanes-Oxley Act, our management is required annually to deliver a report that assesses the effectiveness of our internal control over financial reporting. However, for as long as we remain a “non-accelerated filer” under the rules of the SEC, our independent registered public accounting firm is not required to deliver an annual attestation report on the effectiveness of our internal control over financial reporting. We will cease to be a non-accelerated filer if (a) the aggregate market value of our outstanding common stock held by non-affiliates as of the last business day of our most recently completed second fiscal quarter is $75 million or more and we reported annual net revenues of greater than $100 million for our most recently completed fiscal year or (b) the aggregate market value of our outstanding common stock held by non-affiliates as of the last business day of our most recently completed second fiscal quarter is $700 million or more, regardless of annual net revenues. If we cease to be a non-accelerated filer, we would again be subject to the requirement for an annual attestation report by our independent registered public accounting firm on the effectiveness of our internal control over financial. We have found material weaknesses in our internal control over financial reporting in the past and cannot assure that in the future we will not find additional material weaknesses in connection with our internal control over financial reporting pursuant to Section 404 of the Sarbanes-Oxley Act. We also cannot assure that we could correct all such weaknesses to allow our management to attest that we have maintained effective internal controls over financial reporting as of the end of our fiscal year in time to enable our independent registered public accounting firm to attest that such assessment will have been fairly stated in our Annual Report on Form 10-K to be filed with the Securities and Exchange Commission or attest that we have maintained effective internal control over financial reporting as of the end of our fiscal year. In addition, the disclosure of any material weakness in our internal control over financial reporting could have a negative impact on our stock price.</w:t>
            </w:r>
            <w:r>
              <w:t xml:space="preserve"> </w:t>
            </w:r>
            <w:r>
              <w:t xml:space="preserve">Industry Risks</w:t>
            </w:r>
            <w:r>
              <w:t xml:space="preserve"> </w:t>
            </w:r>
            <w:r>
              <w:t xml:space="preserve">Economic conditions could materially adversely affect the Company.</w:t>
            </w:r>
            <w:r>
              <w:t xml:space="preserve"> </w:t>
            </w:r>
            <w:r>
              <w:t xml:space="preserve">Weakness in domestic markets and global uncertainties exist world-wide. In particular COVID 19 has impaired budgets of our customers, eliminated or restricted the ability to hold in-person events, emptied classrooms where our solutions are deployed and created significant uncertainty in the world and specifically in the learning, educational, video, instructional global markets. Many of our customers rely on local, state, or federal government funding, both domestic and international. The Japanese government provides subsidies to support higher education from time to time but has not been consistent. Such subsidies were expected in fiscal 2022 and 2023 and did not occur to any material impact. There can be no assurances they do get implemented to extent to allow for meaningful revenue. Any future delay or elimination of government programs will have a negative impact on our operations in Japan. Any continuing unfavorable economic conditions could continue to negatively affect our business operating results or financial condition, which could in turn affect our stock price. Weak economic conditions and the resulting impact on the availability of public funds along with the possibility of state and local budget cuts and reduced university enrollment could lead to a reduction in demand for our products and services. In addition, a prolonged economic downturn, significant inflation, a declining stock market and challenges in obtaining labor and materials required to deliver products and services could cause insolvency of key suppliers resulting in product delays, inability of customers to obtain credit to finance purchases of the Company’s products and inability or delay of our channel partners and other customers to pay accounts receivable owed to us.</w:t>
            </w:r>
            <w:r>
              <w:t xml:space="preserve"> </w:t>
            </w:r>
            <w:r>
              <w:t xml:space="preserve">Economic conditions may have a disproportionate effect on the sale of our product and services.</w:t>
            </w:r>
            <w:r>
              <w:t xml:space="preserve"> </w:t>
            </w:r>
            <w:r>
              <w:t xml:space="preserve">Many of our product customers will look at the total A/V equipment and labor cost to outfit a typical conference room or lecture hall as one amount for budgetary purposes. Consequently, although our products represent only a portion of the total cost, the cost of the entire project of outfitting a room or conference hall may be considered excessive and may not survive budgetary constraints. Alternatively, our resellers may modify their quotes to end customers by eliminating our products or substituting less expensive products supplied by our competitors in order to win opportunities within budget constraints. Event service partners may similarly suggest that customers eliminate recording and webcasting as a means of reducing event cost. Consequently, declines in spending by government, educational or corporate institutions due to budgetary constraints may have a disproportionate impact on the Company and result in a material adverse impact on our financial condition. Many events are facing limited attendance or have gone completely virtual which could lead to more event cancellations.</w:t>
            </w:r>
            <w:r>
              <w:t xml:space="preserve"> </w:t>
            </w:r>
            <w:r>
              <w:t xml:space="preserve">24</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We could lose revenues if there are changes in the spending policies or budget priorities for government funding of colleges, universities, schools, and other education providers.</w:t>
            </w:r>
            <w:r>
              <w:t xml:space="preserve"> </w:t>
            </w:r>
            <w:r>
              <w:t xml:space="preserve">Most of our customers and potential customers are public colleges, universities, schools and other education providers who depend substantially on government funding and saw substantially increased costs and reduced tuition revenue during the COVID pandemic. Accordingly, any general decrease, delay or change in federal, state or local funding for colleges, universities, schools and other education providers could cause our current and potential customers to reduce or delay their purchases of our products and services, or to decide not to renew service contracts, either of which could cause us to lose revenues. Many of our customers were unable to renew support during the pandemic due to many of these challenges and while many are still using the product and we expect they will renew support in the coming fiscal year, there can be assurances that will happen. In addition, a specific reduction in governmental funding support for products such as ours would also cause us to lose revenues. Unfavorable economic conditions may result in further budget cuts and lead to lower overall spending, including information technology spending, by our current and potential clients, which may cause our revenues to decrease.</w:t>
            </w:r>
            <w:r>
              <w:t xml:space="preserve"> </w:t>
            </w:r>
            <w:r>
              <w:t xml:space="preserve">Changes in U.S. trade policy, including the imposition of tariffs and the resulting consequences, may have a material adverse impact on our business, operating results, and financial condition.</w:t>
            </w:r>
            <w:r>
              <w:t xml:space="preserve"> </w:t>
            </w:r>
            <w:r>
              <w:t xml:space="preserve">The U.S. government has adopted new approaches to trade policy and in some cases to renegotiate, or potentially terminate, certain existing bilateral or multi-lateral trade agreements. It has also initiated tariffs on certain foreign goods and has raised the possibility of imposing significant, additional tariff increases or expanding the tariffs to capture other types of goods. In response, certain foreign governments have imposed retaliatory tariffs on goods that their countries import from the U.S. Changes in U.S. trade policy have resulted in one or more foreign governments, including China, adopting responsive trade policies that make it more difficult or costly for us to do business in or import our products from those countries. As a result of tariffs in China, the cost of our products has increased. Additional trade restrictions may lead to increased prices to our customers, which may reduce demand, or, if we are unable to achieve increased prices, result in lowering our margin on products sold.</w:t>
            </w:r>
            <w:r>
              <w:t xml:space="preserve"> </w:t>
            </w:r>
            <w:r>
              <w:t xml:space="preserve">We cannot predict the extent to which the U.S. or other countries will impose quotas, duties, tariffs, taxes or other similar restrictions upon the import or export of our products in the future, nor can we predict future trade policy or the terms of any renegotiated trade agreements and their impact on our business. The adoption and expansion of trade restrictions, the occurrence of a trade war, or other governmental action related to tariffs or trade agreements or policies has the potential to adversely impact demand for our products, our costs, our customers, our suppliers, and the U.S. economy, which in turn could have a material adverse effect on our business, operating results and financial condition.</w:t>
            </w:r>
            <w:r>
              <w:t xml:space="preserve"> </w:t>
            </w:r>
            <w:r>
              <w:t xml:space="preserve">Privacy concerns and laws, evolving regulation of cloud computing, cross-border data transfer restrictions and other domestic or foreign regulations may limit the use and adoption of our solutions and adversely affect our business.</w:t>
            </w:r>
            <w:r>
              <w:t xml:space="preserve"> </w:t>
            </w:r>
            <w:r>
              <w:t xml:space="preserve">Regulation related to the provision of services on the Internet is increasing, as federal, state, and foreign governments continue to adopt new laws and regulations addressing data privacy and the collection, processing, storage and use of personal information, including health data. In some cases, foreign data privacy laws and regulations, such as the European Union’s General Data Protection Regulation that was enacted in May 2018, and an amended Act on the Protection of Personal Information in Japan, impose new obligations directly on us both as a data controller and a data processor, as well as on many of our customers. These new laws may require us to make changes to our services and/or our customers to meet the new legal requirements and may also increase our potential liability exposure through higher potential penalties for non-compliance. Further, laws such as the European Union’s proposed e-Privacy Regulation are increasingly aimed at the use of personal information for marketing purposes, and the tracking of individuals’ online activities. These new or proposed laws and regulations are subject to differing interpretations and may be inconsistent among jurisdictions. These and other requirements could reduce demand for our services, require us to take on more onerous obligations in our contracts, restrict our ability to store, transfer and process data or, in some cases, impact our ability to offer our services in certain locations or our customers' ability to deploy our solutions globally. For example, ongoing legal challenges in Europe to the mechanisms allowing companies to transfer personal data from the European Economic Area to the United States could result in further limitations on the ability to transfer data across borders, particularly if governments are unable or unwilling to reach new or maintain existing agreements that support cross-border data transfers, such as the EU-U.S. and Swiss-U.S. Privacy Shield framework. Additionally, certain countries have passed or are considering passing laws requiring local data residency. In addition, domestic data privacy laws, such as the California Consumer Privacy Act (“CCPA”), which took effect in January 2020, continue to evolve and could expose us to further regulatory burdens. Further, laws such as the European Union’s proposed e-Privacy Regulation are increasingly aimed at the use of personal information for marketing purposes, and the tracking of individuals’ online activities. The costs of compliance with, and other burdens imposed by, privacy laws, regulations and standards may limit the use and adoption of our services, reduce overall demand for our services, make it more difficult to meet expectations from or commitments to customers, lead to significant fines, penalties, or liabilities for noncompliance, or slow the pace at which we close sales transactions, any of which could harm our business.</w:t>
            </w:r>
            <w:r>
              <w:t xml:space="preserve"> </w:t>
            </w:r>
            <w:r>
              <w:t xml:space="preserve">We likely will need to acquire software and hardware in order to enhance our ability to defend and to detect intrusions to our network infrastructure, hire additional personnel experienced in data security and may need to seek certifications we currently do not have such as SOC2, ISO 27001 or both. These enhancements will be expensive and require significant staff time to deploy and develop. These risks are mitigated, to the extent possible, by our ability to maintain and improve business and data governance policies, enhanced processes, and internal security controls, including our ability to escalate and respond to known and potential risks. Our executive management are regularly briefed on our cyber-security policies and practices and ongoing efforts to improve security, as well as periodic updates on cyber-security events. In addition, we update our Audit Committee at least annually regarding our processes for evaluating and mitigating risks including cyber related risks. Although we have developed systems and processes designed to protect our customers’ and our customers’ customers’ proprietary and other sensitive data, we can provide no assurances that such measures will be effective.</w:t>
            </w:r>
            <w:r>
              <w:t xml:space="preserve"> </w:t>
            </w:r>
            <w:r>
              <w:t xml:space="preserve">In addition to government activity, privacy advocacy and other industry groups have established, or may establish, new self-regulatory standards that may place additional burdens on us. Many of our customers in the European Union face increasingly complex procurement requirements that have delayed some projects and caused us not to be successful in winning other opportunities. If we are unable to maintain these certifications or meet these standards, it could adversely affect our ability to provide our solutions to certain customers and could harm our business.</w:t>
            </w:r>
            <w:r>
              <w:t xml:space="preserve"> </w:t>
            </w:r>
            <w:r>
              <w:t xml:space="preserve">25</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Our customers and potential customers do business in a variety of industries, including financial services, the public sector, healthcare and telecommunications. Regulators in certain industries have adopted and may in the future adopt regulations or interpretive positions regarding the use of cloud computing and other outsourced services. The costs of compliance with, and other burdens imposed by, industry-specific laws, regulations and interpretive positions may limit customers’ use and adoption of our services and reduce overall demand for our services.</w:t>
            </w:r>
            <w:r>
              <w:t xml:space="preserve"> </w:t>
            </w:r>
            <w:r>
              <w:t xml:space="preserve">The costs of compliance with, and other burdens imposed by laws, regulations and standards, may limit the use and adoption of our service and reduce overall demand for it, or lead to significant fines, penalties or liabilities for any noncompliance.</w:t>
            </w:r>
            <w:r>
              <w:t xml:space="preserve"> </w:t>
            </w:r>
            <w:r>
              <w:t xml:space="preserve">Furthermore, concerns regarding data privacy may cause the users of our customers’ data to resist providing the data necessary to allow our customers to use our service effectively. Even the perception that the privacy of personal information is not satisfactorily protected or does not meet regulatory requirements could inhibit sales of our products or services and could limit adoption of our cloud-based solutions.</w:t>
            </w:r>
            <w:r>
              <w:t xml:space="preserve"> </w:t>
            </w:r>
            <w:r>
              <w:t xml:space="preserve">We face risks associated with government regulation of the internet and related legal uncertainties.</w:t>
            </w:r>
            <w:r>
              <w:t xml:space="preserve"> </w:t>
            </w:r>
            <w:r>
              <w:t xml:space="preserve">Currently, few existing laws or regulations specifically apply to the Internet, other than laws generally applicable to businesses. Many Internet-related laws and regulations, however, are pending and may be adopted in the United States, in individual states and local jurisdictions and in other countries. These laws may relate to many areas that impact our business, including encryption, network and information security, and the convergence of traditional communication services, such as telephone services, with Internet communications, taxes, and wireless networks. These types of regulations could differ between countries and other political and geographic divisions both inside and outside the United States. Non-U.S. countries and political organizations may impose, or favor, more and different regulation than that which has been proposed in the United States, thus furthering the complexity of regulation. Certain countries have implemented, or may implement, legislative and technological actions that either do or can effectively regulate access to the Internet, including the ability of Internet Service Providers to limit access to specific websites or content. In addition, state and local governments within the United States may impose regulations in addition to, inconsistent with, or stricter than federal regulations. The adoption of such laws or regulations, and uncertainties associated with their validity, interpretation, applicability, and enforcement, may affect the available distribution channels for, and the costs associated with, our products and services. The adoption of such laws and regulations may harm our business.</w:t>
            </w:r>
            <w:r>
              <w:t xml:space="preserve"> </w:t>
            </w:r>
            <w:r>
              <w:t xml:space="preserve">Investor Risks</w:t>
            </w:r>
            <w:r>
              <w:t xml:space="preserve"> </w:t>
            </w:r>
            <w:r>
              <w:t xml:space="preserve">The market price of our common stock may be subject to volatility.</w:t>
            </w:r>
            <w:r>
              <w:t xml:space="preserve"> </w:t>
            </w:r>
            <w:r>
              <w:t xml:space="preserve">In the past, and through 2023, the trading prices of the securities of technology companies have been more volatile than the broader market. Factors affecting the market price of our common stock include:</w:t>
            </w:r>
            <w:r>
              <w:t xml:space="preserve"> </w:t>
            </w:r>
            <w:r>
              <w:t xml:space="preserve">●</w:t>
            </w:r>
            <w:r>
              <w:t xml:space="preserve"> </w:t>
            </w:r>
            <w:r>
              <w:t xml:space="preserve">Concern over our ability to continue as a going concern;</w:t>
            </w:r>
            <w:r>
              <w:t xml:space="preserve"> </w:t>
            </w:r>
            <w:r>
              <w:t xml:space="preserve">●</w:t>
            </w:r>
            <w:r>
              <w:t xml:space="preserve"> </w:t>
            </w:r>
            <w:r>
              <w:t xml:space="preserve">Variations in our operating results, earnings per share, cash flows from operating activities, deferred revenue and other financial metrics and non-financial metrics, and how those results compare to investor expectations;</w:t>
            </w:r>
            <w:r>
              <w:t xml:space="preserve"> </w:t>
            </w:r>
            <w:r>
              <w:t xml:space="preserve">●</w:t>
            </w:r>
            <w:r>
              <w:t xml:space="preserve"> </w:t>
            </w:r>
            <w:r>
              <w:t xml:space="preserve">Our announcement of actual results for a fiscal period that are higher or lower than expected results</w:t>
            </w:r>
            <w:r>
              <w:t xml:space="preserve"> </w:t>
            </w:r>
            <w:r>
              <w:t xml:space="preserve">●</w:t>
            </w:r>
            <w:r>
              <w:t xml:space="preserve"> </w:t>
            </w:r>
            <w:r>
              <w:t xml:space="preserve">Changes in the estimates of our operating results or changes in recommendations by securities analysts that elect to follow our common stock;</w:t>
            </w:r>
            <w:r>
              <w:t xml:space="preserve"> </w:t>
            </w:r>
            <w:r>
              <w:t xml:space="preserve">●</w:t>
            </w:r>
            <w:r>
              <w:t xml:space="preserve"> </w:t>
            </w:r>
            <w:r>
              <w:t xml:space="preserve">Announcements of technological innovations, new services or service enhancements, strategic alliances or significant agreements by us or by our competitors;</w:t>
            </w:r>
            <w:r>
              <w:t xml:space="preserve"> </w:t>
            </w:r>
            <w:r>
              <w:t xml:space="preserve">●</w:t>
            </w:r>
            <w:r>
              <w:t xml:space="preserve"> </w:t>
            </w:r>
            <w:r>
              <w:t xml:space="preserve">Announcements by us or by our competitors of mergers or other strategic acquisitions, or rumors of such transactions involving us or our competitors;</w:t>
            </w:r>
            <w:r>
              <w:t xml:space="preserve"> </w:t>
            </w:r>
            <w:r>
              <w:t xml:space="preserve">●</w:t>
            </w:r>
            <w:r>
              <w:t xml:space="preserve"> </w:t>
            </w:r>
            <w:r>
              <w:t xml:space="preserve">Announcements of customer additions and customer cancellations or delays in customer purchases;</w:t>
            </w:r>
            <w:r>
              <w:t xml:space="preserve"> </w:t>
            </w:r>
            <w:r>
              <w:t xml:space="preserve">●</w:t>
            </w:r>
            <w:r>
              <w:t xml:space="preserve"> </w:t>
            </w:r>
            <w:r>
              <w:t xml:space="preserve">Recruitment or departure of key personnel;</w:t>
            </w:r>
            <w:r>
              <w:t xml:space="preserve"> </w:t>
            </w:r>
            <w:r>
              <w:t xml:space="preserve">●</w:t>
            </w:r>
            <w:r>
              <w:t xml:space="preserve"> </w:t>
            </w:r>
            <w:r>
              <w:t xml:space="preserve">Disruptions in our service due to computer hardware, software, network or data center problems;</w:t>
            </w:r>
            <w:r>
              <w:t xml:space="preserve"> </w:t>
            </w:r>
            <w:r>
              <w:t xml:space="preserve">●</w:t>
            </w:r>
            <w:r>
              <w:t xml:space="preserve"> </w:t>
            </w:r>
            <w:r>
              <w:t xml:space="preserve">The economy, inflation, high interest rates and other market conditions in our industry and the industries of our customers;</w:t>
            </w:r>
            <w:r>
              <w:t xml:space="preserve"> </w:t>
            </w:r>
            <w:r>
              <w:t xml:space="preserve">●</w:t>
            </w:r>
            <w:r>
              <w:t xml:space="preserve"> </w:t>
            </w:r>
            <w:r>
              <w:t xml:space="preserve">The issuance of shares of common stock and preferred stock by us, whether in connection with an acquisition or a capital raising transaction;</w:t>
            </w:r>
            <w:r>
              <w:t xml:space="preserve"> </w:t>
            </w:r>
            <w:r>
              <w:t xml:space="preserve">●</w:t>
            </w:r>
            <w:r>
              <w:t xml:space="preserve"> </w:t>
            </w:r>
            <w:r>
              <w:t xml:space="preserve">Low trading volumes of our shares and inconsistent trading activity;</w:t>
            </w:r>
            <w:r>
              <w:t xml:space="preserve"> </w:t>
            </w:r>
            <w:r>
              <w:t xml:space="preserve">●</w:t>
            </w:r>
            <w:r>
              <w:t xml:space="preserve"> </w:t>
            </w:r>
            <w:r>
              <w:t xml:space="preserve">Issuance of debt, changes to, defaults or non-renewal of debt facilities and other convertible securities;</w:t>
            </w:r>
            <w:r>
              <w:t xml:space="preserve"> </w:t>
            </w:r>
            <w:r>
              <w:t xml:space="preserve">●</w:t>
            </w:r>
            <w:r>
              <w:t xml:space="preserve"> </w:t>
            </w:r>
            <w:r>
              <w:t xml:space="preserve">Any other factors discussed herein.</w:t>
            </w:r>
            <w:r>
              <w:t xml:space="preserve"> </w:t>
            </w:r>
            <w:r>
              <w:t xml:space="preserve">●</w:t>
            </w:r>
            <w:r>
              <w:t xml:space="preserve"> </w:t>
            </w:r>
            <w:r>
              <w:t xml:space="preserve">In addition, if the market for technology stocks or the stock market in general experiences uneven investor confidence, the market price of our common stock could decline for reasons unrelated to our business, operating results or financial condition. The market price of our common stock might also decline in reaction to events that affect other companies within, or outside, our industry even if these events do not directly affect us.</w:t>
            </w:r>
            <w:r>
              <w:t xml:space="preserve"> </w:t>
            </w:r>
            <w:r>
              <w:t xml:space="preserve">26</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Our common stock has been delisted from the NASDAQ Capital Market.</w:t>
            </w:r>
            <w:r>
              <w:t xml:space="preserve"> </w:t>
            </w:r>
            <w:r>
              <w:t xml:space="preserve">On December 5, 2023, our common stock was delisted from the Nasdaq Capital Market and commenced trading on the OTC Markets. As a result of the delisting of our common stock, we and our stockholders could face significant material adverse consequences including:</w:t>
            </w:r>
            <w:r>
              <w:t xml:space="preserve"> </w:t>
            </w:r>
            <w:r>
              <w:t xml:space="preserve">●</w:t>
            </w:r>
            <w:r>
              <w:t xml:space="preserve"> </w:t>
            </w:r>
            <w:r>
              <w:t xml:space="preserve">a limited availability of market quotations for our shares;</w:t>
            </w:r>
            <w:r>
              <w:t xml:space="preserve"> </w:t>
            </w:r>
            <w:r>
              <w:t xml:space="preserve">●</w:t>
            </w:r>
            <w:r>
              <w:t xml:space="preserve"> </w:t>
            </w:r>
            <w:r>
              <w:t xml:space="preserve">reduced liquidity for our shares;</w:t>
            </w:r>
            <w:r>
              <w:t xml:space="preserve"> </w:t>
            </w:r>
            <w:r>
              <w:t xml:space="preserve">●</w:t>
            </w:r>
            <w:r>
              <w:t xml:space="preserve"> </w:t>
            </w:r>
            <w:r>
              <w:t xml:space="preserve">a determination that our common stock is a “penny stock” which will require brokers trading in our common stock to adhere to more stringent rules and possibly result in a reduced level of trading activity in the secondary trading market for our shares;</w:t>
            </w:r>
            <w:r>
              <w:t xml:space="preserve"> </w:t>
            </w:r>
            <w:r>
              <w:t xml:space="preserve">●</w:t>
            </w:r>
            <w:r>
              <w:t xml:space="preserve"> </w:t>
            </w:r>
            <w:r>
              <w:t xml:space="preserve">a limited amount of news and analyst coverage; and</w:t>
            </w:r>
            <w:r>
              <w:t xml:space="preserve"> </w:t>
            </w:r>
            <w:r>
              <w:t xml:space="preserve">●</w:t>
            </w:r>
            <w:r>
              <w:t xml:space="preserve"> </w:t>
            </w:r>
            <w:r>
              <w:t xml:space="preserve">a decreased ability to issue additional securities or obtain additional financing in the future, including due to our inability to use a Form S-3 for a shelf financing.</w:t>
            </w:r>
            <w:r>
              <w:t xml:space="preserve"> </w:t>
            </w:r>
            <w:r>
              <w:t xml:space="preserve">Our common stock is subject to low trading volume and broad price swings.</w:t>
            </w:r>
            <w:r>
              <w:t xml:space="preserve"> </w:t>
            </w:r>
            <w:r>
              <w:t xml:space="preserve">Our common stock is currently quoted on the OTC Market under the symbol “SOFO”. Trading of our stock has often been subject to very low volumes, broad price swings and often with no Company news. Volume, visibility and even the ability to invest in companies listed on such lower markets are much less than Nasdaq.</w:t>
            </w:r>
            <w:r>
              <w:t xml:space="preserve"> </w:t>
            </w:r>
            <w:r>
              <w:t xml:space="preserve">Exercise of outstanding options and warrants will result in further dilution.</w:t>
            </w:r>
            <w:r>
              <w:t xml:space="preserve"> </w:t>
            </w:r>
            <w:r>
              <w:t xml:space="preserve">The issuance of shares of common stock upon the exercise of our outstanding options and warrants will result in dilution of the interests of our stockholders and may reduce the trading price of our common stock.</w:t>
            </w:r>
            <w:r>
              <w:t xml:space="preserve"> </w:t>
            </w:r>
            <w:r>
              <w:t xml:space="preserve">On September 30, 2023, we had 988 thousand outstanding warrants and 2.4 million of outstanding stock options granted under our stock option plans, 1.5 million of which are currently exercisable.</w:t>
            </w:r>
            <w:r>
              <w:t xml:space="preserve"> </w:t>
            </w:r>
            <w:r>
              <w:t xml:space="preserve">While a substantial portion of our outstanding warrants and options are currently priced above the market price of our common stock, dilution to the interests of our stockholders will likely occur if or when they are exercised. Additional options and warrants may be issued in the future at prices not less than 85% of the fair market value of the underlying security on the date of grant. Exercises of these options, or even the potential of their exercise may have an adverse effect on the trading price of our common stock. The holders of our options are likely to exercise them at times when the market price of the common stock exceeds the exercise price of the securities. Accordingly, the issuance of shares of common stock upon exercise of the options will likely result in dilution of the equity represented by the then outstanding shares of common stock held by other stockholders. Holders of our options can be expected to exercise or convert them at a time when we would, in all likelihood, be able to obtain any needed capital on terms, which are more favorable to us than the exercise terms provided, by these options.</w:t>
            </w:r>
            <w:r>
              <w:t xml:space="preserve"> </w:t>
            </w:r>
            <w:r>
              <w:t xml:space="preserve">We are a</w:t>
            </w:r>
            <w:r>
              <w:t xml:space="preserve"> </w:t>
            </w:r>
            <w:r>
              <w:t xml:space="preserve">“</w:t>
            </w:r>
            <w:r>
              <w:t xml:space="preserve"> </w:t>
            </w:r>
            <w:r>
              <w:t xml:space="preserve">smaller reporting company</w:t>
            </w:r>
            <w:r>
              <w:t xml:space="preserve"> </w:t>
            </w:r>
            <w:r>
              <w:t xml:space="preserve">”</w:t>
            </w:r>
            <w:r>
              <w:t xml:space="preserve"> </w:t>
            </w:r>
            <w:r>
              <w:t xml:space="preserve">and will be able to avail ourselves of reduced disclosure requirements applicable to smaller reporting companies, which could make our common stock less attractive to investors.</w:t>
            </w:r>
            <w:r>
              <w:t xml:space="preserve"> </w:t>
            </w:r>
            <w:r>
              <w:t xml:space="preserve">We are a “smaller reporting company,” as defined in the Securities Exchange Act of 1934, and we intend to take advantage of certain exemptions from various reporting requirements that are applicable to other public companies that are not “smaller reporting companies,” including reduced disclosure obligations regarding executive compensation in our periodic reports and proxy statements. We cannot predict if investors will find our common stock less attractive because we may rely on these exemptions. If some investors find our common stock less attractive as a result, there may be a less active trading market for our common stock and our stock price may be more volatile. We may take advantage of these reporting exemptions until we are no longer a “smaller reporting company.” We will remain a “smaller reporting company” until (a) the aggregate market value of our outstanding common stock held by non-affiliates as of the last business day of our most recently completed second fiscal quarter is $250 million or more and we reported annual net revenues as of our most recently completed fiscal year is $100 million or more, or (b) the aggregate market value of our outstanding common stock held by non-affiliates as of the last business day of our most recently completed second fiscal quarter is $700 million or more, regardless of annual revenue.</w:t>
            </w:r>
            <w:r>
              <w:t xml:space="preserve"> </w:t>
            </w:r>
            <w:r>
              <w:t xml:space="preserve">Provisions of our charter documents and Maryland law could also discourage an acquisition of our Company that would benefit our stockholders and, due to our insiders</w:t>
            </w:r>
            <w:r>
              <w:t xml:space="preserve"> </w:t>
            </w:r>
            <w:r>
              <w:t xml:space="preserve">’</w:t>
            </w:r>
            <w:r>
              <w:t xml:space="preserve"> </w:t>
            </w:r>
            <w:r>
              <w:t xml:space="preserve">control of a substantial percentage of our stock, our officers, directors, and major stockholders will have a substantial amount of control over whether to approve or disapprove of a transaction.</w:t>
            </w:r>
            <w:r>
              <w:t xml:space="preserve"> </w:t>
            </w:r>
            <w:r>
              <w:t xml:space="preserve">Provisions of our articles of incorporation and by-laws may make it more difficult for a third party to acquire control of our company, even if a change in control would benefit our stockholders. Our articles of incorporation authorize our board of directors, without stockholder approval, to issue one or more series of preferred stock, which could have voting and conversion rights that adversely affect or dilute the voting power of the holders of common stock. Furthermore, our articles of incorporation provide for a classified board of directors, which means that our stockholders may vote upon the retention of only one or two of our five directors each year. Moreover, Maryland corporate law restricts certain business combination transactions with “interested stockholders” and limits voting rights upon certain acquisitions of “control shares.” In addition, even when there are no interested stockholders involved in a transaction, Maryland law requires that a transaction involving a merger, consolidation, transfer of assets, or share exchange, must be approved by the affirmative vote of at least two-thirds of the Company’s stockholders.</w:t>
            </w:r>
            <w:r>
              <w:t xml:space="preserve"> </w:t>
            </w:r>
            <w:r>
              <w:t xml:space="preserve">Our executive officers and directors together beneficially own, on an “as converted basis”, approximately 47% of our outstanding common stock, and Mr. Burish, individually, owns approximately 43% on an as converted basis. As a result, these stockholders, if they act together or in a block, or individually in the case of Mr. Burish, could have significant influence over most matters that require approval by our stockholders, including the approval of significant corporate transactions, even if other stockholders oppose them. In addition, under federal law, in many circumstances a company such as Sonic Foundry is not required to disclose that negotiations relating to a merger or to a sale of its stock or assets are occurring until a material definitive agreement has been reached. This concentration of ownership might also have the effect of delaying or preventing a change of control of our Company that other stockholders may view as beneficial.</w:t>
            </w:r>
            <w:r>
              <w:t xml:space="preserve"> </w:t>
            </w:r>
            <w:r>
              <w:t xml:space="preserve">27</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p>
        </w:tc>
        <w:tc>
          <w:tcPr/>
          <w:p>
            <w:pPr>
              <w:pStyle w:val="Compact"/>
            </w:pPr>
            <w:r>
              <w:t xml:space="preserve">ITEM</w:t>
            </w:r>
            <w:r>
              <w:t xml:space="preserve"> </w:t>
            </w:r>
            <w:r>
              <w:t xml:space="preserve">7. MANAGEMENT</w:t>
            </w:r>
            <w:r>
              <w:t xml:space="preserve"> </w:t>
            </w:r>
            <w:r>
              <w:t xml:space="preserve">’</w:t>
            </w:r>
            <w:r>
              <w:t xml:space="preserve"> </w:t>
            </w:r>
            <w:r>
              <w:t xml:space="preserve">S DISCUSSION AND ANALYSIS OF FINANCIAL CONDITION AND RESULTS OF OPERATIONS</w:t>
            </w:r>
            <w:r>
              <w:t xml:space="preserve"> </w:t>
            </w:r>
            <w:r>
              <w:t xml:space="preserve">The financial and business analysis below provides information that Sonic Foundry, Inc. (the “Company”) believes is relevant to an assessment and understanding of the Company’s consolidated financial position and results of operations. This financial and business analysis should be read in conjunction with the consolidated financial statements and related notes.</w:t>
            </w:r>
            <w:r>
              <w:t xml:space="preserve"> </w:t>
            </w:r>
            <w:r>
              <w:t xml:space="preserve">This report includes estimates, projections, statements relating to our business plans, objectives, and expected operating results that are “forward-looking statements” within the meaning of the Private Securities Litigation Reform Act of 1995, Section 27A of the Securities Act of 1933, and Section 21E of the Securities Exchange Act of 1934. Forward-looking statements may appear throughout this report, including the following sections: “Management’s Discussion and Analysis,” and “Risk Factors.” These forward-looking statements generally are identified by the words “believe,” “project,” “expect,” “anticipate,” “estimate,” “intend,” “strategy,” “future,” “opportunity,” “plan,” “may,” “should,” “will,” “would,” “will be,” “will continue,” “will likely result,” and similar expressions. Forward-looking statements are based on current expectations and assumptions that are subject to risks and uncertainties that may cause actual results to differ materially. We describe risks and uncertainties that could cause actual results and events to differ materially in “Risk Factors” (Part 1, Item 1A of this Form 10-K), “Quantitative and Qualitative Disclosures about Market Risk” (Part II, Item 7A of this Form 10-K), and in this Item 7. We undertake no obligation to update or revise publicly any forward-looking statements, whether because of new information, future events, or otherwise.</w:t>
            </w:r>
            <w:r>
              <w:t xml:space="preserve"> </w:t>
            </w:r>
            <w:r>
              <w:t xml:space="preserve">32</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Overview</w:t>
            </w:r>
            <w:r>
              <w:t xml:space="preserve"> </w:t>
            </w:r>
            <w:r>
              <w:t xml:space="preserve">Sonic Foundry, Inc. is the global leader for video capture, management, and streaming solutions as well as virtual and hybrid events. Trusted by thousands of educational institutions, corporations, health organizations and government entities in over 65 countries with solutions that transform communication, training, and learning. Sonic Foundry’s brands include Mediasite®, Mediasite Connect, Vidable® and Global Learning ExchangeTM.</w:t>
            </w:r>
            <w:r>
              <w:t xml:space="preserve"> </w:t>
            </w:r>
            <w:r>
              <w:t xml:space="preserve">Mediasite Asset Sale</w:t>
            </w:r>
            <w:r>
              <w:t xml:space="preserve"> </w:t>
            </w:r>
            <w:r>
              <w:t xml:space="preserve">On January 2, 2024 the Company entered into the Purchase Agreement to sell its Mediasite product and service business that represents substantially all of the Company’s revenues and the majority of its assets. Under the terms of the Purchase Agreement, Sonic Foundry will sell the assets of its Mediasite business including its Japanese and Dutch subsidiaries for $15.5 million in cash (subject to certain price adjustments set forth in the Purchase Agreement). Closing of the transaction is subject to approval by the holders of at least two-thirds of the outstanding shares of common stock, as well as a number of other customary closing conditions. In connection with the execution of the Purchase Agreement, solely in their respective capacities as stockholders of the Company, each of our executive officers and directors and one other significant stockholder who beneficially owns greater than 5% of the Company’s outstanding common has executed and delivered a Support Agreement pursuant to which, among other things, each such stockholder has agreed, subject to the terms of such Support Agreement, to vote all shares of common stock beneficially owned by such stockholder in favor of the approval of the Purchase Agreement and the Mediasite Asset Sale. Upon the closing of the transaction, our business will consist solely of our Vidable® and Global Learning ExchangeTM businesses. The information in this report does not give effect to the proposed transaction.</w:t>
            </w:r>
            <w:r>
              <w:t xml:space="preserve"> </w:t>
            </w:r>
            <w:r>
              <w:t xml:space="preserve">Critical Accounting Policies</w:t>
            </w:r>
            <w:r>
              <w:t xml:space="preserve"> </w:t>
            </w:r>
            <w:r>
              <w:t xml:space="preserve">We have identified the following as critical accounting policies to our Company and have discussed the development, selection of estimates and the disclosure regarding them with the audit committee of the board of directors:</w:t>
            </w:r>
            <w:r>
              <w:t xml:space="preserve"> </w:t>
            </w:r>
            <w:r>
              <w:t xml:space="preserve">•</w:t>
            </w:r>
            <w:r>
              <w:t xml:space="preserve"> </w:t>
            </w:r>
            <w:r>
              <w:t xml:space="preserve">Revenue recognition;</w:t>
            </w:r>
            <w:r>
              <w:t xml:space="preserve"> </w:t>
            </w:r>
            <w:r>
              <w:t xml:space="preserve">•</w:t>
            </w:r>
            <w:r>
              <w:t xml:space="preserve"> </w:t>
            </w:r>
            <w:r>
              <w:t xml:space="preserve">Inventory reserves;</w:t>
            </w:r>
            <w:r>
              <w:t xml:space="preserve"> </w:t>
            </w:r>
            <w:r>
              <w:t xml:space="preserve">•</w:t>
            </w:r>
            <w:r>
              <w:t xml:space="preserve"> </w:t>
            </w:r>
            <w:r>
              <w:t xml:space="preserve">Allowance for doubtful accounts;</w:t>
            </w:r>
            <w:r>
              <w:t xml:space="preserve"> </w:t>
            </w:r>
            <w:r>
              <w:t xml:space="preserve">•</w:t>
            </w:r>
            <w:r>
              <w:t xml:space="preserve"> </w:t>
            </w:r>
            <w:r>
              <w:t xml:space="preserve">Asset retirement obligations;</w:t>
            </w:r>
            <w:r>
              <w:t xml:space="preserve"> </w:t>
            </w:r>
            <w:r>
              <w:t xml:space="preserve">•</w:t>
            </w:r>
            <w:r>
              <w:t xml:space="preserve"> </w:t>
            </w:r>
            <w:r>
              <w:t xml:space="preserve">Valuation allowance for net deferred tax assets; and</w:t>
            </w:r>
            <w:r>
              <w:t xml:space="preserve"> </w:t>
            </w:r>
            <w:r>
              <w:t xml:space="preserve">•</w:t>
            </w:r>
            <w:r>
              <w:t xml:space="preserve"> </w:t>
            </w:r>
            <w:r>
              <w:t xml:space="preserve">Accounting for stock-based compensation.</w:t>
            </w:r>
            <w:r>
              <w:t xml:space="preserve"> </w:t>
            </w:r>
            <w:r>
              <w:t xml:space="preserve">•</w:t>
            </w:r>
            <w:r>
              <w:t xml:space="preserve"> </w:t>
            </w:r>
            <w:r>
              <w:t xml:space="preserve">Restructuring and exit activities</w:t>
            </w:r>
            <w:r>
              <w:t xml:space="preserve"> </w:t>
            </w:r>
            <w:r>
              <w:t xml:space="preserve">Revenue recognition</w:t>
            </w:r>
            <w:r>
              <w:t xml:space="preserve"> </w:t>
            </w:r>
            <w:r>
              <w:t xml:space="preserve">We recognize revenues in accordance with the Financial Accounting Standards Board ("FASB"), Accounting Standards Codification ("ASC") Topic 606, Revenue from Contracts with Customers ("ASC 606"). Recording revenues requires judgment, including determining whether an arrangement includes multiple performance obligations, whether any of those obligations are distinct and cannot be combined and allocation of the transaction price to each performance obligation based on the relative standalone selling prices ("SSP"). Customers receive certain contract elements over time. Changes to the elements in an arrangement or, in our determination, to the relative SSP for these elements, could materially affect the amount of earned and unearned revenues reflected in our consolidated financial statements.</w:t>
            </w:r>
            <w:r>
              <w:t xml:space="preserve"> </w:t>
            </w:r>
            <w:r>
              <w:t xml:space="preserve">The primary judgments relating to our revenue recognition include determining whether (i) the contract with a customer exists; (ii) performance obligations are identified; (iii) the transaction price is determined; (iv) the transaction price is allocated to performance obligations; and (v) the distinct performance obligations are satisfied by transferring control of the product or service to the client. Transfer of control is typically evaluated from the customer's perspective.</w:t>
            </w:r>
            <w:r>
              <w:t xml:space="preserve"> </w:t>
            </w:r>
            <w:r>
              <w:t xml:space="preserve">At contract inception, we determine whether we satisfy the performance obligation over time or at a point in time. Revenues from hosted software and hosting solutions are primarily recognized ratably over time or as fee-bearing usages occur. Certain software licenses are sold either on-premises or through term-based hosting agreements. These hosting arrangements provide customers with the same product functionality and differ mainly in the duration over which the customer benefits from the software. We deliver our software licenses electronically. Electronic delivery occurs when we provide the customer with access to the software and license key via a secure portal. Revenue from on-premises software licenses is generally recognized at the point in time when the software is made available to the customer.</w:t>
            </w:r>
            <w:r>
              <w:t xml:space="preserve"> </w:t>
            </w:r>
            <w:r>
              <w:t xml:space="preserve">Our contracts with customers for on-premises software licenses include maintenance services and may also include training and/or professional services. Maintenance services agreements consist of fees for providing software updates on an if and when available basis and for providing technical support for software products for a specified term. We believe that our software updates and technical support each have the same pattern of transfer to the customer and are substantially the same. Therefore, we consider these updates and technical support to be a single distinct performance obligation. Revenues allocated to maintenance services are recognized ratably as the maintenance services are provided. Revenues related to training services are billed on a fixed fee basis and are recognized as the services are delivered. Payments received in advance of services performed are deferred and recognized when the related services are performed. Revenues related to professional services are billed on a time and materials basis and are recognized as the services are performed.</w:t>
            </w:r>
            <w:r>
              <w:t xml:space="preserve"> </w:t>
            </w:r>
            <w:r>
              <w:t xml:space="preserve">We also provide cloud-based subscriptions, which allow customers to access our software during a contractual period without taking possession of the software. We recognize revenue related to these cloud-based subscriptions ratably over the life of the subscription agreement beginning when the customer first has access to the software.</w:t>
            </w:r>
            <w:r>
              <w:t xml:space="preserve"> </w:t>
            </w:r>
            <w:r>
              <w:t xml:space="preserve">We are often party to multiple concurrent contracts or contracts pursuant to which a client may purchase a combination of goods and services. These situations require judgment to determine whether multiple contracts should be combined and accounted for as a single arrangement. In making this determination, we consider whether the economics of the individual contracts cannot be understood without reference to the whole and multiple promises represent one single performance obligation.</w:t>
            </w:r>
            <w:r>
              <w:t xml:space="preserve"> </w:t>
            </w:r>
            <w:r>
              <w:t xml:space="preserve">33</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Due to the large number, broad nature, and average size of individual contracts we are a party to, the effect of judgments and assumptions we apply in recognizing revenues for any single contract is not likely to have a material effect on our consolidated operations. However, the broader accounting policy assumptions that we apply across similar arrangements or classes of clients could significantly influence the timing and amount of revenues recognized in our results of operations.</w:t>
            </w:r>
            <w:r>
              <w:t xml:space="preserve"> </w:t>
            </w:r>
            <w:r>
              <w:t xml:space="preserve">Inventory Reserves</w:t>
            </w:r>
            <w:r>
              <w:t xml:space="preserve"> </w:t>
            </w:r>
            <w:r>
              <w:t xml:space="preserve">Beginning in fiscal year 2020, the Company established a hardware inventory reserve. In conjunction with a new hardware release due in the fourth quarter FY 2020, certain older models are no longer being actively sold and those units, along with their corresponding raw materials, have been 100% reserved. The inventory reserve methodology was unchanged in fiscal year 2023. The Company has fully reserved all inactive hardware due to the release of Media Site 8.0.</w:t>
            </w:r>
            <w:r>
              <w:t xml:space="preserve"> </w:t>
            </w:r>
            <w:r>
              <w:t xml:space="preserve">Credit Evaluation and Allowance for Doubtful Accounts</w:t>
            </w:r>
            <w:r>
              <w:t xml:space="preserve"> </w:t>
            </w:r>
            <w:r>
              <w:t xml:space="preserve">We assess the realization of our receivables by performing ongoing credit evaluations of our customers’ financial condition. Through these evaluations, we may become aware of a situation where a customer may not be able to meet its financial obligations due to deterioration of its financial viability, credit ratings or bankruptcy. Our reserve requirements are based on the best facts available to us and are reevaluated and adjusted as additional information is received. Our reserves are also based on amounts determined by using percentages applied to certain aged receivable categories. These percentages are determined by a variety of factors including, but not limited to, current economic trends, historical payment, and bad debt write-off experience. The allowance for doubtful accounts for accounts receivable and financing receivables was $245 thousand at September 30, 2023 and $53 thousand at September 30, 2022.</w:t>
            </w:r>
            <w:r>
              <w:t xml:space="preserve"> </w:t>
            </w:r>
            <w:r>
              <w:t xml:space="preserve">Asset retirement obligation</w:t>
            </w:r>
            <w:r>
              <w:t xml:space="preserve"> </w:t>
            </w:r>
            <w:r>
              <w:t xml:space="preserve">An asset retirement obligation (“ARO”) represents a legal obligation associated with the retirement of a tangible long-lived asset that is incurred upon the acquisition, construction, development, or normal operation of that long-lived asset. The Company’s ARO is associated with MSKK leasehold improvements that we are contractually obligated to remove at the end of a lease to comply with the lease agreement. We recognize asset retirement obligations upon construction of leasehold improvements with such conditions if a reasonable estimate of fair value can be made. The ARO is recorded in other noncurrent liabilities in the consolidated balance sheets. The associated estimated ARO is capitalized as part of the carrying amount of the long-lived asset and depreciated over its useful life.</w:t>
            </w:r>
            <w:r>
              <w:t xml:space="preserve"> </w:t>
            </w:r>
            <w:r>
              <w:t xml:space="preserve">34</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Valuation allowance for net deferred tax assets</w:t>
            </w:r>
            <w:r>
              <w:t xml:space="preserve"> </w:t>
            </w:r>
            <w:r>
              <w:t xml:space="preserve">Deferred tax assets and liabilities are determined based on differences between the financial statement and tax bases of assets and liabilities using enacted tax rates in effect in the years in which the differences are expected to reverse. We do not provide for U.S. income taxes on the undistributed earnings of our foreign subsidiaries, which we consider to be permanently invested outside of the U.S.</w:t>
            </w:r>
            <w:r>
              <w:t xml:space="preserve"> </w:t>
            </w:r>
            <w:r>
              <w:t xml:space="preserve">We make judgments regarding the realizability of our deferred tax assets. The balance sheet carrying value of our net deferred tax assets is based on whether we believe that it is more likely than not that we will generate sufficient future taxable income to realize these deferred tax assets after consideration of all available evidence. We regularly review our deferred tax assets for recoverability considering historical profitability, projected future taxable income, the expected timing of the reversals of existing temporary differences and tax planning strategies. In assessing the need for a valuation allowance, we consider both positive and negative evidence related to the likelihood of realization of the deferred tax assets. The weight given to the positive and negative evidence is commensurate with the extent to which the evidence may be objectively verified. As such, it is generally difficult for positive evidence regarding projected future taxable income exclusive of reversing taxable temporary differences to outweigh objective negative evidence of recent financial reporting losses. Generally, cumulative losses in recent years is a significant piece of negative evidence that is difficult to overcome in determining that a valuation allowance is not needed.</w:t>
            </w:r>
            <w:r>
              <w:t xml:space="preserve"> </w:t>
            </w:r>
            <w:r>
              <w:t xml:space="preserve">As of September 30, 2023 and 2022, valuation allowances have been established for all U.S. and for certain foreign deferred tax assets which we believe do not meet the “more likely than not” criteria for recognition. If we are subsequently able to utilize all or a portion of the deferred tax assets for which a valuation allowance has been established, then we will be required to recognize these deferred tax assets through the reduction of the valuation allowance, which could result in a material benefit to our results of operations in the period in which the benefit is determined.</w:t>
            </w:r>
            <w:r>
              <w:t xml:space="preserve"> </w:t>
            </w:r>
            <w:r>
              <w:t xml:space="preserve">Accounting for stock-based compensation</w:t>
            </w:r>
            <w:r>
              <w:t xml:space="preserve"> </w:t>
            </w:r>
            <w:r>
              <w:t xml:space="preserve">The Company uses a lattice valuation model to account for all employee stock options granted. The lattice valuation model is a more flexible analysis to value options because of its ability to incorporate inputs that change over time, such as actual exercise behavior of option holders. The Company uses historical data to estimate the option exercise and employee departure behavior in the lattice valuation model. Expected volatility is based on historical volatility of the Company’s stock. The Company considers all employees to have similar exercise behavior and therefore has not identified separate homogenous groups for valuation. The expected term of options granted is derived from the output of the option pricing model and represents the period of time that options granted are expected to be outstanding. The risk-free rate for periods the options are expected to be outstanding is based on the U.S. Treasury yields in effect at the time of grant. Forfeitures are based on actual behavior patterns.</w:t>
            </w:r>
            <w:r>
              <w:t xml:space="preserve"> </w:t>
            </w:r>
            <w:r>
              <w:t xml:space="preserve">All transactions in which goods or services are the consideration received for the issuance of equity instruments are accounted for based on the fair value of the consideration received or the fair value of the equity instrument issued, whichever is more reliably measured.</w:t>
            </w:r>
            <w:r>
              <w:t xml:space="preserve"> </w:t>
            </w:r>
            <w:r>
              <w:t xml:space="preserve">Restructuring and exit activities</w:t>
            </w:r>
            <w:r>
              <w:t xml:space="preserve"> </w:t>
            </w:r>
            <w:r>
              <w:t xml:space="preserve">The determination of when the Company accrues for involuntary termination benefits under restructuring plans depends on whether the termination benefits are provided under an on-going benefit arrangement or under a one-time benefit arrangement. The Company accounts for on-going benefit arrangements in accordance with Accounting Standards Codification 712 ("ASC 712")</w:t>
            </w:r>
            <w:r>
              <w:t xml:space="preserve"> </w:t>
            </w:r>
            <w:r>
              <w:t xml:space="preserve">Nonretirement Postemployment Benefits.</w:t>
            </w:r>
            <w:r>
              <w:t xml:space="preserve"> </w:t>
            </w:r>
            <w:r>
              <w:t xml:space="preserve">According to ASC 712, involuntary termination benefits would be measured and recognized when the expense is both probable and predictable. For those employees who have a severance arrangement outlined under an existing employment agreement, the communication date would be the date of hire since at that point in time, the Company and the employee had a mutual understanding of the agreement. The measurement and recognition date of the expense would occur when the Company is committed to the plan and it is probable the impacted employee is entitled to the termination benefit. The Company accounts for one-time benefit arrangements in accordance with ASC 420 E</w:t>
            </w:r>
            <w:r>
              <w:t xml:space="preserve"> </w:t>
            </w:r>
            <w:r>
              <w:t xml:space="preserve">xit or Disposal Cost Obligations</w:t>
            </w:r>
            <w:r>
              <w:t xml:space="preserve"> </w:t>
            </w:r>
            <w:r>
              <w:t xml:space="preserve">. According to ASC 420, an arrangement for one-time employee termination benefits exists at the date the plan of termination meets certain criteria and has been communicated to employees.</w:t>
            </w:r>
            <w:r>
              <w:t xml:space="preserve"> </w:t>
            </w:r>
            <w:r>
              <w:t xml:space="preserve">35</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RESULTS OF OPERATIONS</w:t>
            </w:r>
            <w:r>
              <w:t xml:space="preserve"> </w:t>
            </w:r>
            <w:r>
              <w:t xml:space="preserve">You should read the following discussion of our results of operations and financial condition in conjunction with our consolidated financial statements and related notes thereto included in Item 8 of this Annual Report on Form 10-K.</w:t>
            </w:r>
            <w:r>
              <w:t xml:space="preserve"> </w:t>
            </w:r>
            <w:r>
              <w:t xml:space="preserve">Revenue</w:t>
            </w:r>
            <w:r>
              <w:t xml:space="preserve"> </w:t>
            </w:r>
            <w:r>
              <w:t xml:space="preserve">Revenue from our business includes the sale of Mediasite recorders and server software products and related services contracts, such as customer support, installation, customization services, training, content hosting and event services. We market our products to educational institutions, corporations and government agencies that need to deploy, manage, index and distribute video content on Internet-based networks. We reach both our domestic and international markets through reseller networks, a direct sales effort and partnerships with system integrators.</w:t>
            </w:r>
            <w:r>
              <w:t xml:space="preserve"> </w:t>
            </w:r>
            <w:r>
              <w:t xml:space="preserve">Revenue decreased by approximately $5.4 million from fiscal 2022 to fiscal 2023 consisting of the following:</w:t>
            </w:r>
            <w:r>
              <w:t xml:space="preserve"> </w:t>
            </w:r>
            <w:r>
              <w:t xml:space="preserve">•</w:t>
            </w:r>
            <w:r>
              <w:t xml:space="preserve"> </w:t>
            </w:r>
            <w:r>
              <w:t xml:space="preserve">Product and other revenue from the sale of Mediasite recorder units and server software decreased from $8.1 million in fiscal 2022 to $6.1 million in fiscal 2023. Mediasite recorder revenue decreased $1.7 million and software revenue decreased $0.4 million while shipping and other revenue had an increase of $0.1 million.</w:t>
            </w:r>
            <w:r>
              <w:t xml:space="preserve"> </w:t>
            </w:r>
            <w:r>
              <w:t xml:space="preserve">•</w:t>
            </w:r>
            <w:r>
              <w:t xml:space="preserve"> </w:t>
            </w:r>
            <w:r>
              <w:t xml:space="preserve">Services revenue represents the portion of fees charged for Mediasite customer support, hosting, and captioning contracts amortized over the length of the contract, typically 12 months. It also includes point in time service revenue such as installations and training, custom development, and event services. Total services revenue decreased from $19.3 million in fiscal 2022 to $16.0 million in fiscal 2023. The decrease is primarily due to reduction in event services and delays in renewals of contracts for hosting and support due to macro environment concerns and impact of foreign currency on Japanese yen and Euro to USD.</w:t>
            </w:r>
            <w:r>
              <w:t xml:space="preserve"> </w:t>
            </w:r>
            <w:r>
              <w:t xml:space="preserve">•</w:t>
            </w:r>
            <w:r>
              <w:t xml:space="preserve"> </w:t>
            </w:r>
            <w:r>
              <w:t xml:space="preserve">At September 30, 2023, $9.9 million of revenue was deferred, of which we expect to recognize $8.5 million in the next twelve months, including approximately $3.1 million in the quarter ending December 31, 2023. At September 30, 2022, $9.7 million of revenue was deferred.</w:t>
            </w:r>
            <w:r>
              <w:t xml:space="preserve"> </w:t>
            </w:r>
            <w:r>
              <w:t xml:space="preserve">•</w:t>
            </w:r>
            <w:r>
              <w:t xml:space="preserve"> </w:t>
            </w:r>
            <w:r>
              <w:t xml:space="preserve">Other revenue relates to freight charges billed separately to our customers as well as an economic impact fee which was established in fiscal 2022.</w:t>
            </w:r>
            <w:r>
              <w:t xml:space="preserve"> </w:t>
            </w:r>
            <w:r>
              <w:t xml:space="preserve">Gross Margin</w:t>
            </w:r>
            <w:r>
              <w:t xml:space="preserve"> </w:t>
            </w:r>
            <w:r>
              <w:t xml:space="preserve">Total gross margin in fiscal 2023 was $12.9 million or 58% compared to $18.8 million or 68% in fiscal 2022. The decline year over year is primarily attributed to transition costs incurred as we move to a public cloud, incentive pricing on recorder and other sales components to drive increased and longer-term orders, as well as the decrease in services revenue without the corresponding decrease in COGS expense in cost centers that support services revenue.</w:t>
            </w:r>
            <w:r>
              <w:t xml:space="preserve"> </w:t>
            </w:r>
            <w:r>
              <w:t xml:space="preserve">36</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Operating Expenses</w:t>
            </w:r>
            <w:r>
              <w:t xml:space="preserve"> </w:t>
            </w:r>
            <w:r>
              <w:t xml:space="preserve">Selling and Marketing Expenses</w:t>
            </w:r>
            <w:r>
              <w:t xml:space="preserve"> </w:t>
            </w:r>
            <w:r>
              <w:t xml:space="preserve">Selling and marketing (“S&amp;M”) expenses include wages and commissions for sales, marketing and business development personnel, print and digital advertising, tradeshows and various promotional expenses for our products. Timing of these costs may vary greatly depending on introduction of new products and services or entrance into new markets, or participation in major tradeshows.</w:t>
            </w:r>
            <w:r>
              <w:t xml:space="preserve"> </w:t>
            </w:r>
            <w:r>
              <w:t xml:space="preserve">S&amp;M expense decreased $1.8 million, or 15%, from $12.3 million in fiscal 2022 to $10.5 million in fiscal 2023. Fluctuations in the major categories include:</w:t>
            </w:r>
            <w:r>
              <w:t xml:space="preserve"> </w:t>
            </w:r>
            <w:r>
              <w:t xml:space="preserve">•</w:t>
            </w:r>
            <w:r>
              <w:t xml:space="preserve"> </w:t>
            </w:r>
            <w:r>
              <w:t xml:space="preserve">Salary, commissions, and benefits decreased by $0.6 million.</w:t>
            </w:r>
            <w:r>
              <w:t xml:space="preserve"> </w:t>
            </w:r>
            <w:r>
              <w:t xml:space="preserve">•</w:t>
            </w:r>
            <w:r>
              <w:t xml:space="preserve"> </w:t>
            </w:r>
            <w:r>
              <w:t xml:space="preserve">General and administrative ("G&amp;A") allocation decreased $0.7 million due to reduced G&amp;A costs resulting in a change in the shared service cost allocation activity driver in FY23.</w:t>
            </w:r>
            <w:r>
              <w:t xml:space="preserve"> </w:t>
            </w:r>
            <w:r>
              <w:t xml:space="preserve">•</w:t>
            </w:r>
            <w:r>
              <w:t xml:space="preserve"> </w:t>
            </w:r>
            <w:r>
              <w:t xml:space="preserve">Professional services increased $0.4 million due to increased investment in GLX.</w:t>
            </w:r>
            <w:r>
              <w:t xml:space="preserve"> </w:t>
            </w:r>
            <w:r>
              <w:t xml:space="preserve">•</w:t>
            </w:r>
            <w:r>
              <w:t xml:space="preserve"> </w:t>
            </w:r>
            <w:r>
              <w:t xml:space="preserve">S&amp;M expenses for Sonic Foundry International and MSKK accounted for $0.5 and $2.3 million, respectively in fiscal 2023, an aggregate decrease of $0.9 million from the prior year.</w:t>
            </w:r>
            <w:r>
              <w:t xml:space="preserve"> </w:t>
            </w:r>
            <w:r>
              <w:t xml:space="preserve">General and Administrative Expenses</w:t>
            </w:r>
            <w:r>
              <w:t xml:space="preserve"> </w:t>
            </w:r>
            <w:r>
              <w:t xml:space="preserve">General and administrative expenses consist of personnel and related costs associated with the facilities, finance, legal, human resources, and information technology departments, as well as other expenses not fully allocated to functional areas.</w:t>
            </w:r>
            <w:r>
              <w:t xml:space="preserve"> </w:t>
            </w:r>
            <w:r>
              <w:t xml:space="preserve">G&amp;A expenses decreased by approximately $0.9 million, or 16%, to $5.0 million in fiscal 2023 from $5.9 million in fiscal 2022. Fluctuations in major categories include:</w:t>
            </w:r>
            <w:r>
              <w:t xml:space="preserve"> </w:t>
            </w:r>
            <w:r>
              <w:t xml:space="preserve">•</w:t>
            </w:r>
            <w:r>
              <w:t xml:space="preserve"> </w:t>
            </w:r>
            <w:r>
              <w:t xml:space="preserve">Employee compensation expenses decreased by $0.7 million, attributable to a lower headcount in FY23.</w:t>
            </w:r>
            <w:r>
              <w:t xml:space="preserve"> </w:t>
            </w:r>
            <w:r>
              <w:t xml:space="preserve">•</w:t>
            </w:r>
            <w:r>
              <w:t xml:space="preserve"> </w:t>
            </w:r>
            <w:r>
              <w:t xml:space="preserve">Depreciation expense increased $0.4 million due to an increase in fixed asset additions related to GLX Hub build-outs throughout 2022 and 2023</w:t>
            </w:r>
            <w:r>
              <w:t xml:space="preserve"> </w:t>
            </w:r>
            <w:r>
              <w:t xml:space="preserve">•</w:t>
            </w:r>
            <w:r>
              <w:t xml:space="preserve"> </w:t>
            </w:r>
            <w:r>
              <w:t xml:space="preserve">G&amp;A expenses from the Company’s foreign operations decreased $0.5 million compared to from the prior year.</w:t>
            </w:r>
            <w:r>
              <w:t xml:space="preserve"> </w:t>
            </w:r>
            <w:r>
              <w:t xml:space="preserve">Product Development Expenses</w:t>
            </w:r>
            <w:r>
              <w:t xml:space="preserve"> </w:t>
            </w:r>
            <w:r>
              <w:t xml:space="preserve">Product development (“PD”) expenses include salaries and wages of the software research and development staff and an allocation of benefits, facility, and administrative expenses.</w:t>
            </w:r>
            <w:r>
              <w:t xml:space="preserve"> </w:t>
            </w:r>
            <w:r>
              <w:t xml:space="preserve">PD expenses increased approximately $3.5 million, or 46%, from $7.5 million in fiscal 2022 to $11.0 million in fiscal 2023. The increase is primarily due to the following:</w:t>
            </w:r>
            <w:r>
              <w:t xml:space="preserve"> </w:t>
            </w:r>
            <w:r>
              <w:t xml:space="preserve">•</w:t>
            </w:r>
            <w:r>
              <w:t xml:space="preserve"> </w:t>
            </w:r>
            <w:r>
              <w:t xml:space="preserve">Increase in software development in our Vidable products of $2.8 million.</w:t>
            </w:r>
            <w:r>
              <w:t xml:space="preserve"> </w:t>
            </w:r>
            <w:r>
              <w:t xml:space="preserve">•</w:t>
            </w:r>
            <w:r>
              <w:t xml:space="preserve"> </w:t>
            </w:r>
            <w:r>
              <w:t xml:space="preserve">Increase in Mediasite supplies expenses of $0.2 million driven by an increase in internally used software development tools.</w:t>
            </w:r>
            <w:r>
              <w:t xml:space="preserve"> </w:t>
            </w:r>
            <w:r>
              <w:t xml:space="preserve">•</w:t>
            </w:r>
            <w:r>
              <w:t xml:space="preserve"> </w:t>
            </w:r>
            <w:r>
              <w:t xml:space="preserve">Increase of $0.5 million arising from a change in the shared service cost allocation activity driver in FY23.</w:t>
            </w:r>
            <w:r>
              <w:t xml:space="preserve"> </w:t>
            </w:r>
            <w:r>
              <w:t xml:space="preserve">•</w:t>
            </w:r>
            <w:r>
              <w:t xml:space="preserve"> </w:t>
            </w:r>
            <w:r>
              <w:t xml:space="preserve">PD expenses for Sonic Foundry International and MSKK accounted for $0.2 and $0.3 million, respectively, for fiscal 2023, or a decrease of $0.1 million compared to the prior year related to the foreign subsidiaries.</w:t>
            </w:r>
            <w:r>
              <w:t xml:space="preserve"> </w:t>
            </w:r>
            <w:r>
              <w:t xml:space="preserve">During the quarter ended June 30, 2023 the Company made a strategic decision to shift its Vidable development efforts toward events related analytics, access and dynamic content to better serve the needs of event promoters, sponsors, and attendees. As a result, the Company reevaluated its capitalization policies for costs to develop software products to be sold to external users and ceased capitalization beginning quarter ended September 30, 2023. There were $1.5 million of capitalized software development costs in fiscal 2023 that previously qualified for capitalization, compared to $2.4 million in fiscal 2022. These costs were associated with the development of new AI video tools for our Vidable software products.</w:t>
            </w:r>
            <w:r>
              <w:t xml:space="preserve"> </w:t>
            </w:r>
            <w:r>
              <w:t xml:space="preserve">Impairment of Intangible Assets</w:t>
            </w:r>
            <w:r>
              <w:t xml:space="preserve"> </w:t>
            </w:r>
            <w:r>
              <w:t xml:space="preserve">The Company recorded an impairment loss of $3.8 million and $0 for capitalized software development in fiscal years ended 2023 and 2022, respectively. The non-cash loss incurred in 2023 was primarily due to a strategic shift in Vidable development efforts to better serve the needs of the events industry.</w:t>
            </w:r>
            <w:r>
              <w:t xml:space="preserve"> </w:t>
            </w:r>
            <w:r>
              <w:t xml:space="preserve">37</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Other Income and Expense, Net</w:t>
            </w:r>
            <w:r>
              <w:t xml:space="preserve"> </w:t>
            </w:r>
            <w:r>
              <w:t xml:space="preserve">Interest expense for fiscal 2023 increased $1.7 million compared to fiscal 2022. The increase in interest expense is driven by monthly interest payments related to the Loan and Security Agreement and subsequent amendment with NBE as well as the Security Agreement and Promissory Note and subsequent amendment with Mark Burish.</w:t>
            </w:r>
            <w:r>
              <w:t xml:space="preserve"> </w:t>
            </w:r>
            <w:r>
              <w:t xml:space="preserve">During the year ended September 30, 2023, no gain in fair value was recorded related to the fair value remeasurement on the derivative liability associated with the Loan and Security Agreement and Warrant Debt with PFG V compared to a gain in fair value of $53 thousand the year ended September 30, 2022. The fair value of the derivative liability is measured at fair value based on a Black Scholes option pricing model with assumptions for stock price, exercise price, volatility, expected term, risk free interest rate and dividend yield.</w:t>
            </w:r>
            <w:r>
              <w:t xml:space="preserve"> </w:t>
            </w:r>
            <w:r>
              <w:t xml:space="preserve">During fiscal 2023 and 2022, a $60 thousand gain and $364 thousand loss, respectively, was recorded as the net result of other expense and income, primarily due to the foreign currency translation changes from the foreign subsidiaries.</w:t>
            </w:r>
            <w:r>
              <w:t xml:space="preserve"> </w:t>
            </w:r>
            <w:r>
              <w:t xml:space="preserve">Provisions Related to Income Taxes</w:t>
            </w:r>
            <w:r>
              <w:t xml:space="preserve"> </w:t>
            </w:r>
            <w:r>
              <w:t xml:space="preserve">The Company believes the valuation allowance for its deferred tax assets is appropriate. See Note 6 - Income Taxes for further details. The repatriation of undistributed foreign earnings is not expected to result in a material change to our financial results.</w:t>
            </w:r>
            <w:r>
              <w:t xml:space="preserve"> </w:t>
            </w:r>
            <w:r>
              <w:t xml:space="preserve">Foreign Currency Translation Adjustment</w:t>
            </w:r>
            <w:r>
              <w:t xml:space="preserve"> </w:t>
            </w:r>
            <w:r>
              <w:t xml:space="preserve">The Company’s wholly-owned subsidiaries operate in Japan and the Netherlands, and utilize the Japanese Yen and Euro, respectively, as their functional currency. Assets and liabilities of the Company’s foreign operations are translated into US dollars at period end exchange rates whiles revenues and expenses are translated using average rates for the period. Gains and losses from the translation are deferred and included in accumulated other comprehensive loss on the consolidated statements of operations.</w:t>
            </w:r>
            <w:r>
              <w:t xml:space="preserve"> </w:t>
            </w:r>
            <w:r>
              <w:t xml:space="preserve">38</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For the year ended September 30, 2023, the Company’s foreign currency translation adjustment was a gain of $111 thousand compared to a loss of $364 thousand in the year ended September 30, 2022.</w:t>
            </w:r>
            <w:r>
              <w:t xml:space="preserve"> </w:t>
            </w:r>
            <w:r>
              <w:t xml:space="preserve">During fiscal 2023, the Company recorded an aggregate transaction loss of $6 thousand compared to an aggregate loss of $63 thousand during fiscal 2022. The aggregate transaction loss is included in the other expense line of the consolidated statements of operations.</w:t>
            </w:r>
            <w:r>
              <w:t xml:space="preserve"> </w:t>
            </w:r>
            <w:r>
              <w:t xml:space="preserve">LIQUIDITY AND CAPITAL RESOURCES</w:t>
            </w:r>
            <w:r>
              <w:t xml:space="preserve"> </w:t>
            </w:r>
            <w:r>
              <w:t xml:space="preserve">The Company’s primary sources of liquidity are from debt and equity financing. During fiscal 2023, the Company used $11.3 million cash for operating activities, compared with a use of $5.6 million in operating activities in fiscal 2022. The primary factors driving the fiscal 2023 cash usage from operating activities are the $19.3 million net loss, which was partially offset by a non-cash charge for impairment of fixed assets of $3.8 million, $2.3 million of depreciation and amortization of property and equipment, and $801 thousand decrease in accounts receivable, net of allowances.</w:t>
            </w:r>
            <w:r>
              <w:t xml:space="preserve"> </w:t>
            </w:r>
            <w:r>
              <w:t xml:space="preserve">Capital expenditures for property and equipment were $550 thousand in fiscal 2023 compared to $2.6 million in fiscal 2022. Capitalized software development costs were $1.5 million in fiscal 2023 compared to $2.4 million capitalization in fiscal 2022.</w:t>
            </w:r>
            <w:r>
              <w:t xml:space="preserve"> </w:t>
            </w:r>
            <w:r>
              <w:t xml:space="preserve">During fiscal years 2023 and 2022, cash provided from financing activities were $11.0 million and $4.5 million, respectively. During fiscal year, 2023, payments on capital lease and financing arrangements of $7 thousand were offset by proceeds from stock option exercises of $2 thousand, proceeds from notes payable due to related parties of $10.0 million, proceeds from notes payable of $338 thousand and common stock issuance of $1.2 million. For the same period in fiscal 2022, the Company recorded $4.5 million of cash flows from financing activities primarily due to $4.0 million proceeds from issuance of common stock and $441 thousand proceeds from notes payable.</w:t>
            </w:r>
            <w:r>
              <w:t xml:space="preserve"> </w:t>
            </w:r>
            <w:r>
              <w:t xml:space="preserve">At September 30, 2023, the Company had $11.1 million outstanding of debt, related to notes payable with Neltjeberg Bay Enterprises, Mark Burish and MSKK term debt. The Company is currently paying a fee of approximately $31 thousand per month to defer principal payments. At September 30, 2022, the Company had $921 thousand outstanding, net of warrant debt and debt discounts, related to notes payable with PFG V and MSKK term debt.</w:t>
            </w:r>
            <w:r>
              <w:t xml:space="preserve"> </w:t>
            </w:r>
            <w:r>
              <w:t xml:space="preserve">At September 30, 2023 approximately $0.5 million of cash and cash equivalents was held by the Company’s foreign subsidiaries.</w:t>
            </w:r>
            <w:r>
              <w:t xml:space="preserve"> </w:t>
            </w:r>
            <w:r>
              <w:t xml:space="preserve">The accompanying financial statements have been prepared assuming the Company will continue as a going concern. In fiscal year 2023, the Company incurred a net loss of $19.3 million compared to $7.1 million in fiscal year 2022 and has a deficit in stockholders’ equity at September 30, 2023 of $13.7 million. The Company currently does not have access to capital through a line of credit nor other readily available sources of capital. Together, these factors raise substantial doubt regarding the Company’s ability to continue as a going concern.</w:t>
            </w:r>
            <w:r>
              <w:t xml:space="preserve"> </w:t>
            </w:r>
            <w:r>
              <w:t xml:space="preserve">However, management has considered its plans to continue the Company as a going concern and believes substantial doubt is alleviated. Management developed a plan to improve liquidity in its operations through reductions in expenses, incentives to accelerate cash collections, monetization of excess inventory, utilization of the final $500,000 tranche available under its existing credit agreement with Mark Burish, as well as anticipated exchange of a portion of his debt into equity, exchange of a portion of debt for the sale of certain assets and further financial support in the form of additional debt or equity, and proceeds from the proposed sale of the Company’s Mediasite business. The Company believes it will be successful in such initiatives and will be able to continue as a going concern through at least the next twelve months.</w:t>
            </w:r>
            <w:r>
              <w:t xml:space="preserve"> </w:t>
            </w:r>
            <w:r>
              <w:t xml:space="preserve">39</w:t>
            </w:r>
            <w:r>
              <w:t xml:space="preserve"> </w:t>
            </w:r>
            <w:r>
              <w:t xml:space="preserve">Table of Contents</w:t>
            </w:r>
            <w:r>
              <w:t xml:space="preserve"> </w:t>
            </w:r>
            <w:r>
              <w:t xml:space="preserve">Sonic Foundry, Inc.</w:t>
            </w:r>
            <w:r>
              <w:t xml:space="preserve"> </w:t>
            </w:r>
            <w:r>
              <w:t xml:space="preserve">Annual Report on Form 10-K</w:t>
            </w:r>
            <w:r>
              <w:t xml:space="preserve"> </w:t>
            </w:r>
            <w:r>
              <w:t xml:space="preserve">For the Year Ended September 30, 2023</w:t>
            </w:r>
            <w:r>
              <w:t xml:space="preserve"> </w:t>
            </w:r>
            <w:r>
              <w:t xml:space="preserve">Contractual Obligations</w:t>
            </w:r>
            <w:r>
              <w:t xml:space="preserve"> </w:t>
            </w:r>
            <w:r>
              <w:t xml:space="preserve">The following summarizes our contractual obligations at September 30, 2023 and the effect those obligations are expected to have on our liquidity and cash flow in future periods (in thousands):</w:t>
            </w:r>
            <w:r>
              <w:t xml:space="preserve"> </w:t>
            </w:r>
            <w:r>
              <w:t xml:space="preserve">Less than</w:t>
            </w:r>
            <w:r>
              <w:t xml:space="preserve"> </w:t>
            </w:r>
            <w:r>
              <w:t xml:space="preserve">Years</w:t>
            </w:r>
            <w:r>
              <w:t xml:space="preserve"> </w:t>
            </w:r>
            <w:r>
              <w:t xml:space="preserve">Years</w:t>
            </w:r>
            <w:r>
              <w:t xml:space="preserve"> </w:t>
            </w:r>
            <w:r>
              <w:t xml:space="preserve">Over</w:t>
            </w:r>
            <w:r>
              <w:t xml:space="preserve"> </w:t>
            </w:r>
            <w:r>
              <w:t xml:space="preserve">Contractual Obligations:</w:t>
            </w:r>
            <w:r>
              <w:t xml:space="preserve"> </w:t>
            </w:r>
            <w:r>
              <w:t xml:space="preserve">Total</w:t>
            </w:r>
            <w:r>
              <w:t xml:space="preserve"> </w:t>
            </w:r>
            <w:r>
              <w:t xml:space="preserve">1 Year</w:t>
            </w:r>
            <w:r>
              <w:t xml:space="preserve"> </w:t>
            </w:r>
            <w:r>
              <w:t xml:space="preserve">2-3</w:t>
            </w:r>
            <w:r>
              <w:t xml:space="preserve"> </w:t>
            </w:r>
            <w:r>
              <w:t xml:space="preserve">4-5</w:t>
            </w:r>
            <w:r>
              <w:t xml:space="preserve"> </w:t>
            </w:r>
            <w:r>
              <w:t xml:space="preserve">5 years</w:t>
            </w:r>
            <w:r>
              <w:t xml:space="preserve"> </w:t>
            </w:r>
            <w:r>
              <w:t xml:space="preserve">Product purchase commitments</w:t>
            </w:r>
            <w:r>
              <w:t xml:space="preserve"> </w:t>
            </w:r>
            <w:r>
              <w:t xml:space="preserve">$</w:t>
            </w:r>
            <w:r>
              <w:t xml:space="preserve"> </w:t>
            </w:r>
            <w:r>
              <w:t xml:space="preserve">1,193</w:t>
            </w:r>
            <w:r>
              <w:t xml:space="preserve"> </w:t>
            </w:r>
            <w:r>
              <w:t xml:space="preserve">$</w:t>
            </w:r>
            <w:r>
              <w:t xml:space="preserve"> </w:t>
            </w:r>
            <w:r>
              <w:t xml:space="preserve">1,193</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Service purchase commitments</w:t>
            </w:r>
            <w:r>
              <w:t xml:space="preserve"> </w:t>
            </w:r>
            <w:r>
              <w:t xml:space="preserve">917</w:t>
            </w:r>
            <w:r>
              <w:t xml:space="preserve"> </w:t>
            </w:r>
            <w:r>
              <w:t xml:space="preserve">500</w:t>
            </w:r>
            <w:r>
              <w:t xml:space="preserve"> </w:t>
            </w:r>
            <w:r>
              <w:t xml:space="preserve">417</w:t>
            </w:r>
            <w:r>
              <w:t xml:space="preserve"> </w:t>
            </w:r>
            <w:r>
              <w:t xml:space="preserve">—</w:t>
            </w:r>
            <w:r>
              <w:t xml:space="preserve"> </w:t>
            </w:r>
            <w:r>
              <w:t xml:space="preserve">—</w:t>
            </w:r>
            <w:r>
              <w:t xml:space="preserve"> </w:t>
            </w:r>
            <w:r>
              <w:t xml:space="preserve">Operating lease obligations</w:t>
            </w:r>
            <w:r>
              <w:t xml:space="preserve"> </w:t>
            </w:r>
            <w:r>
              <w:t xml:space="preserve">1,702</w:t>
            </w:r>
            <w:r>
              <w:t xml:space="preserve"> </w:t>
            </w:r>
            <w:r>
              <w:t xml:space="preserve">1,026</w:t>
            </w:r>
            <w:r>
              <w:t xml:space="preserve"> </w:t>
            </w:r>
            <w:r>
              <w:t xml:space="preserve">599</w:t>
            </w:r>
            <w:r>
              <w:t xml:space="preserve"> </w:t>
            </w:r>
            <w:r>
              <w:t xml:space="preserve">77</w:t>
            </w:r>
            <w:r>
              <w:t xml:space="preserve"> </w:t>
            </w:r>
            <w:r>
              <w:t xml:space="preserve">—</w:t>
            </w:r>
            <w:r>
              <w:t xml:space="preserve"> </w:t>
            </w:r>
            <w:r>
              <w:t xml:space="preserve">Capital lease obligations (a)</w:t>
            </w:r>
            <w:r>
              <w:t xml:space="preserve"> </w:t>
            </w:r>
            <w:r>
              <w:t xml:space="preserve">20</w:t>
            </w:r>
            <w:r>
              <w:t xml:space="preserve"> </w:t>
            </w:r>
            <w:r>
              <w:t xml:space="preserve">6</w:t>
            </w:r>
            <w:r>
              <w:t xml:space="preserve"> </w:t>
            </w:r>
            <w:r>
              <w:t xml:space="preserve">11</w:t>
            </w:r>
            <w:r>
              <w:t xml:space="preserve"> </w:t>
            </w:r>
            <w:r>
              <w:t xml:space="preserve">3</w:t>
            </w:r>
            <w:r>
              <w:t xml:space="preserve"> </w:t>
            </w:r>
            <w:r>
              <w:t xml:space="preserve">—</w:t>
            </w:r>
            <w:r>
              <w:t xml:space="preserve"> </w:t>
            </w:r>
            <w:r>
              <w:t xml:space="preserve">Notes payable (a)</w:t>
            </w:r>
            <w:r>
              <w:t xml:space="preserve"> </w:t>
            </w:r>
            <w:r>
              <w:t xml:space="preserve">13,741</w:t>
            </w:r>
            <w:r>
              <w:t xml:space="preserve"> </w:t>
            </w:r>
            <w:r>
              <w:t xml:space="preserve">10,187</w:t>
            </w:r>
            <w:r>
              <w:t xml:space="preserve"> </w:t>
            </w:r>
            <w:r>
              <w:t xml:space="preserve">3,435</w:t>
            </w:r>
            <w:r>
              <w:t xml:space="preserve"> </w:t>
            </w:r>
            <w:r>
              <w:t xml:space="preserve">226</w:t>
            </w:r>
            <w:r>
              <w:t xml:space="preserve"> </w:t>
            </w:r>
            <w:r>
              <w:t xml:space="preserve">123</w:t>
            </w:r>
            <w:r>
              <w:t xml:space="preserve"> </w:t>
            </w:r>
            <w:r>
              <w:t xml:space="preserve">(a)</w:t>
            </w:r>
            <w:r>
              <w:t xml:space="preserve"> </w:t>
            </w:r>
            <w:r>
              <w:t xml:space="preserve">Includes fixed and determinable interest payments</w:t>
            </w:r>
          </w:p>
        </w:tc>
        <w:tc>
          <w:tcPr/>
          <w:p>
            <w:pPr>
              <w:pStyle w:val="Compact"/>
            </w:pPr>
            <w:r>
              <w:t xml:space="preserve">17990</w:t>
            </w:r>
          </w:p>
        </w:tc>
        <w:tc>
          <w:tcPr/>
          <w:p>
            <w:pPr>
              <w:pStyle w:val="Compact"/>
            </w:pPr>
            <w:r>
              <w:t xml:space="preserve">112618</w:t>
            </w:r>
          </w:p>
        </w:tc>
        <w:tc>
          <w:tcPr/>
          <w:p>
            <w:pPr>
              <w:pStyle w:val="Compact"/>
            </w:pPr>
            <w:r>
              <w:t xml:space="preserve">31353</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ok</w:t>
            </w:r>
          </w:p>
        </w:tc>
        <w:tc>
          <w:tcPr/>
          <w:p>
            <w:pPr>
              <w:pStyle w:val="Compact"/>
            </w:pPr>
            <w:r>
              <w:t xml:space="preserve">None</w:t>
            </w:r>
          </w:p>
        </w:tc>
      </w:tr>
    </w:tbl>
    <w:bookmarkEnd w:id="37"/>
    <w:bookmarkEnd w:id="38"/>
    <w:bookmarkStart w:id="42" w:name="quick-extraction-diagnostics"/>
    <w:p>
      <w:pPr>
        <w:pStyle w:val="Heading2"/>
      </w:pPr>
      <w:r>
        <w:t xml:space="preserve">4.2 Quick extraction diagnostics</w:t>
      </w:r>
    </w:p>
    <w:p>
      <w:pPr>
        <w:pStyle w:val="FirstParagraph"/>
      </w:pPr>
      <w:r>
        <w:t xml:space="preserve">Let’s check how many files we processed, and how many had each section successfully extracted. This will give us a sense of the extraction quality and coverage.</w:t>
      </w:r>
    </w:p>
    <w:bookmarkStart w:id="40" w:name="summery-table"/>
    <w:p>
      <w:pPr>
        <w:pStyle w:val="Heading3"/>
      </w:pPr>
      <w:r>
        <w:t xml:space="preserve">4.2.1 Summery table</w:t>
      </w:r>
    </w:p>
    <w:p>
      <w:pPr>
        <w:pStyle w:val="SourceCode"/>
      </w:pPr>
      <w:r>
        <w:rPr>
          <w:rStyle w:val="CommentTok"/>
        </w:rPr>
        <w:t xml:space="preserve"># get the values for total files, item 1 extracted, item 1a extracted, and item 7 extracted from the df_sections dataframe and create a summary dataframe to display these metrics in a nice format</w:t>
      </w:r>
      <w:r>
        <w:br/>
      </w:r>
      <w:r>
        <w:br/>
      </w:r>
      <w:r>
        <w:rPr>
          <w:rStyle w:val="NormalTok"/>
        </w:rPr>
        <w:t xml:space="preserve">summary </w:t>
      </w:r>
      <w:r>
        <w:rPr>
          <w:rStyle w:val="OperatorTok"/>
        </w:rPr>
        <w:t xml:space="preserve">=</w:t>
      </w:r>
      <w:r>
        <w:rPr>
          <w:rStyle w:val="NormalTok"/>
        </w:rPr>
        <w:t xml:space="preserve"> pd.DataFrame({</w:t>
      </w:r>
      <w:r>
        <w:br/>
      </w:r>
      <w:r>
        <w:rPr>
          <w:rStyle w:val="NormalTok"/>
        </w:rPr>
        <w:t xml:space="preserve">    </w:t>
      </w:r>
      <w:r>
        <w:rPr>
          <w:rStyle w:val="StringTok"/>
        </w:rPr>
        <w:t xml:space="preserve">"metric"</w:t>
      </w:r>
      <w:r>
        <w:rPr>
          <w:rStyle w:val="NormalTok"/>
        </w:rPr>
        <w:t xml:space="preserve">: [</w:t>
      </w:r>
      <w:r>
        <w:br/>
      </w:r>
      <w:r>
        <w:br/>
      </w:r>
      <w:r>
        <w:rPr>
          <w:rStyle w:val="NormalTok"/>
        </w:rPr>
        <w:t xml:space="preserve">    ],</w:t>
      </w:r>
      <w:r>
        <w:br/>
      </w:r>
      <w:r>
        <w:rPr>
          <w:rStyle w:val="NormalTok"/>
        </w:rPr>
        <w:t xml:space="preserve">    </w:t>
      </w:r>
      <w:r>
        <w:rPr>
          <w:rStyle w:val="StringTok"/>
        </w:rPr>
        <w:t xml:space="preserve">"value"</w:t>
      </w:r>
      <w:r>
        <w:rPr>
          <w:rStyle w:val="NormalTok"/>
        </w:rPr>
        <w:t xml:space="preserve">: [</w:t>
      </w:r>
      <w:r>
        <w:br/>
      </w:r>
      <w:r>
        <w:br/>
      </w:r>
      <w:r>
        <w:rPr>
          <w:rStyle w:val="NormalTok"/>
        </w:rPr>
        <w:t xml:space="preserve">    ]</w:t>
      </w:r>
      <w:r>
        <w:br/>
      </w:r>
      <w:r>
        <w:rPr>
          <w:rStyle w:val="NormalTok"/>
        </w:rPr>
        <w:t xml:space="preserve">})</w:t>
      </w:r>
      <w:r>
        <w:br/>
      </w:r>
      <w:r>
        <w:br/>
      </w:r>
      <w:r>
        <w:rPr>
          <w:rStyle w:val="NormalTok"/>
        </w:rPr>
        <w:t xml:space="preserve">summary.style.hide(axis</w:t>
      </w:r>
      <w:r>
        <w:rPr>
          <w:rStyle w:val="OperatorTok"/>
        </w:rPr>
        <w:t xml:space="preserve">=</w:t>
      </w:r>
      <w:r>
        <w:rPr>
          <w:rStyle w:val="StringTok"/>
        </w:rPr>
        <w:t xml:space="preserve">"index"</w:t>
      </w:r>
      <w:r>
        <w:rPr>
          <w:rStyle w:val="NormalTok"/>
        </w:rPr>
        <w:t xml:space="preserve">)</w:t>
      </w:r>
    </w:p>
    <w:bookmarkStart w:id="39" w:name="T_fdb3c"/>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total_files</w:t>
            </w:r>
          </w:p>
        </w:tc>
        <w:tc>
          <w:tcPr/>
          <w:p>
            <w:pPr>
              <w:pStyle w:val="Compact"/>
            </w:pPr>
            <w:r>
              <w:t xml:space="preserve">25</w:t>
            </w:r>
          </w:p>
        </w:tc>
      </w:tr>
      <w:tr>
        <w:tc>
          <w:tcPr/>
          <w:p>
            <w:pPr>
              <w:pStyle w:val="Compact"/>
            </w:pPr>
            <w:r>
              <w:t xml:space="preserve">item_1_extracted</w:t>
            </w:r>
          </w:p>
        </w:tc>
        <w:tc>
          <w:tcPr/>
          <w:p>
            <w:pPr>
              <w:pStyle w:val="Compact"/>
            </w:pPr>
            <w:r>
              <w:t xml:space="preserve">25</w:t>
            </w:r>
          </w:p>
        </w:tc>
      </w:tr>
      <w:tr>
        <w:tc>
          <w:tcPr/>
          <w:p>
            <w:pPr>
              <w:pStyle w:val="Compact"/>
            </w:pPr>
            <w:r>
              <w:t xml:space="preserve">item_1a_extracted</w:t>
            </w:r>
          </w:p>
        </w:tc>
        <w:tc>
          <w:tcPr/>
          <w:p>
            <w:pPr>
              <w:pStyle w:val="Compact"/>
            </w:pPr>
            <w:r>
              <w:t xml:space="preserve">18</w:t>
            </w:r>
          </w:p>
        </w:tc>
      </w:tr>
      <w:tr>
        <w:tc>
          <w:tcPr/>
          <w:p>
            <w:pPr>
              <w:pStyle w:val="Compact"/>
            </w:pPr>
            <w:r>
              <w:t xml:space="preserve">item_7_extracted</w:t>
            </w:r>
          </w:p>
        </w:tc>
        <w:tc>
          <w:tcPr/>
          <w:p>
            <w:pPr>
              <w:pStyle w:val="Compact"/>
            </w:pPr>
            <w:r>
              <w:t xml:space="preserve">25</w:t>
            </w:r>
          </w:p>
        </w:tc>
      </w:tr>
    </w:tbl>
    <w:bookmarkEnd w:id="39"/>
    <w:bookmarkEnd w:id="40"/>
    <w:bookmarkStart w:id="41" w:name="section-length-summaries"/>
    <w:p>
      <w:pPr>
        <w:pStyle w:val="Heading3"/>
      </w:pPr>
      <w:r>
        <w:t xml:space="preserve">4.2.2 Section length summaries:</w:t>
      </w:r>
    </w:p>
    <w:p>
      <w:pPr>
        <w:pStyle w:val="SourceCode"/>
      </w:pPr>
      <w:r>
        <w:rPr>
          <w:rStyle w:val="NormalTok"/>
        </w:rPr>
        <w:t xml:space="preserve">df_sections[[</w:t>
      </w:r>
      <w:r>
        <w:rPr>
          <w:rStyle w:val="StringTok"/>
        </w:rPr>
        <w:t xml:space="preserve">" "</w:t>
      </w:r>
      <w:r>
        <w:rPr>
          <w:rStyle w:val="NormalTok"/>
        </w:rPr>
        <w:t xml:space="preserve">, </w:t>
      </w:r>
      <w:r>
        <w:rPr>
          <w:rStyle w:val="StringTok"/>
        </w:rPr>
        <w:t xml:space="preserve">" "</w:t>
      </w:r>
      <w:r>
        <w:rPr>
          <w:rStyle w:val="NormalTok"/>
        </w:rPr>
        <w:t xml:space="preserve">, </w:t>
      </w:r>
      <w:r>
        <w:rPr>
          <w:rStyle w:val="StringTok"/>
        </w:rPr>
        <w:t xml:space="preserve">" "</w:t>
      </w:r>
      <w:r>
        <w:rPr>
          <w:rStyle w:val="NormalTok"/>
        </w:rPr>
        <w:t xml:space="preserve">]].describe()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item_1_len</w:t>
            </w:r>
          </w:p>
        </w:tc>
        <w:tc>
          <w:tcPr/>
          <w:p>
            <w:pPr>
              <w:pStyle w:val="Compact"/>
            </w:pPr>
            <w:r>
              <w:t xml:space="preserve">item_1a_len</w:t>
            </w:r>
          </w:p>
        </w:tc>
        <w:tc>
          <w:tcPr/>
          <w:p>
            <w:pPr>
              <w:pStyle w:val="Compact"/>
            </w:pPr>
            <w:r>
              <w:t xml:space="preserve">item_7_len</w:t>
            </w:r>
          </w:p>
        </w:tc>
      </w:tr>
      <w:tr>
        <w:tc>
          <w:tcPr/>
          <w:p>
            <w:pPr>
              <w:pStyle w:val="Compact"/>
            </w:pPr>
            <w:r>
              <w:t xml:space="preserve">count</w:t>
            </w:r>
          </w:p>
        </w:tc>
        <w:tc>
          <w:tcPr/>
          <w:p>
            <w:pPr>
              <w:pStyle w:val="Compact"/>
            </w:pPr>
            <w:r>
              <w:t xml:space="preserve">25.000000</w:t>
            </w:r>
          </w:p>
        </w:tc>
        <w:tc>
          <w:tcPr/>
          <w:p>
            <w:pPr>
              <w:pStyle w:val="Compact"/>
            </w:pPr>
            <w:r>
              <w:t xml:space="preserve">25.0000</w:t>
            </w:r>
          </w:p>
        </w:tc>
        <w:tc>
          <w:tcPr/>
          <w:p>
            <w:pPr>
              <w:pStyle w:val="Compact"/>
            </w:pPr>
            <w:r>
              <w:t xml:space="preserve">25.00000</w:t>
            </w:r>
          </w:p>
        </w:tc>
      </w:tr>
      <w:tr>
        <w:tc>
          <w:tcPr/>
          <w:p>
            <w:pPr>
              <w:pStyle w:val="Compact"/>
            </w:pPr>
            <w:r>
              <w:t xml:space="preserve">mean</w:t>
            </w:r>
          </w:p>
        </w:tc>
        <w:tc>
          <w:tcPr/>
          <w:p>
            <w:pPr>
              <w:pStyle w:val="Compact"/>
            </w:pPr>
            <w:r>
              <w:t xml:space="preserve">35268.240000</w:t>
            </w:r>
          </w:p>
        </w:tc>
        <w:tc>
          <w:tcPr/>
          <w:p>
            <w:pPr>
              <w:pStyle w:val="Compact"/>
            </w:pPr>
            <w:r>
              <w:t xml:space="preserve">47408.0000</w:t>
            </w:r>
          </w:p>
        </w:tc>
        <w:tc>
          <w:tcPr/>
          <w:p>
            <w:pPr>
              <w:pStyle w:val="Compact"/>
            </w:pPr>
            <w:r>
              <w:t xml:space="preserve">26705.40000</w:t>
            </w:r>
          </w:p>
        </w:tc>
      </w:tr>
      <w:tr>
        <w:tc>
          <w:tcPr/>
          <w:p>
            <w:pPr>
              <w:pStyle w:val="Compact"/>
            </w:pPr>
            <w:r>
              <w:t xml:space="preserve">std</w:t>
            </w:r>
          </w:p>
        </w:tc>
        <w:tc>
          <w:tcPr/>
          <w:p>
            <w:pPr>
              <w:pStyle w:val="Compact"/>
            </w:pPr>
            <w:r>
              <w:t xml:space="preserve">33099.706325</w:t>
            </w:r>
          </w:p>
        </w:tc>
        <w:tc>
          <w:tcPr/>
          <w:p>
            <w:pPr>
              <w:pStyle w:val="Compact"/>
            </w:pPr>
            <w:r>
              <w:t xml:space="preserve">41294.8027</w:t>
            </w:r>
          </w:p>
        </w:tc>
        <w:tc>
          <w:tcPr/>
          <w:p>
            <w:pPr>
              <w:pStyle w:val="Compact"/>
            </w:pPr>
            <w:r>
              <w:t xml:space="preserve">17504.27627</w:t>
            </w:r>
          </w:p>
        </w:tc>
      </w:tr>
      <w:tr>
        <w:tc>
          <w:tcPr/>
          <w:p>
            <w:pPr>
              <w:pStyle w:val="Compact"/>
            </w:pPr>
            <w:r>
              <w:t xml:space="preserve">min</w:t>
            </w:r>
          </w:p>
        </w:tc>
        <w:tc>
          <w:tcPr/>
          <w:p>
            <w:pPr>
              <w:pStyle w:val="Compact"/>
            </w:pPr>
            <w:r>
              <w:t xml:space="preserve">1511.000000</w:t>
            </w:r>
          </w:p>
        </w:tc>
        <w:tc>
          <w:tcPr/>
          <w:p>
            <w:pPr>
              <w:pStyle w:val="Compact"/>
            </w:pPr>
            <w:r>
              <w:t xml:space="preserve">0.0000</w:t>
            </w:r>
          </w:p>
        </w:tc>
        <w:tc>
          <w:tcPr/>
          <w:p>
            <w:pPr>
              <w:pStyle w:val="Compact"/>
            </w:pPr>
            <w:r>
              <w:t xml:space="preserve">3715.00000</w:t>
            </w:r>
          </w:p>
        </w:tc>
      </w:tr>
      <w:tr>
        <w:tc>
          <w:tcPr/>
          <w:p>
            <w:pPr>
              <w:pStyle w:val="Compact"/>
            </w:pPr>
            <w:r>
              <w:t xml:space="preserve">25%</w:t>
            </w:r>
          </w:p>
        </w:tc>
        <w:tc>
          <w:tcPr/>
          <w:p>
            <w:pPr>
              <w:pStyle w:val="Compact"/>
            </w:pPr>
            <w:r>
              <w:t xml:space="preserve">17293.000000</w:t>
            </w:r>
          </w:p>
        </w:tc>
        <w:tc>
          <w:tcPr/>
          <w:p>
            <w:pPr>
              <w:pStyle w:val="Compact"/>
            </w:pPr>
            <w:r>
              <w:t xml:space="preserve">0.0000</w:t>
            </w:r>
          </w:p>
        </w:tc>
        <w:tc>
          <w:tcPr/>
          <w:p>
            <w:pPr>
              <w:pStyle w:val="Compact"/>
            </w:pPr>
            <w:r>
              <w:t xml:space="preserve">14299.00000</w:t>
            </w:r>
          </w:p>
        </w:tc>
      </w:tr>
      <w:tr>
        <w:tc>
          <w:tcPr/>
          <w:p>
            <w:pPr>
              <w:pStyle w:val="Compact"/>
            </w:pPr>
            <w:r>
              <w:t xml:space="preserve">50%</w:t>
            </w:r>
          </w:p>
        </w:tc>
        <w:tc>
          <w:tcPr/>
          <w:p>
            <w:pPr>
              <w:pStyle w:val="Compact"/>
            </w:pPr>
            <w:r>
              <w:t xml:space="preserve">23778.000000</w:t>
            </w:r>
          </w:p>
        </w:tc>
        <w:tc>
          <w:tcPr/>
          <w:p>
            <w:pPr>
              <w:pStyle w:val="Compact"/>
            </w:pPr>
            <w:r>
              <w:t xml:space="preserve">42494.0000</w:t>
            </w:r>
          </w:p>
        </w:tc>
        <w:tc>
          <w:tcPr/>
          <w:p>
            <w:pPr>
              <w:pStyle w:val="Compact"/>
            </w:pPr>
            <w:r>
              <w:t xml:space="preserve">22123.00000</w:t>
            </w:r>
          </w:p>
        </w:tc>
      </w:tr>
      <w:tr>
        <w:tc>
          <w:tcPr/>
          <w:p>
            <w:pPr>
              <w:pStyle w:val="Compact"/>
            </w:pPr>
            <w:r>
              <w:t xml:space="preserve">75%</w:t>
            </w:r>
          </w:p>
        </w:tc>
        <w:tc>
          <w:tcPr/>
          <w:p>
            <w:pPr>
              <w:pStyle w:val="Compact"/>
            </w:pPr>
            <w:r>
              <w:t xml:space="preserve">51875.000000</w:t>
            </w:r>
          </w:p>
        </w:tc>
        <w:tc>
          <w:tcPr/>
          <w:p>
            <w:pPr>
              <w:pStyle w:val="Compact"/>
            </w:pPr>
            <w:r>
              <w:t xml:space="preserve">69408.0000</w:t>
            </w:r>
          </w:p>
        </w:tc>
        <w:tc>
          <w:tcPr/>
          <w:p>
            <w:pPr>
              <w:pStyle w:val="Compact"/>
            </w:pPr>
            <w:r>
              <w:t xml:space="preserve">35968.00000</w:t>
            </w:r>
          </w:p>
        </w:tc>
      </w:tr>
      <w:tr>
        <w:tc>
          <w:tcPr/>
          <w:p>
            <w:pPr>
              <w:pStyle w:val="Compact"/>
            </w:pPr>
            <w:r>
              <w:t xml:space="preserve">max</w:t>
            </w:r>
          </w:p>
        </w:tc>
        <w:tc>
          <w:tcPr/>
          <w:p>
            <w:pPr>
              <w:pStyle w:val="Compact"/>
            </w:pPr>
            <w:r>
              <w:t xml:space="preserve">152324.000000</w:t>
            </w:r>
          </w:p>
        </w:tc>
        <w:tc>
          <w:tcPr/>
          <w:p>
            <w:pPr>
              <w:pStyle w:val="Compact"/>
            </w:pPr>
            <w:r>
              <w:t xml:space="preserve">133547.0000</w:t>
            </w:r>
          </w:p>
        </w:tc>
        <w:tc>
          <w:tcPr/>
          <w:p>
            <w:pPr>
              <w:pStyle w:val="Compact"/>
            </w:pPr>
            <w:r>
              <w:t xml:space="preserve">67167.00000</w:t>
            </w:r>
          </w:p>
        </w:tc>
      </w:tr>
    </w:tbl>
    <w:bookmarkEnd w:id="41"/>
    <w:bookmarkEnd w:id="42"/>
    <w:bookmarkStart w:id="43" w:name="save-the-corpus"/>
    <w:p>
      <w:pPr>
        <w:pStyle w:val="Heading2"/>
      </w:pPr>
      <w:r>
        <w:t xml:space="preserve">4.3 Save the corpus</w:t>
      </w:r>
    </w:p>
    <w:p>
      <w:pPr>
        <w:pStyle w:val="Compact"/>
        <w:numPr>
          <w:ilvl w:val="0"/>
          <w:numId w:val="1012"/>
        </w:numPr>
      </w:pPr>
      <w:r>
        <w:t xml:space="preserve">Save the main corpus dataframe with extracted sections to CSV (</w:t>
      </w:r>
      <w:r>
        <w:rPr>
          <w:rStyle w:val="VerbatimChar"/>
        </w:rPr>
        <w:t xml:space="preserve">sec_10k_2024_sections.csv</w:t>
      </w:r>
      <w:r>
        <w:t xml:space="preserve">) and JSON (</w:t>
      </w:r>
      <w:r>
        <w:rPr>
          <w:rStyle w:val="VerbatimChar"/>
        </w:rPr>
        <w:t xml:space="preserve">sec_10k_2024_sections.json</w:t>
      </w:r>
      <w:r>
        <w:t xml:space="preserve">)</w:t>
      </w:r>
    </w:p>
    <w:p>
      <w:pPr>
        <w:pStyle w:val="SourceCode"/>
      </w:pPr>
      <w:r>
        <w:rPr>
          <w:rStyle w:val="VerbatimChar"/>
        </w:rPr>
        <w:t xml:space="preserve">Saved outputs to: D:\Repositories\AD698-generative-ai-for-BA\data\outputs\sec_10k_sections</w:t>
      </w:r>
    </w:p>
    <w:bookmarkEnd w:id="43"/>
    <w:bookmarkStart w:id="45" w:name="convert-to-long-format"/>
    <w:p>
      <w:pPr>
        <w:pStyle w:val="Heading2"/>
      </w:pPr>
      <w:r>
        <w:t xml:space="preserve">4.4 Convert to long format</w:t>
      </w:r>
    </w:p>
    <w:p>
      <w:pPr>
        <w:pStyle w:val="FirstParagraph"/>
      </w:pPr>
      <w:r>
        <w:t xml:space="preserve">After we extract the three sections, the next notebook block should reshape the corpus into</w:t>
      </w:r>
      <w:r>
        <w:t xml:space="preserve"> </w:t>
      </w:r>
      <w:r>
        <w:rPr>
          <w:b/>
          <w:bCs/>
        </w:rPr>
        <w:t xml:space="preserve">long format</w:t>
      </w:r>
      <w:r>
        <w:t xml:space="preserve">, because that is much easier to use later for chunking and retrieval.</w:t>
      </w:r>
    </w:p>
    <w:p>
      <w:pPr>
        <w:pStyle w:val="SourceCode"/>
      </w:pPr>
      <w:r>
        <w:rPr>
          <w:rStyle w:val="NormalTok"/>
        </w:rPr>
        <w:t xml:space="preserve">section_rows </w:t>
      </w:r>
      <w:r>
        <w:rPr>
          <w:rStyle w:val="OperatorTok"/>
        </w:rPr>
        <w:t xml:space="preserve">=</w:t>
      </w:r>
      <w:r>
        <w:rPr>
          <w:rStyle w:val="NormalTok"/>
        </w:rPr>
        <w:t xml:space="preserve"> []</w:t>
      </w:r>
      <w:r>
        <w:br/>
      </w:r>
      <w:r>
        <w:br/>
      </w:r>
      <w:r>
        <w:rPr>
          <w:rStyle w:val="ControlFlowTok"/>
        </w:rPr>
        <w:t xml:space="preserve">for</w:t>
      </w:r>
      <w:r>
        <w:rPr>
          <w:rStyle w:val="NormalTok"/>
        </w:rPr>
        <w:t xml:space="preserve"> _, row </w:t>
      </w:r>
      <w:r>
        <w:rPr>
          <w:rStyle w:val="KeywordTok"/>
        </w:rPr>
        <w:t xml:space="preserve">in</w:t>
      </w:r>
      <w:r>
        <w:rPr>
          <w:rStyle w:val="NormalTok"/>
        </w:rPr>
        <w:t xml:space="preserve"> df_sections.iterrows():</w:t>
      </w:r>
      <w:r>
        <w:br/>
      </w:r>
      <w:r>
        <w:rPr>
          <w:rStyle w:val="NormalTok"/>
        </w:rPr>
        <w:t xml:space="preserve">    </w:t>
      </w:r>
      <w:r>
        <w:rPr>
          <w:rStyle w:val="ControlFlowTok"/>
        </w:rPr>
        <w:t xml:space="preserve">for</w:t>
      </w:r>
      <w:r>
        <w:rPr>
          <w:rStyle w:val="NormalTok"/>
        </w:rPr>
        <w:t xml:space="preserve"> section_name </w:t>
      </w:r>
      <w:r>
        <w:rPr>
          <w:rStyle w:val="KeywordTok"/>
        </w:rPr>
        <w:t xml:space="preserve">in</w:t>
      </w:r>
      <w:r>
        <w:rPr>
          <w:rStyle w:val="NormalTok"/>
        </w:rPr>
        <w:t xml:space="preserve"> [</w:t>
      </w:r>
      <w:r>
        <w:rPr>
          <w:rStyle w:val="StringTok"/>
        </w:rPr>
        <w:t xml:space="preserve">" "</w:t>
      </w:r>
      <w:r>
        <w:rPr>
          <w:rStyle w:val="NormalTok"/>
        </w:rPr>
        <w:t xml:space="preserve">, </w:t>
      </w:r>
      <w:r>
        <w:rPr>
          <w:rStyle w:val="StringTok"/>
        </w:rPr>
        <w:t xml:space="preserve">" "</w:t>
      </w:r>
      <w:r>
        <w:rPr>
          <w:rStyle w:val="NormalTok"/>
        </w:rPr>
        <w:t xml:space="preserve">, </w:t>
      </w:r>
      <w:r>
        <w:rPr>
          <w:rStyle w:val="StringTok"/>
        </w:rPr>
        <w:t xml:space="preserve">" "</w:t>
      </w:r>
      <w:r>
        <w:rPr>
          <w:rStyle w:val="NormalTok"/>
        </w:rPr>
        <w:t xml:space="preserve">]: </w:t>
      </w:r>
      <w:r>
        <w:rPr>
          <w:rStyle w:val="CommentTok"/>
        </w:rPr>
        <w:t xml:space="preserve"># add item names here</w:t>
      </w:r>
      <w:r>
        <w:br/>
      </w:r>
      <w:r>
        <w:rPr>
          <w:rStyle w:val="NormalTok"/>
        </w:rPr>
        <w:t xml:space="preserve">        section_text </w:t>
      </w:r>
      <w:r>
        <w:rPr>
          <w:rStyle w:val="OperatorTok"/>
        </w:rPr>
        <w:t xml:space="preserve">=</w:t>
      </w:r>
      <w:r>
        <w:rPr>
          <w:rStyle w:val="NormalTok"/>
        </w:rPr>
        <w:t xml:space="preserve"> row[section_name]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(section_text, </w:t>
      </w:r>
      <w:r>
        <w:rPr>
          <w:rStyle w:val="BuiltInTok"/>
        </w:rPr>
        <w:t xml:space="preserve">str</w:t>
      </w:r>
      <w:r>
        <w:rPr>
          <w:rStyle w:val="NormalTok"/>
        </w:rPr>
        <w:t xml:space="preserve">) </w:t>
      </w:r>
      <w:r>
        <w:rPr>
          <w:rStyle w:val="KeywordTok"/>
        </w:rPr>
        <w:t xml:space="preserve">and</w:t>
      </w:r>
      <w:r>
        <w:rPr>
          <w:rStyle w:val="NormalTok"/>
        </w:rPr>
        <w:t xml:space="preserve"> section_text.strip():</w:t>
      </w:r>
      <w:r>
        <w:br/>
      </w:r>
      <w:r>
        <w:rPr>
          <w:rStyle w:val="NormalTok"/>
        </w:rPr>
        <w:t xml:space="preserve">            section_rows.append({</w:t>
      </w:r>
      <w:r>
        <w:br/>
      </w:r>
      <w:r>
        <w:rPr>
          <w:rStyle w:val="NormalTok"/>
        </w:rPr>
        <w:t xml:space="preserve">                </w:t>
      </w:r>
      <w:r>
        <w:rPr>
          <w:rStyle w:val="StringTok"/>
        </w:rPr>
        <w:t xml:space="preserve">"file_name"</w:t>
      </w:r>
      <w:r>
        <w:rPr>
          <w:rStyle w:val="NormalTok"/>
        </w:rPr>
        <w:t xml:space="preserve">: row[</w:t>
      </w:r>
      <w:r>
        <w:rPr>
          <w:rStyle w:val="StringTok"/>
        </w:rPr>
        <w:t xml:space="preserve">"file_name"</w:t>
      </w:r>
      <w:r>
        <w:rPr>
          <w:rStyle w:val="NormalTok"/>
        </w:rPr>
        <w:t xml:space="preserve">],</w:t>
      </w:r>
      <w:r>
        <w:br/>
      </w:r>
      <w:r>
        <w:rPr>
          <w:rStyle w:val="NormalTok"/>
        </w:rPr>
        <w:t xml:space="preserve">                </w:t>
      </w:r>
      <w:r>
        <w:rPr>
          <w:rStyle w:val="StringTok"/>
        </w:rPr>
        <w:t xml:space="preserve">"file_path"</w:t>
      </w:r>
      <w:r>
        <w:rPr>
          <w:rStyle w:val="NormalTok"/>
        </w:rPr>
        <w:t xml:space="preserve">: row[</w:t>
      </w:r>
      <w:r>
        <w:rPr>
          <w:rStyle w:val="StringTok"/>
        </w:rPr>
        <w:t xml:space="preserve">"file_path"</w:t>
      </w:r>
      <w:r>
        <w:rPr>
          <w:rStyle w:val="NormalTok"/>
        </w:rPr>
        <w:t xml:space="preserve">],</w:t>
      </w:r>
      <w:r>
        <w:br/>
      </w:r>
      <w:r>
        <w:rPr>
          <w:rStyle w:val="NormalTok"/>
        </w:rPr>
        <w:t xml:space="preserve">                </w:t>
      </w:r>
      <w:r>
        <w:rPr>
          <w:rStyle w:val="StringTok"/>
        </w:rPr>
        <w:t xml:space="preserve">"section_name"</w:t>
      </w:r>
      <w:r>
        <w:rPr>
          <w:rStyle w:val="NormalTok"/>
        </w:rPr>
        <w:t xml:space="preserve">: section_name,</w:t>
      </w:r>
      <w:r>
        <w:br/>
      </w:r>
      <w:r>
        <w:rPr>
          <w:rStyle w:val="NormalTok"/>
        </w:rPr>
        <w:t xml:space="preserve">                </w:t>
      </w:r>
      <w:r>
        <w:rPr>
          <w:rStyle w:val="StringTok"/>
        </w:rPr>
        <w:t xml:space="preserve">"section_text"</w:t>
      </w:r>
      <w:r>
        <w:rPr>
          <w:rStyle w:val="NormalTok"/>
        </w:rPr>
        <w:t xml:space="preserve">: section_text,</w:t>
      </w:r>
      <w:r>
        <w:br/>
      </w:r>
      <w:r>
        <w:rPr>
          <w:rStyle w:val="NormalTok"/>
        </w:rPr>
        <w:t xml:space="preserve">                </w:t>
      </w:r>
      <w:r>
        <w:rPr>
          <w:rStyle w:val="StringTok"/>
        </w:rPr>
        <w:t xml:space="preserve">"section_length"</w:t>
      </w:r>
      <w:r>
        <w:rPr>
          <w:rStyle w:val="NormalTok"/>
        </w:rPr>
        <w:t xml:space="preserve">: </w:t>
      </w:r>
      <w:r>
        <w:rPr>
          <w:rStyle w:val="BuiltInTok"/>
        </w:rPr>
        <w:t xml:space="preserve">len</w:t>
      </w:r>
      <w:r>
        <w:rPr>
          <w:rStyle w:val="NormalTok"/>
        </w:rPr>
        <w:t xml:space="preserve">(section_text),</w:t>
      </w:r>
      <w:r>
        <w:br/>
      </w:r>
      <w:r>
        <w:rPr>
          <w:rStyle w:val="NormalTok"/>
        </w:rPr>
        <w:t xml:space="preserve">            })</w:t>
      </w:r>
      <w:r>
        <w:br/>
      </w:r>
      <w:r>
        <w:br/>
      </w:r>
      <w:r>
        <w:rPr>
          <w:rStyle w:val="NormalTok"/>
        </w:rPr>
        <w:t xml:space="preserve">df_long </w:t>
      </w:r>
      <w:r>
        <w:rPr>
          <w:rStyle w:val="OperatorTok"/>
        </w:rPr>
        <w:t xml:space="preserve">=</w:t>
      </w:r>
      <w:r>
        <w:rPr>
          <w:rStyle w:val="NormalTok"/>
        </w:rPr>
        <w:t xml:space="preserve"> pd.DataFrame(section_rows)</w:t>
      </w:r>
      <w:r>
        <w:br/>
      </w:r>
      <w:r>
        <w:rPr>
          <w:rStyle w:val="NormalTok"/>
        </w:rPr>
        <w:t xml:space="preserve">df_long.head().style.hide(axis</w:t>
      </w:r>
      <w:r>
        <w:rPr>
          <w:rStyle w:val="OperatorTok"/>
        </w:rPr>
        <w:t xml:space="preserve">=</w:t>
      </w:r>
      <w:r>
        <w:rPr>
          <w:rStyle w:val="StringTok"/>
        </w:rPr>
        <w:t xml:space="preserve">"index"</w:t>
      </w:r>
      <w:r>
        <w:rPr>
          <w:rStyle w:val="NormalTok"/>
        </w:rPr>
        <w:t xml:space="preserve">)</w:t>
      </w:r>
    </w:p>
    <w:bookmarkStart w:id="44" w:name="T_c9745"/>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file_name</w:t>
            </w:r>
          </w:p>
        </w:tc>
        <w:tc>
          <w:tcPr/>
          <w:p>
            <w:pPr>
              <w:pStyle w:val="Compact"/>
            </w:pPr>
            <w:r>
              <w:t xml:space="preserve">file_path</w:t>
            </w:r>
          </w:p>
        </w:tc>
        <w:tc>
          <w:tcPr/>
          <w:p>
            <w:pPr>
              <w:pStyle w:val="Compact"/>
            </w:pPr>
            <w:r>
              <w:t xml:space="preserve">section_name</w:t>
            </w:r>
          </w:p>
        </w:tc>
        <w:tc>
          <w:tcPr/>
          <w:p>
            <w:pPr>
              <w:pStyle w:val="Compact"/>
            </w:pPr>
            <w:r>
              <w:t xml:space="preserve">section_text</w:t>
            </w:r>
          </w:p>
        </w:tc>
        <w:tc>
          <w:tcPr/>
          <w:p>
            <w:pPr>
              <w:pStyle w:val="Compact"/>
            </w:pPr>
            <w:r>
              <w:t xml:space="preserve">section_length</w:t>
            </w:r>
          </w:p>
        </w:tc>
      </w:tr>
      <w:tr>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ITEM 1. DESCRIPTION OF BUSINESS</w:t>
            </w:r>
            <w:r>
              <w:t xml:space="preserve"> </w:t>
            </w:r>
            <w:r>
              <w:t xml:space="preserve">Incorporation and Early History</w:t>
            </w:r>
            <w:r>
              <w:t xml:space="preserve"> </w:t>
            </w:r>
            <w:r>
              <w:t xml:space="preserve">We were incorporated in the State of Idaho in August 1968 under the name Silver Crystal Mines, Inc., to engage in the business of exploring for precious metal deposits and advancing them toward production. We ceased exploration activities during the 1990’s and became virtually inactive. In December 2003, a group of investors purchased 80-percent of the issued and outstanding common stock from the then-controlling management team. In January 2004, we affected a one-for-four reverse split of our issued and outstanding shares of common stock and increased the number of our authorized shares of common stock to 100,000,000 with a par value of $0.001.</w:t>
            </w:r>
            <w:r>
              <w:t xml:space="preserve"> </w:t>
            </w:r>
            <w:r>
              <w:t xml:space="preserve">In February 2004, our name was changed to Timberline Resources Corporation. Since the reorganization, we have been in an exploration stage evaluating, acquiring, and exploring mineral prospects with potential for economic deposits of precious and base metals. We define a prospect as a mining property, the value of which has not been determined by exploration. In August 2008, we reincorporated into the State of Delaware pursuant to a merger agreement approved by our shareholders.</w:t>
            </w:r>
            <w:r>
              <w:t xml:space="preserve"> </w:t>
            </w:r>
            <w:r>
              <w:t xml:space="preserve">In July 2007, we closed our purchase of the Butte Highlands Gold Project. In October 2008, we announced that we had agreed to form a 50/50 joint venture at the Butte Highlands Project. In July 2009, we finalized the joint venture agreement with Highland Mining, LLC (“Highland”) to create Butte Highlands JV, LLC (“BHJV”). Under terms of the joint venture agreement, development began in the summer of 2009, with Highland funding all mine development costs through development. Both Timberline’s and Highland’s 50-percent share of costs were to be paid out of net proceeds from future mine production. On January 29, 2016, we executed a Member Interest Purchase Agreement (the “Purchase Agreement”) with New Jersey Mining Company pursuant to which we sold all of our 50% interest in BHJV.</w:t>
            </w:r>
            <w:r>
              <w:t xml:space="preserve"> </w:t>
            </w:r>
            <w:r>
              <w:t xml:space="preserve">In June 2010, we closed our acquisition of Staccato Gold Resources Ltd. (“Staccato Gold”), a Canadian-based resource company that was in the business of acquiring, exploring, and developing mineral properties with a focus on gold exploration in the dominant gold producing trends in Nevada. As a result of this acquisition, we obtained Staccato’s flagship gold exploration project (“Lookout Mountain”), and several other projects at various stages of exploration in the Battle Mountain/Eureka gold trend in north-central Nevada, along with Staccato Gold’s wholly owned U.S. subsidiary, BH Minerals USA, Inc. (“BH Minerals”).</w:t>
            </w:r>
            <w:r>
              <w:t xml:space="preserve"> </w:t>
            </w:r>
            <w:r>
              <w:t xml:space="preserve">In August 2014, we closed our acquisition of Wolfpack Gold (Nevada) Corp. (“Wolfpack US”), a U.S. company and a wholly owned subsidiary of Wolfpack Gold Corp., a Canadian-based resource company (“Wolfpack Gold”), that was in the business of acquiring, exploring, and developing mineral properties with a focus on gold exploration in the dominant gold producing trends in Nevada. As a result of this acquisition, we obtained cash and several projects at various stages of exploration in the gold trends in Nevada.</w:t>
            </w:r>
            <w:r>
              <w:t xml:space="preserve"> </w:t>
            </w:r>
            <w:r>
              <w:t xml:space="preserve">5</w:t>
            </w:r>
            <w:r>
              <w:t xml:space="preserve"> </w:t>
            </w:r>
            <w:r>
              <w:t xml:space="preserve">Table of Contents</w:t>
            </w:r>
            <w:r>
              <w:t xml:space="preserve"> </w:t>
            </w:r>
            <w:r>
              <w:t xml:space="preserve">On March 17, 2015, Timberline signed a definitive option agreement to purchase 100% ownership in the Talapoosa Project in Nevada from Gunpoint Exploration Ltd. (Gunpoint). The Talapoosa Project is located in western Nevada and contains a resource of over 1 million ounces of gold. Under terms of the agreement Timberline paid Gunpoint $300,000 in cash and 2,000,000 shares of common stock on signing the agreement and was required to pay $10,000,000 (“Option Payment”) within 30 months of the agreement date to acquire 100% ownership, subject to significant contingent payments if the price of gold traded above US $1,600 per ounce for extended periods in the five (5) ensuing years. On October 26, 2016, the agreement was amended to extend the option exercise period to March 31, 2019 with the following schedule: payment of $1,000,000 and 1,000,000 common shares of the Company by March 31, 2017, payment of $2,000,000 and 1,000,000 common shares by March 31, 2018, and a final payment of $8,000,000 and 1.5 million common shares by March 31, 2019. Timberline chose to not make the required payment due on March 31, 2018, and, therefore, the Agreement was terminated, resulting in a $3.2 million write off of a loss on abandonment of mineral rights.</w:t>
            </w:r>
            <w:r>
              <w:t xml:space="preserve"> </w:t>
            </w:r>
            <w:r>
              <w:t xml:space="preserve">In May 2018, we entered into a definitive agreement to acquire ownership interests in two joint venture agreements in Nevada from Americas Gold Exploration, Inc (“AGEI”). The acquisition included a 73.7% interest in the Paiute property joint venture with Nevada Gold Mines LLC (“Nevada Gold”), and the opportunity to earn up to 65% ownership in the Elder Creek joint venture with McEwen Mining, Inc. The acquisition of the two joint venture ownership interests, at Elder Creek with McEwen Mining and at Paiute with Nevada Gold, from AGEI closed on August 14, 2018 for consideration of ten million shares of our common stock and five million warrants to purchase shares of our common stock. An additional five million warrants with the same terms were issued to AGEI contingent upon certain achievements. Upon closing, we became the operator at both of these joint venture projects. Timberline elected to return control and ownership of the Elder Creek property to McEwen Mining in July of 2020.</w:t>
            </w:r>
            <w:r>
              <w:t xml:space="preserve"> </w:t>
            </w:r>
            <w:r>
              <w:t xml:space="preserve">The ICBM Joint Venture Earn-in Agreement has expired, and Timberline vested its property interest at 74.1%.</w:t>
            </w:r>
            <w:r>
              <w:t xml:space="preserve"> </w:t>
            </w:r>
            <w:r>
              <w:t xml:space="preserve">During the year ended September 30, 2019, the Company recognized an abandonment expense of $48,500 relating to two patented mining claims at in the New York Canyon area of the Eureka property on which the Company had ceased making advance royalty payments.</w:t>
            </w:r>
            <w:r>
              <w:t xml:space="preserve"> </w:t>
            </w:r>
            <w:r>
              <w:t xml:space="preserve">On June 28, 2019, we entered into a Limited Liability Company Agreement (the “LLC” and the “LLC Agreement”) with PM &amp; Gold Mines, Inc. (“PM&amp;G”) for the advanced exploration, and if determined feasible, the development of the Lookout Mountain Gold Project, a significant portion of the Company’s broader Eureka property located on the southern end of the Battle Mountain-Eureka Trend near Eureka, Nevada. PM&amp;G was a private firm incorporated in Nevada with an interest to explore and advance gold projects to production. The LLC Agreement called for PM&amp;G to fund exploration and development activities in two stages for earned equity in the project. Timberline was to contribute certain claims that constituted the Lookout Mountain Project and adjacent historical Oswego Mine area to the LLC in exchange for its ownership position.</w:t>
            </w:r>
            <w:r>
              <w:t xml:space="preserve"> </w:t>
            </w:r>
            <w:r>
              <w:t xml:space="preserve">Concurrent with completion of the LLC Agreement, PM&amp;G also participated in a private placement and acquired 3,367,441 shares, or 4.99%, of our common shares. The placement included the right of PM&amp;G to maintain its position in Timberline by pro-rata participation in future financings. The initial interests in the LLC were 51% PM&amp;G and 49% Timberline, subject to PM&amp;G’s contribution to the LLC in the form of an earn-in. Timberline would manage the project through at least the initial stage of investment, at which time PM&amp;G would have been vested at 51% ownership. PM&amp;G retained the right to manage all subsequent activities with or without Timberline’s participation.</w:t>
            </w:r>
            <w:r>
              <w:t xml:space="preserve"> </w:t>
            </w:r>
            <w:r>
              <w:t xml:space="preserve">Under terms of the LLC Agreement, PM&amp;G committed to $3,000,000 of work expenditure during each of the first two years following the agreement effective date of June 28, 2019. PM&amp;G committed $755,605 towards the first-year obligation due on June 28, 2020, but failed to deliver sufficient capital to meet the required first year investment. Under the terms of the agreement, after written notice and a 30-day cure period, PM&amp;G did not cure the matter and thereby resigned from the LLC Agreement, giving up all claims and rights to the property.</w:t>
            </w:r>
            <w:r>
              <w:t xml:space="preserve"> </w:t>
            </w:r>
            <w:r>
              <w:t xml:space="preserve">Overview of Our Mineral Exploration Business</w:t>
            </w:r>
            <w:r>
              <w:t xml:space="preserve"> </w:t>
            </w:r>
            <w:r>
              <w:t xml:space="preserve">We are a mineral exploration business and, if and when we establish mineral reserves, a development company. Mineral exploration is essentially a research activity that does not produce a product. Successful exploration often results in increased project value that can be realized through the optioning or selling of the claimed site to larger companies. We acquire properties which we believe have potential to host economic concentrations of minerals, particularly gold and silver. These acquisitions have and may take the form of unpatented mining claims on federal land, or leasing claims on private property owned by others. An unpatented mining claim is an interest that can be acquired in the mineral rights on open lands of the federally owned public domain. Claims are staked in accordance with the Mining Law of 1872, recorded with the federal government pursuant to laws and regulations established by the Bureau of Land Management (the Federal agency that administers America’s public lands), that grant the holder of the claim a possessory interest in the mineral rights, subject to the paramount title of the United States.</w:t>
            </w:r>
            <w:r>
              <w:t xml:space="preserve"> </w:t>
            </w:r>
            <w:r>
              <w:t xml:space="preserve">6</w:t>
            </w:r>
            <w:r>
              <w:t xml:space="preserve"> </w:t>
            </w:r>
            <w:r>
              <w:t xml:space="preserve">Table of Contents</w:t>
            </w:r>
            <w:r>
              <w:t xml:space="preserve"> </w:t>
            </w:r>
            <w:r>
              <w:t xml:space="preserve">We perform geological work to identify specific drill targets on the properties, and then collect subsurface samples by drilling to confirm the presence of mineralization (the presence of economic minerals in a specific area or geological formation). We may enter into option and joint venture agreements with other companies to fund further exploration and/or development work. It is our plan to focus on assembling a high-quality group of gold and silver exploration prospects using the experience and contacts of the management group. By such prospects, we mean properties that may have been previously identified by third parties, including prior owners such as exploration companies, as mineral prospects with potential for economic mineralization. Often these properties have been sampled, mapped and sometimes drilled, usually with indefinite results. Accordingly, such acquired projects will either have some prior exploration history or will have strong similarity to a recognized geologic ore deposit model. We place geographic emphasis on the western United States, and Nevada in particular.</w:t>
            </w:r>
            <w:r>
              <w:t xml:space="preserve"> </w:t>
            </w:r>
            <w:r>
              <w:t xml:space="preserve">The focus of our activity has been to acquire properties that we believe to be undervalued, including those that we believe to hold previously unrecognized mineral potential. Properties have been acquired through the location of unpatented mining claims (which allow the claimholder the right to mine the minerals without holding title to the property), or by negotiating lease/option agreements. Our President and CEO, Patrick Highsmith, our Vice President Exploration, Dr. Steven Osterberg, and our CFO, Ted Sharp, as well as our Directors, have experience in evaluating, staking and filing unpatented mining claims, and in negotiating and preparing transactional agreements in connection with those mining claims, including option and JV or mineral lease agreements.</w:t>
            </w:r>
            <w:r>
              <w:t xml:space="preserve"> </w:t>
            </w:r>
            <w:r>
              <w:t xml:space="preserve">The geologic potential and ore deposit models have been defined and specific drill targets identified on the majority of our properties. Our property evaluation process involves using geologic fieldwork to perform an initial evaluation of a property. If the evaluation is positive, we seek to acquire it, either by staking unpatented mining claims on open public domain, or by leasing or optioning the property from the owner of private property or the owner of unpatented claims. Once acquired, we then typically make a more detailed evaluation of the property. This detailed evaluation involves expenditures for exploration work which may include rock and soil sampling, geologic mapping, geophysics, trenching, drilling, or other means to determine if economic mineralization is present on the property.</w:t>
            </w:r>
            <w:r>
              <w:t xml:space="preserve"> </w:t>
            </w:r>
            <w:r>
              <w:t xml:space="preserve">Portions of our mineral properties at September 30, 2023 are owned by third parties and leased to us, or carry a financial commitment from us, as outlined in the following table:</w:t>
            </w:r>
            <w:r>
              <w:t xml:space="preserve"> </w:t>
            </w:r>
            <w:r>
              <w:t xml:space="preserve">Property Name</w:t>
            </w:r>
            <w:r>
              <w:t xml:space="preserve"> </w:t>
            </w:r>
            <w:r>
              <w:t xml:space="preserve">Third Party</w:t>
            </w:r>
            <w:r>
              <w:t xml:space="preserve"> </w:t>
            </w:r>
            <w:r>
              <w:t xml:space="preserve">Number of Claims</w:t>
            </w:r>
            <w:r>
              <w:t xml:space="preserve"> </w:t>
            </w:r>
            <w:r>
              <w:t xml:space="preserve">Area</w:t>
            </w:r>
            <w:r>
              <w:t xml:space="preserve"> </w:t>
            </w:r>
            <w:r>
              <w:t xml:space="preserve">Agreements/</w:t>
            </w:r>
            <w:r>
              <w:t xml:space="preserve"> </w:t>
            </w:r>
            <w:r>
              <w:t xml:space="preserve">Royalties</w:t>
            </w:r>
            <w:r>
              <w:t xml:space="preserve"> </w:t>
            </w:r>
            <w:r>
              <w:t xml:space="preserve">Lookout Mountain (Eureka)</w:t>
            </w:r>
            <w:r>
              <w:t xml:space="preserve"> </w:t>
            </w:r>
            <w:r>
              <w:t xml:space="preserve">Rocky Canyon Mining Company</w:t>
            </w:r>
            <w:r>
              <w:t xml:space="preserve"> </w:t>
            </w:r>
            <w:r>
              <w:t xml:space="preserve">373</w:t>
            </w:r>
            <w:r>
              <w:t xml:space="preserve"> </w:t>
            </w:r>
            <w:r>
              <w:t xml:space="preserve">6,368 acres</w:t>
            </w:r>
            <w:r>
              <w:t xml:space="preserve"> </w:t>
            </w:r>
            <w:r>
              <w:t xml:space="preserve">3.5% NSR + 1.5% NSR capped at $1.5 million (excludes Trevor and Dave claims); 20-year lease term commencing June 1, 2008; annual advanced royalty payment of $72,000.</w:t>
            </w:r>
            <w:r>
              <w:t xml:space="preserve"> </w:t>
            </w:r>
            <w:r>
              <w:t xml:space="preserve">Silverado</w:t>
            </w:r>
            <w:r>
              <w:t xml:space="preserve"> </w:t>
            </w:r>
            <w:r>
              <w:t xml:space="preserve">Silver International</w:t>
            </w:r>
            <w:r>
              <w:t xml:space="preserve"> </w:t>
            </w:r>
            <w:r>
              <w:t xml:space="preserve">10</w:t>
            </w:r>
            <w:r>
              <w:t xml:space="preserve"> </w:t>
            </w:r>
            <w:r>
              <w:t xml:space="preserve">100 acres</w:t>
            </w:r>
            <w:r>
              <w:t xml:space="preserve"> </w:t>
            </w:r>
            <w:r>
              <w:t xml:space="preserve">1% NSR + $10,000 Annual lease payment</w:t>
            </w:r>
            <w:r>
              <w:t xml:space="preserve"> </w:t>
            </w:r>
            <w:r>
              <w:t xml:space="preserve">Seven Troughs</w:t>
            </w:r>
            <w:r>
              <w:t xml:space="preserve"> </w:t>
            </w:r>
            <w:r>
              <w:t xml:space="preserve">Slash, Inc.</w:t>
            </w:r>
            <w:r>
              <w:t xml:space="preserve"> </w:t>
            </w:r>
            <w:r>
              <w:t xml:space="preserve">302</w:t>
            </w:r>
            <w:r>
              <w:t xml:space="preserve"> </w:t>
            </w:r>
            <w:r>
              <w:t xml:space="preserve">4,030 acres</w:t>
            </w:r>
            <w:r>
              <w:t xml:space="preserve"> </w:t>
            </w:r>
            <w:r>
              <w:t xml:space="preserve">2% NSR; 50-year lease term commencing December 31, 1975; no annual lease payments;</w:t>
            </w:r>
            <w:r>
              <w:t xml:space="preserve"> </w:t>
            </w:r>
            <w:r>
              <w:t xml:space="preserve">Paiute</w:t>
            </w:r>
            <w:r>
              <w:t xml:space="preserve"> </w:t>
            </w:r>
            <w:r>
              <w:t xml:space="preserve">Nevada Gold Mines by assignment from LAC Minerals (USA) LLC</w:t>
            </w:r>
            <w:r>
              <w:t xml:space="preserve"> </w:t>
            </w:r>
            <w:r>
              <w:t xml:space="preserve">65</w:t>
            </w:r>
            <w:r>
              <w:t xml:space="preserve"> </w:t>
            </w:r>
            <w:r>
              <w:t xml:space="preserve">1,343 acres</w:t>
            </w:r>
            <w:r>
              <w:t xml:space="preserve"> </w:t>
            </w:r>
            <w:r>
              <w:t xml:space="preserve">ICBM Joint Venture Earn-in Agreement expired. Timberline vested property interest at 74.1%.</w:t>
            </w:r>
            <w:r>
              <w:t xml:space="preserve"> </w:t>
            </w:r>
            <w:r>
              <w:t xml:space="preserve">In the case of properties deemed to be of higher risk due to higher cost exploration or those that host commodities of lesser interest to Timberline (such as base metals), we may choose to present them to larger companies for strategic partnerships. Our strategy is intended to maximize the abilities and skills of the management group, conserve capital, and provide superior leverage for investors.</w:t>
            </w:r>
            <w:r>
              <w:t xml:space="preserve"> </w:t>
            </w:r>
            <w:r>
              <w:t xml:space="preserve">7</w:t>
            </w:r>
            <w:r>
              <w:t xml:space="preserve"> </w:t>
            </w:r>
            <w:r>
              <w:t xml:space="preserve">Table of Contents</w:t>
            </w:r>
            <w:r>
              <w:t xml:space="preserve"> </w:t>
            </w:r>
            <w:r>
              <w:t xml:space="preserve">For our gold and silver prospects where drilling costs are reasonable and the likelihood of success seems favorable, we will undertake our own drilling. The target depths, the tenor of mineralization on the surface, and the general geology of the area are all factors that determine the risk as calculated by us in conducting a drilling operation. Mineral exploration is a research and development activity and is, by definition, a high-risk business that relies on numerous untested assumptions and variables. Accordingly, we make our decisions on a project-by-project basis. We do not have any steadfast formula that we apply in determining the reasonableness of drilling costs in comparison to the likelihood of success, i.e., in determining whether the probability of success seems “favorable.”</w:t>
            </w:r>
            <w:r>
              <w:t xml:space="preserve"> </w:t>
            </w:r>
            <w:r>
              <w:t xml:space="preserve">Our Competition</w:t>
            </w:r>
            <w:r>
              <w:t xml:space="preserve"> </w:t>
            </w:r>
            <w:r>
              <w:t xml:space="preserve">The mineral exploration industry is intensely competitive in all phases. In our mineral exploration activities, we compete with many companies possessing greater financial resources and technical facilities than we do for the acquisition of mineral concessions, claims, leases, and other mineral interests as well as for the recruitment and retention of qualified employees, including mining engineers, geologists, and other skilled mining professionals. We use consultants and compete with other mining companies for the man hours of consulting time required to complete our studies. We also compete with other mining companies for exploration and development equipment and services. We must overcome significant barriers to enter into the business of mineral exploration as a result of our limited operating history.</w:t>
            </w:r>
            <w:r>
              <w:t xml:space="preserve"> </w:t>
            </w:r>
            <w:r>
              <w:t xml:space="preserve">We cannot assure the reader that we will be able to compete in any of our business areas effectively with current or future competitors or that the competitive pressures faced by us will not have a material adverse effect on our business, financial condition, and operating results.</w:t>
            </w:r>
            <w:r>
              <w:t xml:space="preserve"> </w:t>
            </w:r>
            <w:r>
              <w:t xml:space="preserve">Our Offices and Other Facilities</w:t>
            </w:r>
            <w:r>
              <w:t xml:space="preserve"> </w:t>
            </w:r>
            <w:r>
              <w:t xml:space="preserve">We currently maintain our administrative office at 9030 North Hess St., Suite 161, Hayden, ID 83835. The telephone number is (866) 513-4859 (toll free) or (208) 664-4859. We also maintain warehouse space in Eureka, NV 89316.</w:t>
            </w:r>
            <w:r>
              <w:t xml:space="preserve"> </w:t>
            </w:r>
            <w:r>
              <w:t xml:space="preserve">Our Employees</w:t>
            </w:r>
            <w:r>
              <w:t xml:space="preserve"> </w:t>
            </w:r>
            <w:r>
              <w:t xml:space="preserve">We are an exploration company and currently have three employees. Management engages independent consultants under contract arrangements as necessary to execute on company strategies at the current early exploration stage of our work and expects to hire staff and additional management as necessary for implementation of our business plan.</w:t>
            </w:r>
            <w:r>
              <w:t xml:space="preserve"> </w:t>
            </w:r>
            <w:r>
              <w:t xml:space="preserve">Regulation</w:t>
            </w:r>
            <w:r>
              <w:t xml:space="preserve"> </w:t>
            </w:r>
            <w:r>
              <w:t xml:space="preserve">The exploration and mining industries operate in a legal environment that requires permits to conduct virtually all operations. These permits are required by local, state, and federal government agencies. Federal agencies that may be involved include: the U.S. Forest Service (USFS), Bureau of Land Management (BLM), Environmental Protection Agency (EPA), National Institute for Occupational Safety and Health (NIOSH), the Mine Safety and Health Administration (MSHA), and the Fish and Wildlife Service (FWS). Individual states also have various environmental regulatory bodies, such as Departments of Ecology. Local authorities, usually counties, also have control over mining activity. The various permits address such issues as prospecting, development, production, labor standards, taxes, occupational health and safety, toxic substances, air quality, water use, water discharge, water quality, noise, dust, wildlife impacts, as well as other environmental and socioeconomic issues.</w:t>
            </w:r>
            <w:r>
              <w:t xml:space="preserve"> </w:t>
            </w:r>
            <w:r>
              <w:t xml:space="preserve">Prior to receiving the necessary permits to explore or mine, a mine operator must comply with all regulatory requirements imposed by all governmental authorities having jurisdiction over the project area. Very often, in order to obtain the requisite permits, the operator must have its land reclamation, restoration, or replacement plans pre-approved. Specifically, the operator must present its plan as to how it intends to restore or replace the affected area. Often all or any of these requirements can cause delays or involve costly studies or alterations of the proposed activity or time frame of operations, in order to mitigate impacts. All of these factors make it more difficult and costlier to operate and have a negative and sometimes fatal impact on the viability of the exploration or mining operation. Finally, it is possible that future changes in these laws or regulations could have a significant impact on our business, causing those activities to be economically re-evaluated at that time. For a more detailed discussion of governmental and environmental regulatory requirements applicable to our mineral exploration business see the section titled “Description of Properties - Overview of Regulatory, Economic and Environmental Issues” below.</w:t>
            </w:r>
            <w:r>
              <w:t xml:space="preserve"> </w:t>
            </w:r>
            <w:r>
              <w:t xml:space="preserve">Reclamation</w:t>
            </w:r>
            <w:r>
              <w:t xml:space="preserve"> </w:t>
            </w:r>
            <w:r>
              <w:t xml:space="preserve">We generally are required to mitigate long-term environmental impacts of prospecting and drilling activities, which are normally minor but may require contouring, re-sloping and re-vegetating roads and drill sites. Similarly, the greater impacts of mining and mineral processing operations must also be mitigated by stabilizing, contouring, re-sloping and re-vegetating various portions of a site after operations are completed. These reclamation efforts are conducted in accordance with detailed plans, which must be reviewed and approved by the appropriate regulatory agencies and may require us to remit cash to pay for reclamation bonds. Should we cease operations without performing the required reclamation, these bonds would cover the cost of reclamation activities to be performed by the regulatory agency.</w:t>
            </w:r>
            <w:r>
              <w:t xml:space="preserve"> </w:t>
            </w:r>
            <w:r>
              <w:t xml:space="preserve">8</w:t>
            </w:r>
            <w:r>
              <w:t xml:space="preserve"> </w:t>
            </w:r>
            <w:r>
              <w:t xml:space="preserve">Table of Contents</w:t>
            </w:r>
            <w:r>
              <w:t xml:space="preserve"> </w:t>
            </w:r>
            <w:r>
              <w:t xml:space="preserve">The Commodities Market</w:t>
            </w:r>
            <w:r>
              <w:t xml:space="preserve"> </w:t>
            </w:r>
            <w:r>
              <w:t xml:space="preserve">The prices of gold and silver have fluctuated during the last several years, with the prices of gold and silver falling to their lowest levels in the past several years in 2015 and early 2016, before rebounding. In 2017, gold traded between approximately $1,151 and $1,346 per ounce. In 2018, gold traded between approximately $1,175 and $1,355 per ounce. In 2019, gold traded between approximately $1,270 and $1,547 per ounce. In 2020, gold traded between approximately $1,474 and $2,067 per ounce. In 2021, gold traded between $1,683 and $1,943 per ounce. In 2022, gold traded between approximately $1,634 and $2,039 per ounce. The price of gold was $2,048 per ounce in April 2023, but traded considerably lower during the year, reaching as low as $1,628 per ounce in November 2022, before rising back up to approximately $2,032 at the time of this writing. All of these gold prices are based on the London PM Fix Price per troy ounce of gold in U.S. dollars.</w:t>
            </w:r>
            <w:r>
              <w:t xml:space="preserve"> </w:t>
            </w:r>
            <w:r>
              <w:t xml:space="preserve">In 2017, silver traded between approximately $15.22 and $18.56 per ounce. In 2018, silver traded between approximately $13.97 and $17.52 per ounce. In 2019, silver traded between approximately $14.38 and $19.42 per ounce. In 2020, silver traded between approximately $12.01 and $28.89 per ounce. In 2021, silver traded between $21.52 and $29.58. In 2022, silver traded between $17.77 and $26.17 per ounce. The price of silver was $18.39 per ounce in October 2022, and continued to rise to a high of $26.02 in April 2023 before settling at approximately $24.19 at the time of this writing. All of these silver prices are based on the London Fix Price per troy ounce of silver in U.S. dollars.</w:t>
            </w:r>
            <w:r>
              <w:t xml:space="preserve"> </w:t>
            </w:r>
            <w:r>
              <w:t xml:space="preserve">Seasonality</w:t>
            </w:r>
            <w:r>
              <w:t xml:space="preserve"> </w:t>
            </w:r>
            <w:r>
              <w:t xml:space="preserve">Seasonality in Nevada is not a material factor to our operations. Certain surface exploration work may need to be conducted when there is no snow on the ground, but it is not a material issue.</w:t>
            </w:r>
          </w:p>
        </w:tc>
        <w:tc>
          <w:tcPr/>
          <w:p>
            <w:pPr>
              <w:pStyle w:val="Compact"/>
            </w:pPr>
            <w:r>
              <w:t xml:space="preserve">20977</w:t>
            </w:r>
          </w:p>
        </w:tc>
      </w:tr>
      <w:tr>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item_1a</w:t>
            </w:r>
          </w:p>
        </w:tc>
        <w:tc>
          <w:tcPr/>
          <w:p>
            <w:pPr>
              <w:pStyle w:val="Compact"/>
            </w:pPr>
            <w:r>
              <w:t xml:space="preserve">ITEM 1A. RISK FACTORS</w:t>
            </w:r>
            <w:r>
              <w:t xml:space="preserve"> </w:t>
            </w:r>
            <w:r>
              <w:t xml:space="preserve">An investment in an exploration stage mining company such as ours involves an unusually high degree of risk, known and unknown, present and potential, including, but not limited to the risks enumerated below.</w:t>
            </w:r>
            <w:r>
              <w:t xml:space="preserve"> </w:t>
            </w:r>
            <w:r>
              <w:t xml:space="preserve">Failure to successfully address the risks and uncertainties described below could have a material adverse effect on our business, financial condition and/or results of operations, and the trading price of our common stock may decline and investors may lose all or part of their investment. We cannot assure you that we will successfully address these risks or other unknown risks that may affect our business.</w:t>
            </w:r>
            <w:r>
              <w:t xml:space="preserve"> </w:t>
            </w:r>
            <w:r>
              <w:t xml:space="preserve">Estimates of mineralized material are forward-looking statements inherently subject to error. Although mineralization and reserve estimates require a high degree of assurance in the underlying data when the estimates are made, unforeseen events and uncontrollable factors can have significant adverse or positive impacts on the estimates. Actual results will inherently differ from estimates. The unforeseen events and uncontrollable factors include: geologic uncertainties including inherent sample variability, metal price fluctuations, variations in mining and processing parameters, and adverse changes in environmental or mining laws and regulations. We cannot accurately predict the timing and effects of variances from estimated values.</w:t>
            </w:r>
            <w:r>
              <w:t xml:space="preserve"> </w:t>
            </w:r>
            <w:r>
              <w:t xml:space="preserve">Risks Related to Our Company</w:t>
            </w:r>
            <w:r>
              <w:t xml:space="preserve"> </w:t>
            </w:r>
            <w:r>
              <w:t xml:space="preserve">Our ability to operate as a going concern is in doubt.</w:t>
            </w:r>
            <w:r>
              <w:t xml:space="preserve"> </w:t>
            </w:r>
            <w:r>
              <w:t xml:space="preserve">The audit opinion and notes that accompany our consolidated financial statements for the year ended September 30, 2023, disclose a ‘going concern’ qualification to our ability to continue in business. The accompanying consolidated financial statements have been prepared under the assumption that we will continue as a going concern. We have incurred losses since our inception. We do not have sufficient cash to fund normal operations and meet all of our obligations for the next 12 months. As of September 30, 2023, we have negative working capital of approximately $108,000. We will need to raise funds in the form of equity or debt financings to fund normal operations for the next 12 months.</w:t>
            </w:r>
            <w:r>
              <w:t xml:space="preserve"> </w:t>
            </w:r>
            <w:r>
              <w:t xml:space="preserve">Full disclosure of the going concern qualification appears in Part II, Item 7 - Financial Condition and Liquidity, and also in the notes to the financial statements (See Note 2 – Summary of Significant Accounting Policies.)</w:t>
            </w:r>
            <w:r>
              <w:t xml:space="preserve"> </w:t>
            </w:r>
            <w:r>
              <w:t xml:space="preserve">9</w:t>
            </w:r>
            <w:r>
              <w:t xml:space="preserve"> </w:t>
            </w:r>
            <w:r>
              <w:t xml:space="preserve">Table of Contents</w:t>
            </w:r>
            <w:r>
              <w:t xml:space="preserve"> </w:t>
            </w:r>
            <w:r>
              <w:t xml:space="preserve">We have a limited operating history on which to base an evaluation of our business and prospects.</w:t>
            </w:r>
            <w:r>
              <w:t xml:space="preserve"> </w:t>
            </w:r>
            <w:r>
              <w:t xml:space="preserve">Although we have been in the business of exploring mineral properties since our incorporation in 1968, we were inactive for many years prior to our new management in 2004. Since 2004, we have not yet established any mineral reserves. As a result, we have not had any revenues from our exploration activities. While we have had a wholly owned drilling services subsidiary which has generated revenues in past fiscal years, we no longer own that business.In addition, our operating history has been restricted to the acquisition and exploration of our mineral properties, and this does not provide a meaningful basis for an evaluation of our prospects if we ever determine that we have a mineral reserve and commence the construction and operation of a mine.Other than through conventional and typical exploration methods and procedures, we have no additional way to evaluate the likelihood of whether our mineral properties contain any mineral reserves or, if they do that they will be operated successfully.As a result, we are subject to all of the risks associated with developing and establishing new mining operations and business enterprises including:</w:t>
            </w:r>
            <w:r>
              <w:t xml:space="preserve"> </w:t>
            </w:r>
            <w:r>
              <w:t xml:space="preserve">·</w:t>
            </w:r>
            <w:r>
              <w:t xml:space="preserve"> </w:t>
            </w:r>
            <w:r>
              <w:t xml:space="preserve">completion of feasibility studies to verify reserves and commercial viability, including the ability to find sufficient gold reserves to support a commercial mining operation;</w:t>
            </w:r>
            <w:r>
              <w:t xml:space="preserve"> </w:t>
            </w:r>
            <w:r>
              <w:t xml:space="preserve">·</w:t>
            </w:r>
            <w:r>
              <w:t xml:space="preserve"> </w:t>
            </w:r>
            <w:r>
              <w:t xml:space="preserve">the timing and cost, which can be considerable, of further exploration, preparing feasibility studies, permitting and construction of infrastructure, mining, and processing facilities;</w:t>
            </w:r>
            <w:r>
              <w:t xml:space="preserve"> </w:t>
            </w:r>
            <w:r>
              <w:t xml:space="preserve">·</w:t>
            </w:r>
            <w:r>
              <w:t xml:space="preserve"> </w:t>
            </w:r>
            <w:r>
              <w:t xml:space="preserve">the availability and costs of drill equipment, exploration personnel, skilled labor, and mining and processing equipment, if required;</w:t>
            </w:r>
            <w:r>
              <w:t xml:space="preserve"> </w:t>
            </w:r>
            <w:r>
              <w:t xml:space="preserve">·</w:t>
            </w:r>
            <w:r>
              <w:t xml:space="preserve"> </w:t>
            </w:r>
            <w:r>
              <w:t xml:space="preserve">compliance with environmental and other governmental approval and permit requirements;</w:t>
            </w:r>
            <w:r>
              <w:t xml:space="preserve"> </w:t>
            </w:r>
            <w:r>
              <w:t xml:space="preserve">·</w:t>
            </w:r>
            <w:r>
              <w:t xml:space="preserve"> </w:t>
            </w:r>
            <w:r>
              <w:t xml:space="preserve">the availability of funds to finance exploration, development, and construction activities, as warranted;</w:t>
            </w:r>
            <w:r>
              <w:t xml:space="preserve"> </w:t>
            </w:r>
            <w:r>
              <w:t xml:space="preserve">·</w:t>
            </w:r>
            <w:r>
              <w:t xml:space="preserve"> </w:t>
            </w:r>
            <w:r>
              <w:t xml:space="preserve">potential opposition from non-governmental organizations, environmental groups, local groups, or local inhabitants which may delay or prevent development activities;</w:t>
            </w:r>
            <w:r>
              <w:t xml:space="preserve"> </w:t>
            </w:r>
            <w:r>
              <w:t xml:space="preserve">·</w:t>
            </w:r>
            <w:r>
              <w:t xml:space="preserve"> </w:t>
            </w:r>
            <w:r>
              <w:t xml:space="preserve">potential increases in exploration, construction, and operating costs due to changes in the cost of fuel, labor, power, materials, and supplies; and</w:t>
            </w:r>
            <w:r>
              <w:t xml:space="preserve"> </w:t>
            </w:r>
            <w:r>
              <w:t xml:space="preserve">·</w:t>
            </w:r>
            <w:r>
              <w:t xml:space="preserve"> </w:t>
            </w:r>
            <w:r>
              <w:t xml:space="preserve">potential shortages of mineral processing, construction, and other facilities-related supplies.</w:t>
            </w:r>
            <w:r>
              <w:t xml:space="preserve"> </w:t>
            </w:r>
            <w:r>
              <w:t xml:space="preserve">The costs, timing, and complexities of exploration, development, and construction activities may be increased by the location of our properties and demand by other mineral exploration and mining companies. It is common in exploration programs to experience unexpected problems and delays during drill programs and, if warranted, development, construction, and mine start-up. Accordingly, our activities may not result in profitable mining operations and we may not succeed in establishing mining operations or profitably producing metals at any of our properties. There is no history upon which to base any assumption as to the likelihood that we will prove successful, and we can provide investors with no assurance that we will generate any operating revenues or ever achieve profitable operations.</w:t>
            </w:r>
            <w:r>
              <w:t xml:space="preserve"> </w:t>
            </w:r>
            <w:r>
              <w:t xml:space="preserve">We have a history of losses and expect to continue to incur losses in the future.</w:t>
            </w:r>
            <w:r>
              <w:t xml:space="preserve"> </w:t>
            </w:r>
            <w:r>
              <w:t xml:space="preserve">We have incurred losses since inception and expect to continue to incur losses in the future. We incurred the following net losses during each of the following periods:</w:t>
            </w:r>
            <w:r>
              <w:t xml:space="preserve"> </w:t>
            </w:r>
            <w:r>
              <w:t xml:space="preserve">·</w:t>
            </w:r>
            <w:r>
              <w:t xml:space="preserve"> </w:t>
            </w:r>
            <w:r>
              <w:t xml:space="preserve">$2,180,344 for the year ended September 30, 2023</w:t>
            </w:r>
            <w:r>
              <w:t xml:space="preserve"> </w:t>
            </w:r>
            <w:r>
              <w:t xml:space="preserve">·</w:t>
            </w:r>
            <w:r>
              <w:t xml:space="preserve"> </w:t>
            </w:r>
            <w:r>
              <w:t xml:space="preserve">$5,961,907 for the year ended September 30, 2022; and</w:t>
            </w:r>
            <w:r>
              <w:t xml:space="preserve"> </w:t>
            </w:r>
            <w:r>
              <w:t xml:space="preserve">·</w:t>
            </w:r>
            <w:r>
              <w:t xml:space="preserve"> </w:t>
            </w:r>
            <w:r>
              <w:t xml:space="preserve">$4,707,815 for the year ended September 30, 2021</w:t>
            </w:r>
            <w:r>
              <w:t xml:space="preserve"> </w:t>
            </w:r>
            <w:r>
              <w:t xml:space="preserve">We had an accumulated deficit of approximately $76.5 million as of September 30, 2023. We expect to continue to incur losses unless and until such time as one of our properties enters into commercial production and generates sufficient revenues to fund continuing operations. We recognize that if we are unable to generate significant revenues from mining operations and dispositions of our properties, we will not be able to earn profits or continue operations. At this early stage of our operation, we also expect to face the risks, uncertainties, expenses, and difficulties frequently encountered by companies at the start-up stage of their business development. We cannot be sure that we will be successful in addressing these risks and uncertainties and our failure to do so could have a materially adverse effect on our financial condition.</w:t>
            </w:r>
            <w:r>
              <w:t xml:space="preserve"> </w:t>
            </w:r>
            <w:r>
              <w:t xml:space="preserve">Risks Associated with Mining and Exploration</w:t>
            </w:r>
            <w:r>
              <w:t xml:space="preserve"> </w:t>
            </w:r>
            <w:r>
              <w:t xml:space="preserve">All of our properties are in the exploration stage. There is no assurance that we can establish the existence of any mineral reserve on any of our properties in commercially exploitable quantities. Until we can do so, we cannot earn any revenues from these properties, and if we do not do so, and are unable to joint venture or sell the properties, we will lose all of the funds that we expend on exploration. If we do not discover any mineral reserve in a commercially exploitable quantity, our business could fail.</w:t>
            </w:r>
            <w:r>
              <w:t xml:space="preserve"> </w:t>
            </w:r>
            <w:r>
              <w:t xml:space="preserve">We have not established that any of our mineral properties contain any mineral reserves according to recognized reserve guidelines, nor can there be any assurance that we will be able to do so. A mineral reserve is defined by the SEC in its Regulation S-K subpart 1300 as that part of a mineral deposit, which could be economically and legally extracted or produced at the time of the reserve determination. The probability of an individual prospect ever having a "reserve" that meets the requirements of the SEC's Regulation S-K subpart 1300 is remote. Even if we do eventually discover a mineral reserve on one or more of our properties, there can be no assurance that they can be developed into producing mines to extract those minerals. Both mineral exploration and development involve a high degree of risk, and few properties that are explored are ultimately developed into producing mines.</w:t>
            </w:r>
            <w:r>
              <w:t xml:space="preserve"> </w:t>
            </w:r>
            <w:r>
              <w:t xml:space="preserve">10</w:t>
            </w:r>
            <w:r>
              <w:t xml:space="preserve"> </w:t>
            </w:r>
            <w:r>
              <w:t xml:space="preserve">Table of Contents</w:t>
            </w:r>
            <w:r>
              <w:t xml:space="preserve"> </w:t>
            </w:r>
            <w:r>
              <w:t xml:space="preserve">The commercial viability of an established mineral deposit will depend on a number of factors including, by way of example, the size, grade, and other attributes of the mineral deposit, the proximity of the mineral deposit to infrastructure such as a smelter, roads, a point for shipping, government regulation, and market prices. Most of these factors will be beyond our control, and any of them could increase costs and make extraction of any identified mineral deposit unprofitable.</w:t>
            </w:r>
            <w:r>
              <w:t xml:space="preserve"> </w:t>
            </w:r>
            <w:r>
              <w:t xml:space="preserve">Mineral operations are subject to applicable law and government regulation. Even if we discover a mineral reserve in a commercially exploitable quantity, these laws and regulations could restrict or prohibit the exploitation of that mineral reserve. If we cannot exploit any mineral reserve that we might discover on our properties, our business may fail.</w:t>
            </w:r>
            <w:r>
              <w:t xml:space="preserve"> </w:t>
            </w:r>
            <w:r>
              <w:t xml:space="preserve">Both mineral exploration and extraction require permits from various foreign, federal, state, provincial, and local governmental authorities and are governed by laws and regulations, including those with respect to prospecting, mine development, mineral production, transport, export, taxation, labor standards, occupational health, waste disposal, toxic substances, land use, environmental protection, mine safety, and other matters. Regarding our future ground disturbing activity on federal land, we will be required to obtain a permit from the US Forest Service or the Bureau of Land Management prior to commencing exploration. There can be no assurance that we will be able to obtain or maintain any of the permits required for the continued exploration of our mineral properties or for the construction and operation of a mine on our properties at economically viable costs. If we cannot accomplish these objectives, our business could face difficulty and/or fail.</w:t>
            </w:r>
            <w:r>
              <w:t xml:space="preserve"> </w:t>
            </w:r>
            <w:r>
              <w:t xml:space="preserve">We believe that we are in compliance with all material laws and regulations that currently apply to our activities, but there can be no assurance that we can continue to do so. Current laws and regulations could be amended, and we might not be able to comply with them, as amended. Further, there can be no assurance that we will be able to obtain or maintain all permits necessary for our future operations, or that we will be able to obtain them on reasonable terms. To the extent such approvals are required and are not obtained, we may be delayed or prohibited from proceeding with planned exploration or development of our mineral properties.</w:t>
            </w:r>
            <w:r>
              <w:t xml:space="preserve"> </w:t>
            </w:r>
            <w:r>
              <w:t xml:space="preserve">Environmental hazards unknown to us, which have been caused by previous or existing owners or operators of the properties, may exist on the properties in which we hold an interest. In past years, we have been engaged in exploration in northern Idaho, which is currently the site of a Federal Superfund cleanup project. Although we are no longer involved in this or other areas at present, it is possible that environmental cleanup or other environmental restoration procedures could remain to be completed or mandated by law, causing unpredictable and unexpected liabilities to arise. At the date of this Annual Report, we are not aware of any environmental issues or litigation relating to any of our current or former properties.</w:t>
            </w:r>
            <w:r>
              <w:t xml:space="preserve"> </w:t>
            </w:r>
            <w:r>
              <w:t xml:space="preserve">Future legislation and administrative changes to the mining laws could prevent us from exploring our properties.</w:t>
            </w:r>
            <w:r>
              <w:t xml:space="preserve"> </w:t>
            </w:r>
            <w:r>
              <w:t xml:space="preserve">New state and U.S. federal laws and regulations, amendments to existing laws and regulations, administrative interpretation of existing laws and regulations, or more stringent enforcement of existing laws and regulations, could have a material adverse impact on our ability to conduct exploration and mining activities. Any change in the regulatory structure making it more expensive to engage in mining activities could cause us to cease operations.</w:t>
            </w:r>
            <w:r>
              <w:t xml:space="preserve"> </w:t>
            </w:r>
            <w:r>
              <w:t xml:space="preserve">Regulations and pending legislation governing issues involving climate change could result in increased operating costs, which could have a material adverse effect on our business.</w:t>
            </w:r>
            <w:r>
              <w:t xml:space="preserve"> </w:t>
            </w:r>
            <w:r>
              <w:t xml:space="preserve">A number of governments or governmental bodies have introduced or are contemplating regulatory changes in response to various climate change interest groups and the potential impact of climate change. Legislation and increased regulation regarding climate change could impose significant costs on us, our venture partners, and our suppliers, including costs related to increased energy requirements, capital equipment, environmental monitoring and reporting, and other costs to comply with such regulations. Any adopted future climate change regulations could also negatively impact our ability to compete with companies situated in areas not subject to such limitations. Given the political significance and uncertainty around the impact of climate change and how it should be dealt with, we cannot predict how legislation and regulation will affect our financial condition, operating performance and ability to compete. Furthermore, even without such regulation, increased awareness and any adverse publicity in the global marketplace about potential impacts on climate change by us or other companies in our industry could harm our reputation. The potential physical impacts of climate change on our operations are highly uncertain and would be particular to the geographic circumstances in areas in which we operate. These may include changes in rainfall and storm patterns and intensities, water shortages, changing sea levels, and changing temperatures. These impacts may adversely impact the cost, production, and financial performance of our operations.</w:t>
            </w:r>
            <w:r>
              <w:t xml:space="preserve"> </w:t>
            </w:r>
            <w:r>
              <w:t xml:space="preserve">11</w:t>
            </w:r>
            <w:r>
              <w:t xml:space="preserve"> </w:t>
            </w:r>
            <w:r>
              <w:t xml:space="preserve">Table of Contents</w:t>
            </w:r>
            <w:r>
              <w:t xml:space="preserve"> </w:t>
            </w:r>
            <w:r>
              <w:t xml:space="preserve">If we establish the existence of a mineral reserve on any of our properties in a commercially exploitable quantity, we will require additional capital in order to develop the property into a producing mine. If we cannot raise this additional capital, we will not be able to exploit the reserve, and our business could fail.</w:t>
            </w:r>
            <w:r>
              <w:t xml:space="preserve"> </w:t>
            </w:r>
            <w:r>
              <w:t xml:space="preserve">If we do discover mineral reserves in commercially exploitable quantities on any of our properties, we will be required to expend substantial sums of money to establish the extent of the reserve, develop processes to extract it, and develop extraction and processing facilities and infrastructure. There can be no assurance that a mineral reserve will be large enough to justify commercial operations, nor can there be any assurance that we will be able to raise the funds required for development on a timely basis. If we cannot raise the necessary capital or complete the necessary facilities and infrastructure, our business may fail.</w:t>
            </w:r>
            <w:r>
              <w:t xml:space="preserve"> </w:t>
            </w:r>
            <w:r>
              <w:t xml:space="preserve">Land reclamation requirements for our properties may be burdensome and expensive.</w:t>
            </w:r>
            <w:r>
              <w:t xml:space="preserve"> </w:t>
            </w:r>
            <w:r>
              <w:t xml:space="preserve">Although variable depending on location and the governing authority, land reclamation requirements are generally imposed on mineral exploration companies (as well as companies with mining operations) in order to minimize long-term effects of land disturbance. Reclamation may include requirements to control dispersion of potentially deleterious effluents and re-establish pre-disturbance landforms and vegetation.</w:t>
            </w:r>
            <w:r>
              <w:t xml:space="preserve"> </w:t>
            </w:r>
            <w:r>
              <w:t xml:space="preserve">In order to carry out reclamation obligations imposed on us in connection with our potential development activities, we must allocate financial resources that might otherwise be spent on further exploration and development programs. We plan to set up a provision for our reclamation obligations on our properties, as appropriate, but this provision may not be adequate. If we are required to carry out unanticipated reclamation work, our financial position could be adversely affected.</w:t>
            </w:r>
            <w:r>
              <w:t xml:space="preserve"> </w:t>
            </w:r>
            <w:r>
              <w:t xml:space="preserve">Mining exploration and development are inherently hazardous and subject to conditions or events beyond our control, which could have a material adverse effect on our business and plans.</w:t>
            </w:r>
            <w:r>
              <w:t xml:space="preserve"> </w:t>
            </w:r>
            <w:r>
              <w:t xml:space="preserve">Mining and mineral exploration involves various types of risks and hazards, including:</w:t>
            </w:r>
            <w:r>
              <w:t xml:space="preserve"> </w:t>
            </w:r>
            <w:r>
              <w:t xml:space="preserve">·</w:t>
            </w:r>
            <w:r>
              <w:t xml:space="preserve"> </w:t>
            </w:r>
            <w:r>
              <w:t xml:space="preserve">environmental hazards;</w:t>
            </w:r>
            <w:r>
              <w:t xml:space="preserve"> </w:t>
            </w:r>
            <w:r>
              <w:t xml:space="preserve">·</w:t>
            </w:r>
            <w:r>
              <w:t xml:space="preserve"> </w:t>
            </w:r>
            <w:r>
              <w:t xml:space="preserve">power outages;</w:t>
            </w:r>
            <w:r>
              <w:t xml:space="preserve"> </w:t>
            </w:r>
            <w:r>
              <w:t xml:space="preserve">·</w:t>
            </w:r>
            <w:r>
              <w:t xml:space="preserve"> </w:t>
            </w:r>
            <w:r>
              <w:t xml:space="preserve">metallurgical and other processing problems;</w:t>
            </w:r>
            <w:r>
              <w:t xml:space="preserve"> </w:t>
            </w:r>
            <w:r>
              <w:t xml:space="preserve">·</w:t>
            </w:r>
            <w:r>
              <w:t xml:space="preserve"> </w:t>
            </w:r>
            <w:r>
              <w:t xml:space="preserve">unusual or unexpected geological formations;</w:t>
            </w:r>
            <w:r>
              <w:t xml:space="preserve"> </w:t>
            </w:r>
            <w:r>
              <w:t xml:space="preserve">·</w:t>
            </w:r>
            <w:r>
              <w:t xml:space="preserve"> </w:t>
            </w:r>
            <w:r>
              <w:t xml:space="preserve">personal injury, flooding, fire, explosions, cave-ins, landslides, and rock-bursts;</w:t>
            </w:r>
            <w:r>
              <w:t xml:space="preserve"> </w:t>
            </w:r>
            <w:r>
              <w:t xml:space="preserve">·</w:t>
            </w:r>
            <w:r>
              <w:t xml:space="preserve"> </w:t>
            </w:r>
            <w:r>
              <w:t xml:space="preserve">inability to obtain suitable or adequate machinery, equipment, or labor;</w:t>
            </w:r>
            <w:r>
              <w:t xml:space="preserve"> </w:t>
            </w:r>
            <w:r>
              <w:t xml:space="preserve">·</w:t>
            </w:r>
            <w:r>
              <w:t xml:space="preserve"> </w:t>
            </w:r>
            <w:r>
              <w:t xml:space="preserve">metals losses;</w:t>
            </w:r>
            <w:r>
              <w:t xml:space="preserve"> </w:t>
            </w:r>
            <w:r>
              <w:t xml:space="preserve">·</w:t>
            </w:r>
            <w:r>
              <w:t xml:space="preserve"> </w:t>
            </w:r>
            <w:r>
              <w:t xml:space="preserve">fluctuations in exploration, development, and production costs;</w:t>
            </w:r>
            <w:r>
              <w:t xml:space="preserve"> </w:t>
            </w:r>
            <w:r>
              <w:t xml:space="preserve">·</w:t>
            </w:r>
            <w:r>
              <w:t xml:space="preserve"> </w:t>
            </w:r>
            <w:r>
              <w:t xml:space="preserve">labor disputes;</w:t>
            </w:r>
            <w:r>
              <w:t xml:space="preserve"> </w:t>
            </w:r>
            <w:r>
              <w:t xml:space="preserve">·</w:t>
            </w:r>
            <w:r>
              <w:t xml:space="preserve"> </w:t>
            </w:r>
            <w:r>
              <w:t xml:space="preserve">unanticipated variations in grade;</w:t>
            </w:r>
            <w:r>
              <w:t xml:space="preserve"> </w:t>
            </w:r>
            <w:r>
              <w:t xml:space="preserve">·</w:t>
            </w:r>
            <w:r>
              <w:t xml:space="preserve"> </w:t>
            </w:r>
            <w:r>
              <w:t xml:space="preserve">mechanical equipment failure; and</w:t>
            </w:r>
            <w:r>
              <w:t xml:space="preserve"> </w:t>
            </w:r>
            <w:r>
              <w:t xml:space="preserve">·</w:t>
            </w:r>
            <w:r>
              <w:t xml:space="preserve"> </w:t>
            </w:r>
            <w:r>
              <w:t xml:space="preserve">periodic interruptions due to inclement or hazardous weather conditions.</w:t>
            </w:r>
            <w:r>
              <w:t xml:space="preserve"> </w:t>
            </w:r>
            <w:r>
              <w:t xml:space="preserve">These risks could result in damage to, or destruction of, mineral properties, production facilities, or other properties, personal injury, environmental damage, delays in mining, increased production costs, monetary losses, and possible legal liability.</w:t>
            </w:r>
            <w:r>
              <w:t xml:space="preserve"> </w:t>
            </w:r>
            <w:r>
              <w:t xml:space="preserve">Mineral exploration and development is subject to extraordinary operating risks. We do not currently insure against these risks. In the event of a cave-in or similar occurrence, our liability may exceed our resources, which would have an adverse impact on our Company.</w:t>
            </w:r>
            <w:r>
              <w:t xml:space="preserve"> </w:t>
            </w:r>
            <w:r>
              <w:t xml:space="preserve">Mineral exploration, development, and production involve many risks, which even a combination of experience, knowledge, and careful evaluation may not be able to overcome. Our operations will be subject to all the hazards and risks inherent in the exploration, development and production of minerals, including liability for pollution, cave-ins or similar hazards against which we cannot insure or against which we may elect not to insure. Any such event could result in work stoppages and damage to property, including damage to the environment. We do not currently maintain any insurance coverage against these operating hazards. The payment of any liabilities that arise from any such occurrence could have a material adverse impact on our Company.</w:t>
            </w:r>
            <w:r>
              <w:t xml:space="preserve"> </w:t>
            </w:r>
            <w:r>
              <w:t xml:space="preserve">12</w:t>
            </w:r>
            <w:r>
              <w:t xml:space="preserve"> </w:t>
            </w:r>
            <w:r>
              <w:t xml:space="preserve">Table of Contents</w:t>
            </w:r>
            <w:r>
              <w:t xml:space="preserve"> </w:t>
            </w:r>
            <w:r>
              <w:t xml:space="preserve">Increased costs could affect our financial condition.</w:t>
            </w:r>
            <w:r>
              <w:t xml:space="preserve"> </w:t>
            </w:r>
            <w:r>
              <w:t xml:space="preserve">We anticipate that costs at our projects that we may explore or develop will frequently be subject to variation from one year to the next due to a number of factors, such as changing ore grade, metallurgy, and revisions to mine plans, if any, in response to the physical shape and location of the ore body. In addition, costs are affected by the price of commodities such as fuel, rubber, and electricity. Such commodities are at times subject to volatile price movements, including increases that could make production at certain operations less profitable. A material increase in costs at any significant location could have a significant effect on our profitability.</w:t>
            </w:r>
            <w:r>
              <w:t xml:space="preserve"> </w:t>
            </w:r>
            <w:r>
              <w:t xml:space="preserve">A shortage of equipment and supplies could adversely affect our ability to operate our business.</w:t>
            </w:r>
            <w:r>
              <w:t xml:space="preserve"> </w:t>
            </w:r>
            <w:r>
              <w:t xml:space="preserve">We are dependent on various supplies and equipment to carry out our mining exploration and, if warranted, development operations. Any shortage of such supplies, equipment, and parts could have a material adverse effect on our ability to carry out our operations and, therefore, limit or increase the cost of production.</w:t>
            </w:r>
            <w:r>
              <w:t xml:space="preserve"> </w:t>
            </w:r>
            <w:r>
              <w:t xml:space="preserve">Estimates of mineralized material are subject to evaluation uncertainties that could result in project failure.</w:t>
            </w:r>
            <w:r>
              <w:t xml:space="preserve"> </w:t>
            </w:r>
            <w:r>
              <w:t xml:space="preserve">Our exploration and future mining operations, if any, are and would be faced with risks associated with being able to accurately predict the quantity and quality of mineralized material within the earth using statistical sampling techniques. Estimates of any mineralized material on any of our properties would be made using samples obtained from appropriately placed trenches, test pits, and underground workings and intelligently designed drilling. There is an inherent variability of assays between check and duplicate samples taken adjacent to each other and between sampling points that cannot be reasonably eliminated. Additionally, there also may be unknown geologic details that have not been identified or correctly appreciated at the current level of accumulated knowledge about our properties. This could result in uncertainties that cannot be reasonably eliminated from the process of estimating mineralized material. If these estimates were to prove to be unreliable, we could implement an exploitation plan that may not lead to commercially viable operations in the future.</w:t>
            </w:r>
            <w:r>
              <w:t xml:space="preserve"> </w:t>
            </w:r>
            <w:r>
              <w:t xml:space="preserve">Mineral prices are subject to dramatic and unpredictable fluctuations.</w:t>
            </w:r>
            <w:r>
              <w:t xml:space="preserve"> </w:t>
            </w:r>
            <w:r>
              <w:t xml:space="preserve">We expect to derive revenues, if any, from the eventual extraction and sale of precious metals such as gold and silver. The price of those commodities has fluctuated widely in recent years, and is affected by numerous factors beyond our control, including international, economic and political trends, expectations of inflation, currency exchange fluctuations, interest rates, global or regional consumptive patterns, speculative activities and increased production due to new extraction developments, and improved extraction and production methods. The effect of these factors on the price of precious metals, and, therefore, the economic viability of any of our exploration projects, cannot accurately be predicted.</w:t>
            </w:r>
            <w:r>
              <w:t xml:space="preserve"> </w:t>
            </w:r>
            <w:r>
              <w:t xml:space="preserve">The mining industry is highly competitive and there is no assurance that we will continue to be successful in acquiring mineral claims. If we cannot continue to acquire properties to explore for mineralized material, we may be required to reduce or cease exploration activity and/or operations.</w:t>
            </w:r>
            <w:r>
              <w:t xml:space="preserve"> </w:t>
            </w:r>
            <w:r>
              <w:t xml:space="preserve">The mineral exploration, development, and production industry is largely fragmented. We compete with other exploration companies looking for mineral properties and the minerals that can be produced from them. While we compete with other exploration companies in the effort to locate and license mineral properties, we do not compete with them for the removal or sales of mineral products from our properties if we should eventually discover the presence of them in quantities sufficient to make production economically feasible. Readily available markets exist worldwide for the sale of gold and other mineral products. Therefore, we will likely be able to sell any gold or mineral products that we identify and produce.</w:t>
            </w:r>
            <w:r>
              <w:t xml:space="preserve"> </w:t>
            </w:r>
            <w:r>
              <w:t xml:space="preserve">There are hundreds of public and private companies that are actively engaged in mineral exploration. A representative sample of exploration companies that are similar to us in size, financial resources, and primary objective include such publicly traded mineral exploration companies as Allegiant Gold Ltd. (AUAU.V), NuLegacy Gold Corp (NUG.V), Comstock Mining Inc. (LODE), Viva Gold Corp (VAUCF), Nevgold Corp (NAUFF), Ridgeline Minerals Corp (RDGMF) and Summa Silver Corp (SSVR).</w:t>
            </w:r>
            <w:r>
              <w:t xml:space="preserve"> </w:t>
            </w:r>
            <w:r>
              <w:t xml:space="preserve">Many of our competitors have greater financial resources and technical facilities. Accordingly, we will attempt to compete primarily through the knowledge and experience of our management. This competition could adversely affect our ability to acquire suitable prospects for exploration in the future. Accordingly, there can be no assurance that we will acquire any interest in additional mineral properties that might yield reserves or result in commercial mining operations.</w:t>
            </w:r>
            <w:r>
              <w:t xml:space="preserve"> </w:t>
            </w:r>
            <w:r>
              <w:t xml:space="preserve">13</w:t>
            </w:r>
            <w:r>
              <w:t xml:space="preserve"> </w:t>
            </w:r>
            <w:r>
              <w:t xml:space="preserve">Table of Contents</w:t>
            </w:r>
            <w:r>
              <w:t xml:space="preserve"> </w:t>
            </w:r>
            <w:r>
              <w:t xml:space="preserve">Third parties may challenge our rights to our mineral properties, or the agreements that permit us to explore our properties may expire, if we fail to timely renew them and pay the required fees.</w:t>
            </w:r>
            <w:r>
              <w:t xml:space="preserve"> </w:t>
            </w:r>
            <w:r>
              <w:t xml:space="preserve">In connection with the acquisition of our mineral properties, we sometimes conduct only limited reviews of title and related matters and obtain certain representations regarding ownership. These limited reviews do not necessarily preclude third parties from challenging our title and, furthermore, our title may be challenged as defective. Consequently, there can be no assurance that we hold good and marketable title to all of our mining concessions and mining claims. If any of our concessions or claims were challenged, we could incur significant costs and lose valuable time in defending such a challenge. These costs or an adverse ruling with regards to any challenge of our titles could have a material adverse effect on our financial position or results of operations. There can be no assurance that any such disputes or challenges will be resolved in our favor.</w:t>
            </w:r>
            <w:r>
              <w:t xml:space="preserve"> </w:t>
            </w:r>
            <w:r>
              <w:t xml:space="preserve">We are not aware of challenges to the location or area of any of our mining claims. There is, however, no guarantee that title to the claims will not be challenged or impugned in the future.</w:t>
            </w:r>
            <w:r>
              <w:t xml:space="preserve"> </w:t>
            </w:r>
            <w:r>
              <w:t xml:space="preserve">Acquisitions and integration issues may expose us to risks.</w:t>
            </w:r>
            <w:r>
              <w:t xml:space="preserve"> </w:t>
            </w:r>
            <w:r>
              <w:t xml:space="preserve">Our business strategy includes making targeted acquisitions. Any acquisition that we make may be of a significant size, may change the scale of our business and operations, and may expose us to new geographic, political, operating, financial, and geological risks. Our success in our acquisition activities depends on our ability to identify suitable acquisition candidates, negotiate acceptable terms for any such acquisition and integrate the acquired operations successfully with our own. Any acquisitions would be accompanied by risks. For example, there may be significant decreases in commodity prices after we have committed to complete the transaction and have established the purchase price or exchange ratio; a potential mineralized property may prove to be below expectations; we may have difficulty integrating and assimilating the operations and personnel of any acquired companies, realizing anticipated synergies and maximizing the financial and strategic position of the combined enterprise and maintaining uniform standards, policies and controls across the organization; the integration of the acquired business or assets may disrupt our ongoing business and our relationships with employees, customers, suppliers, and contractors; and the acquired business or assets may have unknown liabilities which may be significant. If we choose to use equity securities as consideration for such an acquisition, existing shareholders may suffer dilution. Alternatively, we may choose to finance any such acquisition with our existing resources. There can be no assurance that we would be successful in overcoming these risks or any other problems encountered in connection with such acquisitions.</w:t>
            </w:r>
            <w:r>
              <w:t xml:space="preserve"> </w:t>
            </w:r>
            <w:r>
              <w:t xml:space="preserve">Joint ventures and other partnerships in relation to our properties may expose us to risks.</w:t>
            </w:r>
            <w:r>
              <w:t xml:space="preserve"> </w:t>
            </w:r>
            <w:r>
              <w:t xml:space="preserve">We have in the past, and may in the future, entered into joint ventures or other partnership arrangements with other parties in relation to the exploration, development, and production of certain of the properties in which we have an interest. Joint ventures can often require unanimous approval of the parties to the joint venture or their representatives for certain fundamental decisions such as an increase or reduction of registered capital, merger, division, dissolution, amendments of constating documents, and the pledge of joint venture assets, which means that each joint venture party may have a veto right with respect to such decisions which could lead to a deadlock in the operations of the joint venture or partnership. Further, we may be unable to exert control over strategic decisions made in respect of such properties. Any failure of such other companies to meet their obligations to us or to third parties, or any disputes with respect to the parties' respective rights and obligations, could have a material adverse effect on the joint ventures or their properties and, therefore, could have a material adverse effect on our results of operations, financial performance, cash flows, and the price of our common stock.</w:t>
            </w:r>
            <w:r>
              <w:t xml:space="preserve"> </w:t>
            </w:r>
            <w:r>
              <w:t xml:space="preserve">Risks Related to Our Company</w:t>
            </w:r>
            <w:r>
              <w:t xml:space="preserve"> </w:t>
            </w:r>
            <w:r>
              <w:t xml:space="preserve">Minimal staffing may be reasonably likely to materially affect the Company’s internal control over financial reporting</w:t>
            </w:r>
            <w:r>
              <w:t xml:space="preserve"> </w:t>
            </w:r>
            <w:r>
              <w:t xml:space="preserve">With a very limited staff, it is difficult to maintain appropriate segregation of duties in the initiating and recording of transactions, thereby creating a segregation of duties weakness. Due to the significance of segregation of duties to the preparation of reliable financial statements, this weakness may result in more than a remote likelihood that a material misstatement or lack of disclosure within the annual or interim financial statements not be prevented or detected.</w:t>
            </w:r>
            <w:r>
              <w:t xml:space="preserve"> </w:t>
            </w:r>
            <w:r>
              <w:t xml:space="preserve">Conflicts of Interest</w:t>
            </w:r>
            <w:r>
              <w:t xml:space="preserve"> </w:t>
            </w:r>
            <w:r>
              <w:t xml:space="preserve">Certain of our officers and directors may be or become associated with other businesses, including natural resource companies that acquire interests in mineral properties. Such associations may give rise to conflicts of interest from time to time. Our directors are required by Delaware’s General Corporation Law to act honestly and in good faith with a view to our best interests and to disclose any interest which they may have in any of our projects or opportunities. In general, if a conflict of interest arises at a meeting of the board of directors, any director in a conflict will disclose his interest and abstain from voting on such matter or, if he does vote, his vote will not be counted.</w:t>
            </w:r>
            <w:r>
              <w:t xml:space="preserve"> </w:t>
            </w:r>
            <w:r>
              <w:t xml:space="preserve">14</w:t>
            </w:r>
            <w:r>
              <w:t xml:space="preserve"> </w:t>
            </w:r>
            <w:r>
              <w:t xml:space="preserve">Table of Contents</w:t>
            </w:r>
            <w:r>
              <w:t xml:space="preserve"> </w:t>
            </w:r>
            <w:r>
              <w:t xml:space="preserve">We have not adopted any separate formal corporate policy regarding conflicts of interest; however, other corporate governance measures have been adopted, such as creating a directors’ audit committee requiring independent directors. Additionally, our Code of Ethics does address areas of possible conflicts of interest. As of the date of filing of this report, we had two independent directors on our board of directors (Leigh Freeman and Pamela Saxton). We have formed three committees to ensure our legal compliance. We established an independent audit committee consisting of two independent directors, both of whom were determined to be “financially literate” and one of whom was designated as the “financial expert.” We also formed a compensation committee comprised entirely of independent directors and a corporate governance and nominating committee, the majority of which is comprised of independent directors. At this time, we feel that these committees and our Code of Ethics provide sufficient corporate governance for our purposes.</w:t>
            </w:r>
            <w:r>
              <w:t xml:space="preserve"> </w:t>
            </w:r>
            <w:r>
              <w:t xml:space="preserve">Dependence on Key Management Employees and Contractors</w:t>
            </w:r>
            <w:r>
              <w:t xml:space="preserve"> </w:t>
            </w:r>
            <w:r>
              <w:t xml:space="preserve">Our ability to continue our exploration and development activities and to develop a competitive edge in the marketplace depends, in large part, on our ability to attract and maintain qualified key management personnel. Competition for such personnel is intense, and there can be no assurance that we will be able to attract and retain such personnel. Our development now and in the future will depend on the efforts of key management figures such as Patrick Highsmith, Steven Osterberg, and Ted Sharp. The loss of any of these key people could have a material adverse effect on our business. In this regard, we have attempted to reduce the risk associated with the loss of key personnel and have obtained directors and officers insurance coverage. In addition, our shareholders have approved our 2015 Stock and Incentive Plan and 2018 Incentive Plan so that we can provide incentives for our key personnel.</w:t>
            </w:r>
            <w:r>
              <w:t xml:space="preserve"> </w:t>
            </w:r>
            <w:r>
              <w:t xml:space="preserve">We may not realize the benefits of Eureka, Paiute, Seven Troughs and other acquired growth projects.</w:t>
            </w:r>
            <w:r>
              <w:t xml:space="preserve"> </w:t>
            </w:r>
            <w:r>
              <w:t xml:space="preserve">As part of our strategy, we will continue existing efforts and initiate new efforts to develop gold and other mineral properties. We have three such project areas, including Eureka, Paiute and Seven Troughs. A number of risks and uncertainties are associated with the development of these types of projects, including political, regulatory, design, construction, labor, operating, technical and technological risks, and uncertainties relating to capital and other costs and financing risks. The failure to successfully develop any of these initiatives could have a material adverse effect on our financial position and results of operations.</w:t>
            </w:r>
            <w:r>
              <w:t xml:space="preserve"> </w:t>
            </w:r>
            <w:r>
              <w:t xml:space="preserve">As part of our business model, we pursue a strategy that may cause us to expend significant resources exploring properties that may not become revenue-producing sites.</w:t>
            </w:r>
            <w:r>
              <w:t xml:space="preserve"> </w:t>
            </w:r>
            <w:r>
              <w:t xml:space="preserve">Part of our business model is to pursue a strategy which includes significant exploration activities, such as proposed exploration and, if warranted, development at the Eureka, Paiute, and the Seven Troughs Projects. Because of the nature of exploration for precious metals, a property’s exploration potential is not known until a significant amount of geologic information has been generated. We may spend significant resources exploring and developing the projects and gathering certain geologic information only to determine that the project is not capable of being a revenue-producing property for us.</w:t>
            </w:r>
            <w:r>
              <w:t xml:space="preserve"> </w:t>
            </w:r>
            <w:r>
              <w:t xml:space="preserve">Our business is subject to evolving corporate governance and public disclosure regulations that have increased both our compliance costs and the risk of noncompliance, which could have an adverse effect on our stock price.</w:t>
            </w:r>
            <w:r>
              <w:t xml:space="preserve"> </w:t>
            </w:r>
            <w:r>
              <w:t xml:space="preserve">We are subject to changing rules and regulations promulgated by a number of governmental and self-regulated organizations, including the SEC, the Public Company Accounting Oversight Board (“PCAOB”) and the Financial Accounting Standards Board. These rules and regulations continue to evolve in scope and complexity, and many new requirements have been created in response to laws enacted by Congress, making compliance more difficult and uncertain. For example, on July 21, 2010, Congress passed the Dodd-Frank Wall Street Reform and Consumer Protection Act (the “Dodd-Frank Act”) with increased disclosure obligations for public companies and mining companies in the United States. Our efforts to comply with the Dodd-Frank Act and other new regulations have resulted in, and are likely to continue to result in, increased general and administrative expenses and a diversion of our management’s time and attention from operating activities to compliance activities.</w:t>
            </w:r>
            <w:r>
              <w:t xml:space="preserve"> </w:t>
            </w:r>
            <w:r>
              <w:t xml:space="preserve">We are required to comply with Canadian securities regulations and are subject to additional regulatory scrutiny in Canada.</w:t>
            </w:r>
            <w:r>
              <w:t xml:space="preserve"> </w:t>
            </w:r>
            <w:r>
              <w:t xml:space="preserve">We are a “reporting issuer” in the Canadian provinces of British Columbia and Alberta. As a result, our disclosure outside the United States differs from the disclosure contained in our SEC filings. Our reserve and resource estimates disseminated outside the United States are not directly comparable to those made in filings subject to SEC reporting and disclosure requirements, as we generally report reserves and resources in accordance with Canadian practices. These practices are different from the practices used to report reserve and resource estimates in reports and other materials filed with the SEC. It is Canadian practice to report measured, indicated, and inferred resources, which are generally not permitted in disclosures filed with the SEC. In the United States, mineralization may not be classified as a “reserve” unless the determination has been made that the mineralization could be economically and legally produced or extracted at the time the reserve determination is made. United States investors are cautioned not to assume that all or any part of measured or indicated resources will ever be converted into reserves. Further, “inferred resources” have a great amount of uncertainty as to their existence and as to whether they can be mined legally or economically. Disclosure of “contained ounces” is permitted disclosure under Canadian regulations; however, the SEC only permits issuers to report “resources” as in-place tonnage and grade without reference to unit measures. Accordingly, information concerning descriptions of mineralization, reserves, and resources contained in disclosures released outside the United States may not be comparable to information made public by other United States companies subject to the reporting and disclosure requirements of the SEC.</w:t>
            </w:r>
            <w:r>
              <w:t xml:space="preserve"> </w:t>
            </w:r>
            <w:r>
              <w:t xml:space="preserve">15</w:t>
            </w:r>
            <w:r>
              <w:t xml:space="preserve"> </w:t>
            </w:r>
            <w:r>
              <w:t xml:space="preserve">Table of Contents</w:t>
            </w:r>
            <w:r>
              <w:t xml:space="preserve"> </w:t>
            </w:r>
            <w:r>
              <w:t xml:space="preserve">We are also subject to increased regulatory scrutiny and costs associated with complying with securities legislation in Canada. For example, we are subject to civil liability for misrepresentations in written disclosure and oral statements. Legislation has been enacted in these provinces which creates a right of action for damages against a reporting issuer, its directors and certain of its officers in the event that the reporting issuer or a person with actual, implied, or apparent authority to act or speak on behalf of the reporting issuer releases a document or makes a public oral statement that contains a misrepresentation or the reporting issuer fails to make timely disclosure of a material change. We do not anticipate any particular regulation that would be difficult to comply with. However, failure to comply with regulations may result in civil awards, fines, penalties, and orders that could have an adverse effect on us.</w:t>
            </w:r>
            <w:r>
              <w:t xml:space="preserve"> </w:t>
            </w:r>
            <w:r>
              <w:t xml:space="preserve">Risks Associated with Our Common Stock</w:t>
            </w:r>
            <w:r>
              <w:t xml:space="preserve"> </w:t>
            </w:r>
            <w:r>
              <w:t xml:space="preserve">Our stock price has been volatile and your investment in our common stock could suffer a decline in value.</w:t>
            </w:r>
            <w:r>
              <w:t xml:space="preserve"> </w:t>
            </w:r>
            <w:r>
              <w:t xml:space="preserve">Our common stock is quoted on the OTCQB Market (“OTCQB”) and traded on the TSX Venture Exchange (“TSX-V”). The market price of our common stock may fluctuate significantly in response to a number of factors, some of which are beyond our control. These factors include price fluctuations of precious metals, government regulations, disputes regarding mining claims, broad stock market fluctuations, and general economic conditions in the United States and Canada.</w:t>
            </w:r>
            <w:r>
              <w:t xml:space="preserve"> </w:t>
            </w:r>
            <w:r>
              <w:t xml:space="preserve">We do not intend to pay any dividends on shares of our common stock in the near future.</w:t>
            </w:r>
            <w:r>
              <w:t xml:space="preserve"> </w:t>
            </w:r>
            <w:r>
              <w:t xml:space="preserve">We do not currently anticipate declaring and paying dividends to our shareholders in the near future, and any future decision as to the payment of dividends will be at the discretion of our board of directors and will depend upon our earnings, financial position, capital requirements, plans for expansion, and such other factors as our board of directors deems relevant. It is our current intention to apply net earnings, if any, in the foreseeable future to finance the growth and development of our business.</w:t>
            </w:r>
            <w:r>
              <w:t xml:space="preserve"> </w:t>
            </w:r>
            <w:r>
              <w:t xml:space="preserve">Investors’ interests in our Company will be diluted and investors may suffer dilution in their net book value per share, if we issue additional employee/director/consultant options or if we sell additional shares and/or warrants to finance our operations.</w:t>
            </w:r>
            <w:r>
              <w:t xml:space="preserve"> </w:t>
            </w:r>
            <w:r>
              <w:t xml:space="preserve">We have not generated material revenue from exploration since the commencement of our exploration stage in January 2004. In order to further expand our company and meet our objectives, any additional growth and/or expanded exploration activity may need to be financed through sale and issuance of additional shares, including, but not limited to, raising finances to explore our properties. Furthermore, to finance any acquisition activity, should that activity be properly approved, and depending on the outcome of our exploration programs, we may also need to issue additional shares to finance future acquisitions, growth and/or additional exploration programs at any or all of our projects or to acquire additional properties. We may also in the future grant to some or all of our directors, officers, insiders, and key employees options to purchase our common shares and stock unit awards as non-cash incentives. The issuance of any equity securities could, and the issuance of any additional shares will, cause our existing shareholders to experience dilution of their ownership interests.</w:t>
            </w:r>
            <w:r>
              <w:t xml:space="preserve"> </w:t>
            </w:r>
            <w:r>
              <w:t xml:space="preserve">If we issue additional shares or decide to enter into joint ventures with other parties in order to raise financing through the sale of equity securities, investors' interests in our Company will be diluted and investors may suffer dilution in their net book value per share depending on the price at which such securities are sold. As of September 30, 2023, there are also outstanding options and warrants granted that are exercisable into 17,898,522 common shares. If all of these options and warrants were exercised, the underlying shares would represent approximately 9.32% of our issued and outstanding shares. If all of these options and warrants are exercised and the underlying shares are issued, such issuance will cause a reduction in the proportionate ownership and voting power of all other shareholders. The dilution may result in a decline in the market price of our shares.</w:t>
            </w:r>
            <w:r>
              <w:t xml:space="preserve"> </w:t>
            </w:r>
            <w:r>
              <w:t xml:space="preserve">16</w:t>
            </w:r>
            <w:r>
              <w:t xml:space="preserve"> </w:t>
            </w:r>
            <w:r>
              <w:t xml:space="preserve">Table of Contents</w:t>
            </w:r>
            <w:r>
              <w:t xml:space="preserve"> </w:t>
            </w:r>
            <w:r>
              <w:t xml:space="preserve">We are subject to the continued listing criteria of the TSX-V and our failure to satisfy these criteria may result in delisting of our shares of common stock</w:t>
            </w:r>
            <w:r>
              <w:t xml:space="preserve"> </w:t>
            </w:r>
            <w:r>
              <w:t xml:space="preserve">.</w:t>
            </w:r>
            <w:r>
              <w:t xml:space="preserve"> </w:t>
            </w:r>
            <w:r>
              <w:t xml:space="preserve">Our shares of common stock are currently listed on the TSX-V. In order to maintain the listing, we must maintain certain share prices, financial, and share distribution targets, including maintaining a minimum amount of shareholders’ equity and a minimum number of public shareholders. In addition to objective standards, the TSX-V may delist our securities if, in their discretionary opinion: (i) our financial condition and/or operating results appear unsatisfactory; (ii) it appears that the extent of public distribution or the aggregate market value of the security has become so reduced as to make continued listing on TSX-V inadvisable; (iii) we sell or dispose of principal operating assets or cease to be an operating company; (iv) we fail to comply with the listing requirements of the TSX-V; (v) our shares of common stock sell at what the TSX-V considers a “low selling price” and if we fail to correct this via a reverse split of shares after notification by the TSX-V; or (vi) any other event occurs or any condition exists which makes continued listing on the TSX-V, in their opinion, inadvisable.</w:t>
            </w:r>
            <w:r>
              <w:t xml:space="preserve"> </w:t>
            </w:r>
            <w:r>
              <w:t xml:space="preserve">If the TSX-V delists our shares of common stock, investors may face material adverse consequences, including, but not limited to, a lack of trading market for our securities, reduced liquidity, decreased analyst coverage of our securities, and an inability for us to obtain additional financing to fund our operations.</w:t>
            </w:r>
          </w:p>
        </w:tc>
        <w:tc>
          <w:tcPr/>
          <w:p>
            <w:pPr>
              <w:pStyle w:val="Compact"/>
            </w:pPr>
            <w:r>
              <w:t xml:space="preserve">42494</w:t>
            </w:r>
          </w:p>
        </w:tc>
      </w:tr>
      <w:tr>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item_7</w:t>
            </w:r>
          </w:p>
        </w:tc>
        <w:tc>
          <w:tcPr/>
          <w:p>
            <w:pPr>
              <w:pStyle w:val="Compact"/>
            </w:pPr>
            <w:r>
              <w:t xml:space="preserve">ITEM 7. MANAGEMENT'S DISCUSSION AND ANALYSIS OF FINANCIAL CONDITION AND RESULTS OF OPERATION</w:t>
            </w:r>
            <w:r>
              <w:t xml:space="preserve"> </w:t>
            </w:r>
            <w:r>
              <w:t xml:space="preserve">You should read the following discussion and analysis of our financial condition and results of operations together with our financial statements and related notes appearing elsewhere in this report. This discussion and analysis contains forward-looking statements that involve risks, uncertainties and assumptions. Our actual results may differ materially from those anticipated in these forward-looking statements as a result of many factors, including, but not limited to, those set forth under “Risk Factors and Uncertainties” and elsewhere in this document.</w:t>
            </w:r>
            <w:r>
              <w:t xml:space="preserve"> </w:t>
            </w:r>
            <w:r>
              <w:t xml:space="preserve">See “Cautionary Note Regarding Forward-Looking Statements” above.</w:t>
            </w:r>
            <w:r>
              <w:t xml:space="preserve"> </w:t>
            </w:r>
            <w:r>
              <w:t xml:space="preserve">Overview</w:t>
            </w:r>
            <w:r>
              <w:t xml:space="preserve"> </w:t>
            </w:r>
            <w:r>
              <w:t xml:space="preserve">We are an exploration company, using tried and proven methods to search for gold, silver, and other metals as become indicated, on properties located in the State of Nevada in the Western United States. Our significant properties consist of our Eureka Projects (Lookout Mountain, Windfall, Oswego and other targets) in the Battle Mountain - Eureka Trend located in the North-Central portion of the state, and the Seven Troughs Project, located in the Northwest portion of the state.</w:t>
            </w:r>
            <w:r>
              <w:t xml:space="preserve"> </w:t>
            </w:r>
            <w:r>
              <w:t xml:space="preserve">We raised funds to acquire and explore these properties through private placements of our common stock and warrants with investors, through debt placements, and through joint venture arrangements with other mining exploration and development companies in our business sector. Our business plans employ strategies to locate and analyze gold and silver properties to determine the existence, quantity and quality of mineral deposits and advance those deposits for the benefit of our shareholders. We may seek to develop those properties ourselves or engage larger mining companies to purchase, develop, joint venture and otherwise exploit the properties for the purpose of production of these discovered precious metals.</w:t>
            </w:r>
            <w:r>
              <w:t xml:space="preserve"> </w:t>
            </w:r>
            <w:r>
              <w:t xml:space="preserve">65</w:t>
            </w:r>
            <w:r>
              <w:t xml:space="preserve"> </w:t>
            </w:r>
            <w:r>
              <w:t xml:space="preserve">Table of Contents</w:t>
            </w:r>
            <w:r>
              <w:t xml:space="preserve"> </w:t>
            </w:r>
            <w:r>
              <w:t xml:space="preserve">Fiscal 2023 Accomplishments</w:t>
            </w:r>
            <w:r>
              <w:t xml:space="preserve"> </w:t>
            </w:r>
            <w:r>
              <w:t xml:space="preserve">Technical Report Summary and Updated Loockout Mountain Gold Resources:</w:t>
            </w:r>
            <w:r>
              <w:t xml:space="preserve"> </w:t>
            </w:r>
            <w:r>
              <w:t xml:space="preserve">During the 2023 fiscal year, RESPEC Company LLC completed a mineral resource estimate and an initial Technical Report Summary (TRS) for the Lookout Mountain gold deposit. The TRS and mineral resource disclosure is a requirement S-K 1300, which governs US mining projects. The updated mineral resource estimate is summarized in Table 2 below. The resource estimate has been constrained by optimized open pits utilizing revenue and cost inputs as summarized in the Notes to Table 2 below.</w:t>
            </w:r>
            <w:r>
              <w:t xml:space="preserve"> </w:t>
            </w:r>
            <w:r>
              <w:t xml:space="preserve">Table 2. Updated Lookout Mountain Project Gold Resources</w:t>
            </w:r>
            <w:r>
              <w:t xml:space="preserve"> </w:t>
            </w:r>
            <w:r>
              <w:t xml:space="preserve">Notes:</w:t>
            </w:r>
            <w:r>
              <w:t xml:space="preserve"> </w:t>
            </w:r>
            <w:r>
              <w:t xml:space="preserve">·</w:t>
            </w:r>
            <w:r>
              <w:t xml:space="preserve"> </w:t>
            </w:r>
            <w:r>
              <w:t xml:space="preserve">The Mineral Resources are comprised of oxidized model blocks that lie within optimized pits at a cutoff grade of 0.005 oz Au/ton plus unoxidized blocks within the optimized pits at a 0.055 oz Au/ton cutoff.</w:t>
            </w:r>
            <w:r>
              <w:t xml:space="preserve"> </w:t>
            </w:r>
            <w:r>
              <w:t xml:space="preserve">·</w:t>
            </w:r>
            <w:r>
              <w:t xml:space="preserve"> </w:t>
            </w:r>
            <w:r>
              <w:t xml:space="preserve">Mineral Resources that are not Mineral Reserves do not have demonstrated economic viability.</w:t>
            </w:r>
            <w:r>
              <w:t xml:space="preserve"> </w:t>
            </w:r>
            <w:r>
              <w:t xml:space="preserve">·</w:t>
            </w:r>
            <w:r>
              <w:t xml:space="preserve"> </w:t>
            </w:r>
            <w:r>
              <w:t xml:space="preserve">The Mineral Resources are potentially amenable to open pit mining methods and are therefore constrained by optimized pits created using a gold price of US$1,800/oz, a throughput rate of 10,000 tons/day, assumed metallurgical recoveries of 80% for heap-leaching of oxidized materials and 86% for toll milling of unoxidized materials, a mining cost of US$2.50/ton, heap-leaching processing cost of $3.60/ton, toll milling cost of $80.00/ton, general and administrative costs of $0.83/ton processed, a reclamation cost of $0.25/ton processed, refining cost of $3.00/oz Au produced, and an NSR royalty of 3.5%. This study does not constitute an Initial Assessment under S-K 1300.</w:t>
            </w:r>
            <w:r>
              <w:t xml:space="preserve"> </w:t>
            </w:r>
            <w:r>
              <w:t xml:space="preserve">·</w:t>
            </w:r>
            <w:r>
              <w:t xml:space="preserve"> </w:t>
            </w:r>
            <w:r>
              <w:t xml:space="preserve">The effective date of the resource estimate is December 31, 2022.</w:t>
            </w:r>
            <w:r>
              <w:t xml:space="preserve"> </w:t>
            </w:r>
            <w:r>
              <w:t xml:space="preserve">·</w:t>
            </w:r>
            <w:r>
              <w:t xml:space="preserve"> </w:t>
            </w:r>
            <w:r>
              <w:t xml:space="preserve">Rounding may result in apparent discrepancies between tons, grade, and contained metal content.</w:t>
            </w:r>
            <w:r>
              <w:t xml:space="preserve"> </w:t>
            </w:r>
            <w:r>
              <w:t xml:space="preserve">·</w:t>
            </w:r>
            <w:r>
              <w:t xml:space="preserve"> </w:t>
            </w:r>
            <w:r>
              <w:t xml:space="preserve">Technical Report Summary is authored by Steven Osterberg, PhD, PG (Timberline’s qualified person) and RESPEC Company LLC of Reno, Nevada</w:t>
            </w:r>
            <w:r>
              <w:t xml:space="preserve"> </w:t>
            </w:r>
            <w:r>
              <w:t xml:space="preserve">The S-K 1300 mineral resource estimate reflects our first limited economic analysis on the project. The TRS documents much work that has been accomplished over the last several years at Lookout Mountain, including initial metallurgical, environmental, and engineering studies. Advancing the deposit to pit-constrained resources has also identified opportunities for growth and optimization of the project towards economic viability. The recommendations from this study, as well as the exciting developments in the district, highlight the potential growth for both gold and silver at the Eureka Project.</w:t>
            </w:r>
            <w:r>
              <w:t xml:space="preserve"> </w:t>
            </w:r>
            <w:r>
              <w:t xml:space="preserve">In November 2023 the Company released the updated mineral resource estimate (MRE) for the Lookout Mountain gold deposit under Canadian National Instrument (NI) 43-101, Companion Policy 43-101CP, and Form 43-101F1, which is a Canadian Securities Administrators’ requirement for mining projects governing the disclosure of mineral reserves and resources.</w:t>
            </w:r>
            <w:r>
              <w:t xml:space="preserve"> </w:t>
            </w:r>
            <w:r>
              <w:t xml:space="preserve">2023 Lookout Mountain Project Gold Exploration:</w:t>
            </w:r>
            <w:r>
              <w:t xml:space="preserve"> </w:t>
            </w:r>
            <w:r>
              <w:t xml:space="preserve">The FY 2023 exploration program continued to focus primarily on exploration drilling in the Water Well Zone (WWZ) to test the extent of the gold mineralization at the contact between the Dunderberg and Hamburg formations. Three drill holes from the 2022 - 2023 drill program tested the southern end of the WWZ, constituting approximately 3,670 feet (1,119m) out of the 21,856 feet (6,662 m) program. The Company reported these results during early calendar year 2023. This drilling continued to confirm the consistent presence of gold mineralization at the key contact, but the results also encountered numerous faults that complicate the WWZ deposit – resulting in apparent gaps, as well as zones of enrichment, in the mineralization. Timberline geologists believe that recent drilling is within the footprint of a significant discovery at the WWZ, and the best potential for expansion by surface drilling lies to the east (downdip) and south.</w:t>
            </w:r>
            <w:r>
              <w:t xml:space="preserve"> </w:t>
            </w:r>
            <w:r>
              <w:t xml:space="preserve">66</w:t>
            </w:r>
            <w:r>
              <w:t xml:space="preserve"> </w:t>
            </w:r>
            <w:r>
              <w:t xml:space="preserve">Table of Contents</w:t>
            </w:r>
            <w:r>
              <w:t xml:space="preserve"> </w:t>
            </w:r>
            <w:r>
              <w:t xml:space="preserve">Assay highlights from the three FY 2023 drillholes in the southern WWZ are included below (using a cutoff grade of 0.3 g/t for gold):</w:t>
            </w:r>
            <w:r>
              <w:t xml:space="preserve"> </w:t>
            </w:r>
            <w:r>
              <w:t xml:space="preserve">·</w:t>
            </w:r>
            <w:r>
              <w:t xml:space="preserve"> </w:t>
            </w:r>
            <w:r>
              <w:t xml:space="preserve">BHSE-225C: 29.0m at 1.06 grams per tonne (g/t) gold from 294.7m depth, including</w:t>
            </w:r>
            <w:r>
              <w:t xml:space="preserve"> </w:t>
            </w:r>
            <w:r>
              <w:t xml:space="preserve">o</w:t>
            </w:r>
            <w:r>
              <w:t xml:space="preserve"> </w:t>
            </w:r>
            <w:r>
              <w:t xml:space="preserve">9.1m at 2.17 g/t gold from 305.4m depth; and</w:t>
            </w:r>
            <w:r>
              <w:t xml:space="preserve"> </w:t>
            </w:r>
            <w:r>
              <w:t xml:space="preserve">o</w:t>
            </w:r>
            <w:r>
              <w:t xml:space="preserve"> </w:t>
            </w:r>
            <w:r>
              <w:t xml:space="preserve">1.5m at 3.01 g/t gold from 308.5m depth;</w:t>
            </w:r>
            <w:r>
              <w:t xml:space="preserve"> </w:t>
            </w:r>
            <w:r>
              <w:t xml:space="preserve">·</w:t>
            </w:r>
            <w:r>
              <w:t xml:space="preserve"> </w:t>
            </w:r>
            <w:r>
              <w:t xml:space="preserve">BHSE-231C: 8.5m at 2.38 g/t gold from 303.9m depth, including</w:t>
            </w:r>
            <w:r>
              <w:t xml:space="preserve"> </w:t>
            </w:r>
            <w:r>
              <w:t xml:space="preserve">o</w:t>
            </w:r>
            <w:r>
              <w:t xml:space="preserve"> </w:t>
            </w:r>
            <w:r>
              <w:t xml:space="preserve">4.0m at 3.63 g/t gold from 308.5m depth;</w:t>
            </w:r>
            <w:r>
              <w:t xml:space="preserve"> </w:t>
            </w:r>
            <w:r>
              <w:t xml:space="preserve">·</w:t>
            </w:r>
            <w:r>
              <w:t xml:space="preserve"> </w:t>
            </w:r>
            <w:r>
              <w:t xml:space="preserve">BHSE-241C: 1.5m at 3.40 g/t gold from 305.4m depth;</w:t>
            </w:r>
            <w:r>
              <w:t xml:space="preserve"> </w:t>
            </w:r>
            <w:r>
              <w:t xml:space="preserve">·</w:t>
            </w:r>
            <w:r>
              <w:t xml:space="preserve"> </w:t>
            </w:r>
            <w:r>
              <w:t xml:space="preserve">BHSE-241C: 25.9m at 0.72 g/t gold from 314.6m depth; including</w:t>
            </w:r>
            <w:r>
              <w:t xml:space="preserve"> </w:t>
            </w:r>
            <w:r>
              <w:t xml:space="preserve">o</w:t>
            </w:r>
            <w:r>
              <w:t xml:space="preserve"> </w:t>
            </w:r>
            <w:r>
              <w:t xml:space="preserve">7.6m at 1.3 g/t gold from 314.6m depth; and</w:t>
            </w:r>
            <w:r>
              <w:t xml:space="preserve"> </w:t>
            </w:r>
            <w:r>
              <w:t xml:space="preserve">o</w:t>
            </w:r>
            <w:r>
              <w:t xml:space="preserve"> </w:t>
            </w:r>
            <w:r>
              <w:t xml:space="preserve">1.5m at 3.65 g/t gold from 314.6m depth.</w:t>
            </w:r>
            <w:r>
              <w:t xml:space="preserve"> </w:t>
            </w:r>
            <w:r>
              <w:t xml:space="preserve">Additional exploration drilling completed early in FY 2023 tested the northern limits of the WWZ and its association with the Lookout Mountain gold resource. Four drillholes, constituting approximately 5,960 feet (1,817m) of the approximately 21,850 feet (6,662m) drill program, began in 2022 and finished in 2023.</w:t>
            </w:r>
            <w:r>
              <w:t xml:space="preserve"> </w:t>
            </w:r>
            <w:r>
              <w:t xml:space="preserve">Four drillholes in the northern WWZ encountered significant gold mineralization, while two holes intersected significant lead-zinc-silver, including drillhole BHSE-237C which cut more than 200m of strongly enriched silver. Assay highlights from the drilling include (using cutoff grades of 0.3 g/t for gold and 1.0 g/t for silver):</w:t>
            </w:r>
            <w:r>
              <w:t xml:space="preserve"> </w:t>
            </w:r>
            <w:r>
              <w:t xml:space="preserve">·</w:t>
            </w:r>
            <w:r>
              <w:t xml:space="preserve"> </w:t>
            </w:r>
            <w:r>
              <w:t xml:space="preserve">BHSE-238C: 16.8m at 2.64 grams per tonne (g/t) gold from 178.9m depth, including</w:t>
            </w:r>
            <w:r>
              <w:t xml:space="preserve"> </w:t>
            </w:r>
            <w:r>
              <w:t xml:space="preserve">o</w:t>
            </w:r>
            <w:r>
              <w:t xml:space="preserve"> </w:t>
            </w:r>
            <w:r>
              <w:t xml:space="preserve">4.6m at 4.45 g/t gold from 182.0m depth;</w:t>
            </w:r>
            <w:r>
              <w:t xml:space="preserve"> </w:t>
            </w:r>
            <w:r>
              <w:t xml:space="preserve">·</w:t>
            </w:r>
            <w:r>
              <w:t xml:space="preserve"> </w:t>
            </w:r>
            <w:r>
              <w:t xml:space="preserve">BHSE-221C: 6.1m at 1.83 g/t gold from 332.8m depth, including</w:t>
            </w:r>
            <w:r>
              <w:t xml:space="preserve"> </w:t>
            </w:r>
            <w:r>
              <w:t xml:space="preserve">o</w:t>
            </w:r>
            <w:r>
              <w:t xml:space="preserve"> </w:t>
            </w:r>
            <w:r>
              <w:t xml:space="preserve">1.5m at 3.59 g/t gold from 335.9m depth;</w:t>
            </w:r>
            <w:r>
              <w:t xml:space="preserve"> </w:t>
            </w:r>
            <w:r>
              <w:t xml:space="preserve">·</w:t>
            </w:r>
            <w:r>
              <w:t xml:space="preserve"> </w:t>
            </w:r>
            <w:r>
              <w:t xml:space="preserve">BHSE-239C: 9.4m at 1.09 g/t gold from 194.5m depth;</w:t>
            </w:r>
            <w:r>
              <w:t xml:space="preserve"> </w:t>
            </w:r>
            <w:r>
              <w:t xml:space="preserve">·</w:t>
            </w:r>
            <w:r>
              <w:t xml:space="preserve"> </w:t>
            </w:r>
            <w:r>
              <w:t xml:space="preserve">BHSE-239C: 6.1m at 1.33 g/t gold from 313.0m depth;</w:t>
            </w:r>
            <w:r>
              <w:t xml:space="preserve"> </w:t>
            </w:r>
            <w:r>
              <w:t xml:space="preserve">·</w:t>
            </w:r>
            <w:r>
              <w:t xml:space="preserve"> </w:t>
            </w:r>
            <w:r>
              <w:t xml:space="preserve">BHSE-239C: 3.1m at 3.77 g/t gold from 439.5m depth;</w:t>
            </w:r>
            <w:r>
              <w:t xml:space="preserve"> </w:t>
            </w:r>
            <w:r>
              <w:t xml:space="preserve">·</w:t>
            </w:r>
            <w:r>
              <w:t xml:space="preserve"> </w:t>
            </w:r>
            <w:r>
              <w:t xml:space="preserve">BHSE-221C: 35.1m at 10.1 g/t silver from 329.8m depth;</w:t>
            </w:r>
            <w:r>
              <w:t xml:space="preserve"> </w:t>
            </w:r>
            <w:r>
              <w:t xml:space="preserve">·</w:t>
            </w:r>
            <w:r>
              <w:t xml:space="preserve"> </w:t>
            </w:r>
            <w:r>
              <w:t xml:space="preserve">BHSE-237C: 79.2m at 8.2 g/t silver from 297.8m depth; and</w:t>
            </w:r>
            <w:r>
              <w:t xml:space="preserve"> </w:t>
            </w:r>
            <w:r>
              <w:t xml:space="preserve">·</w:t>
            </w:r>
            <w:r>
              <w:t xml:space="preserve"> </w:t>
            </w:r>
            <w:r>
              <w:t xml:space="preserve">BHSE-237C: 30.5m at 12.2 g/t silver from 393.8m depth.</w:t>
            </w:r>
            <w:r>
              <w:t xml:space="preserve"> </w:t>
            </w:r>
            <w:r>
              <w:t xml:space="preserve">The overlapping CTG gold and older CRD silver mineralization is becoming characteristic of the Eureka area, as is now in evidence at various places along more than 8 km of the trend from i80 Gold’s Ruby Hill Mine in the north to the WWZ in the south.</w:t>
            </w:r>
            <w:r>
              <w:t xml:space="preserve"> </w:t>
            </w:r>
            <w:r>
              <w:t xml:space="preserve">2023 Exploration Permitting at Lookout Mountain</w:t>
            </w:r>
            <w:r>
              <w:t xml:space="preserve"> </w:t>
            </w:r>
            <w:r>
              <w:t xml:space="preserve">Permitting at Lookout Mountain was also advanced during 2023. Field activities such as exploration drilling are completed at Lookout Mountain under the provisions of an exploration Plan of Operations (PoO) initially approved by the BLM in 2010 and subject to annual Work Plan Amendments. In 2023, to support ongoing exploration, our environmental consultant completed an updated cultural resources field review to avoid potential site-specific impacts caused by drill-activities. Field work by archeologists was completed in 2022 with follow-up analysis including review by the State Historic Preservation Office (SHPO) continuing into 2023. A final report was submitted to the BLM in July 2023. Based on the field review, the number and cumulative size of sites which will require additional site-specific screening and potential mitigation prior to completion of drilling activities has been reduced. Management does not consider the avoidance areas to be a significant impediment to planned exploration activities as they are typically small areas around which drill sites and access roads can be positioned.</w:t>
            </w:r>
            <w:r>
              <w:t xml:space="preserve"> </w:t>
            </w:r>
            <w:r>
              <w:t xml:space="preserve">67</w:t>
            </w:r>
            <w:r>
              <w:t xml:space="preserve"> </w:t>
            </w:r>
            <w:r>
              <w:t xml:space="preserve">Table of Contents</w:t>
            </w:r>
            <w:r>
              <w:t xml:space="preserve"> </w:t>
            </w:r>
            <w:r>
              <w:t xml:space="preserve">2023 Priorities for District Exploration – Carlin-type Gold and Carbonate Replacement Deposits:</w:t>
            </w:r>
            <w:r>
              <w:t xml:space="preserve"> </w:t>
            </w:r>
            <w:r>
              <w:t xml:space="preserve">Ongoing analysis of district exploration data has defined three primary target areas for Timberline at Eureka: New York Canyon, Windfall Trend, and Lookout-WWZ-Oswego areas. These target areas, or sub-districts, include the potential for discovery of additional Carlin-type gold and gold-bearing carbonate-replacement deposits.</w:t>
            </w:r>
            <w:r>
              <w:t xml:space="preserve"> </w:t>
            </w:r>
            <w:r>
              <w:t xml:space="preserve">2023 New York Canyon Target</w:t>
            </w:r>
            <w:r>
              <w:t xml:space="preserve"> </w:t>
            </w:r>
            <w:r>
              <w:t xml:space="preserve">During Q3/FY2023, the Company completed acquisition of additional fractional interests in three of nine patented claims previously acquired at New York Canyon. At New York Canyon, rocks sampled from Ordovician Hanson Creek formation outcrops carry high-grade gold and silver. Selected rock samples collected on and around the patented claims yielded gold assays of 55, 32, 23.3, 22.5, and 14.95 g/t and silver assays of 750, 582.5, 558, 555, and 299 g/t. There are small historical mines and prospects over the area, which further highlight the prospectivity. However, this area remains undrilled because these patented claims have been held by private parties for many years and never consolidated by one company.</w:t>
            </w:r>
            <w:r>
              <w:t xml:space="preserve"> </w:t>
            </w:r>
            <w:r>
              <w:t xml:space="preserve">Maps, tables and figures in Part I of this Annual Report include these results reported for the Company’s fiscal year 2023.</w:t>
            </w:r>
            <w:r>
              <w:t xml:space="preserve"> </w:t>
            </w:r>
            <w:r>
              <w:t xml:space="preserve">Summary of gold prices</w:t>
            </w:r>
            <w:r>
              <w:t xml:space="preserve"> </w:t>
            </w:r>
            <w:r>
              <w:t xml:space="preserve">Fiscal year 2023 has seen continuing strong trends in the gold price from a low of approximately $1,628 to a high of approximately $2,048 per ounce, with a trend moving around $1,871 per ounce at year end. We believe the global economic environment and monetary climate continue to favor a strong gold price for the foreseeable future. While volatility is to be expected, our expectation is that we can identify and pursue opportunities to advance our projects and take advantage of the current gold price and market volatility.</w:t>
            </w:r>
            <w:r>
              <w:t xml:space="preserve"> </w:t>
            </w:r>
            <w:r>
              <w:t xml:space="preserve">Exploration Plans and Budgets</w:t>
            </w:r>
            <w:r>
              <w:t xml:space="preserve"> </w:t>
            </w:r>
            <w:r>
              <w:t xml:space="preserve">Our exploration focus during fiscal 2024 will continue to be on the Eureka Project. Our financial and human resources will be dedicated to the advancement of the Lookout Mountain, Water Well, Oswego, and other targets across the property. The results of our drilling, mapping, geochemical and geophysical work completed during fiscal years 2020 and 2021 exploration seasons significantly advanced our understanding of the overall geologic setting of the Eureka Project, highlighting several areas with potential for significant gold mineralization. The drilling results of fiscal 2022 significantly added to the geology and mineralization of our target areas in the Eureka Project and the analysis performed during fiscal 2023 expanded our understanding of the drill results from prior years, which will guide our fiscal 2024 exploration plan.</w:t>
            </w:r>
            <w:r>
              <w:t xml:space="preserve"> </w:t>
            </w:r>
            <w:r>
              <w:t xml:space="preserve">Execution of any 2024 exploration activities will be contingent upon our ability to secure additional financing prior to the exploration season. Our preliminary exploration budget for fiscal 2024 is expected to exceed $3.0 million, funded largely by additional financing activities as we enter into the new 2024 calendar year. Details of the exploration plan for fiscal 2024 will follow anticipated financing successes, which will determine the nature and extent of an exploration program.</w:t>
            </w:r>
            <w:r>
              <w:t xml:space="preserve"> </w:t>
            </w:r>
            <w:r>
              <w:t xml:space="preserve">Results of Operations for Years Ended September 30, 2023 and 2022</w:t>
            </w:r>
            <w:r>
              <w:t xml:space="preserve"> </w:t>
            </w:r>
            <w:r>
              <w:t xml:space="preserve">Consolidated Results</w:t>
            </w:r>
            <w:r>
              <w:t xml:space="preserve"> </w:t>
            </w:r>
            <w:r>
              <w:t xml:space="preserve">Year Ended September 30,</w:t>
            </w:r>
            <w:r>
              <w:t xml:space="preserve"> </w:t>
            </w:r>
            <w:r>
              <w:t xml:space="preserve">2023</w:t>
            </w:r>
            <w:r>
              <w:t xml:space="preserve"> </w:t>
            </w:r>
            <w:r>
              <w:t xml:space="preserve">2022</w:t>
            </w:r>
            <w:r>
              <w:t xml:space="preserve"> </w:t>
            </w:r>
            <w:r>
              <w:t xml:space="preserve">Exploration expenses:</w:t>
            </w:r>
            <w:r>
              <w:t xml:space="preserve"> </w:t>
            </w:r>
            <w:r>
              <w:t xml:space="preserve">Eureka/Lookout Mountain, net of non-cash expenses</w:t>
            </w:r>
            <w:r>
              <w:t xml:space="preserve"> </w:t>
            </w:r>
            <w:r>
              <w:t xml:space="preserve">1,022,032</w:t>
            </w:r>
            <w:r>
              <w:t xml:space="preserve"> </w:t>
            </w:r>
            <w:r>
              <w:t xml:space="preserve">$</w:t>
            </w:r>
            <w:r>
              <w:t xml:space="preserve"> </w:t>
            </w:r>
            <w:r>
              <w:t xml:space="preserve">4,614,490</w:t>
            </w:r>
            <w:r>
              <w:t xml:space="preserve"> </w:t>
            </w:r>
            <w:r>
              <w:t xml:space="preserve">Total exploration expenditures</w:t>
            </w:r>
            <w:r>
              <w:t xml:space="preserve"> </w:t>
            </w:r>
            <w:r>
              <w:t xml:space="preserve">1,022,032</w:t>
            </w:r>
            <w:r>
              <w:t xml:space="preserve"> </w:t>
            </w:r>
            <w:r>
              <w:t xml:space="preserve">4,614,490</w:t>
            </w:r>
            <w:r>
              <w:t xml:space="preserve"> </w:t>
            </w:r>
            <w:r>
              <w:t xml:space="preserve">Non-cash expenses:</w:t>
            </w:r>
            <w:r>
              <w:t xml:space="preserve"> </w:t>
            </w:r>
            <w:r>
              <w:t xml:space="preserve">Stock option and stock issuance expense</w:t>
            </w:r>
            <w:r>
              <w:t xml:space="preserve"> </w:t>
            </w:r>
            <w:r>
              <w:t xml:space="preserve">84,962</w:t>
            </w:r>
            <w:r>
              <w:t xml:space="preserve"> </w:t>
            </w:r>
            <w:r>
              <w:t xml:space="preserve">44,321</w:t>
            </w:r>
            <w:r>
              <w:t xml:space="preserve"> </w:t>
            </w:r>
            <w:r>
              <w:t xml:space="preserve">Depreciation, amortization, and accretion</w:t>
            </w:r>
            <w:r>
              <w:t xml:space="preserve"> </w:t>
            </w:r>
            <w:r>
              <w:t xml:space="preserve">6,860</w:t>
            </w:r>
            <w:r>
              <w:t xml:space="preserve"> </w:t>
            </w:r>
            <w:r>
              <w:t xml:space="preserve">5,912</w:t>
            </w:r>
            <w:r>
              <w:t xml:space="preserve"> </w:t>
            </w:r>
            <w:r>
              <w:t xml:space="preserve">Total non-cash expenses</w:t>
            </w:r>
            <w:r>
              <w:t xml:space="preserve"> </w:t>
            </w:r>
            <w:r>
              <w:t xml:space="preserve">91,822</w:t>
            </w:r>
            <w:r>
              <w:t xml:space="preserve"> </w:t>
            </w:r>
            <w:r>
              <w:t xml:space="preserve">50,233</w:t>
            </w:r>
            <w:r>
              <w:t xml:space="preserve"> </w:t>
            </w:r>
            <w:r>
              <w:t xml:space="preserve">Operating expenses paid in cash:</w:t>
            </w:r>
            <w:r>
              <w:t xml:space="preserve"> </w:t>
            </w:r>
            <w:r>
              <w:t xml:space="preserve">Salaries and benefits, net of non-cash expenses</w:t>
            </w:r>
            <w:r>
              <w:t xml:space="preserve"> </w:t>
            </w:r>
            <w:r>
              <w:t xml:space="preserve">281,128</w:t>
            </w:r>
            <w:r>
              <w:t xml:space="preserve"> </w:t>
            </w:r>
            <w:r>
              <w:t xml:space="preserve">293,097</w:t>
            </w:r>
            <w:r>
              <w:t xml:space="preserve"> </w:t>
            </w:r>
            <w:r>
              <w:t xml:space="preserve">Professional fees expense</w:t>
            </w:r>
            <w:r>
              <w:t xml:space="preserve"> </w:t>
            </w:r>
            <w:r>
              <w:t xml:space="preserve">213,348</w:t>
            </w:r>
            <w:r>
              <w:t xml:space="preserve"> </w:t>
            </w:r>
            <w:r>
              <w:t xml:space="preserve">181,811</w:t>
            </w:r>
            <w:r>
              <w:t xml:space="preserve"> </w:t>
            </w:r>
            <w:r>
              <w:t xml:space="preserve">Other general and administrative expenses</w:t>
            </w:r>
            <w:r>
              <w:t xml:space="preserve"> </w:t>
            </w:r>
            <w:r>
              <w:t xml:space="preserve">516,420</w:t>
            </w:r>
            <w:r>
              <w:t xml:space="preserve"> </w:t>
            </w:r>
            <w:r>
              <w:t xml:space="preserve">551,815</w:t>
            </w:r>
            <w:r>
              <w:t xml:space="preserve"> </w:t>
            </w:r>
            <w:r>
              <w:t xml:space="preserve">Interest and other (income) expense, net of non-cash expenses</w:t>
            </w:r>
            <w:r>
              <w:t xml:space="preserve"> </w:t>
            </w:r>
            <w:r>
              <w:t xml:space="preserve">55,594</w:t>
            </w:r>
            <w:r>
              <w:t xml:space="preserve"> </w:t>
            </w:r>
            <w:r>
              <w:t xml:space="preserve">270,461</w:t>
            </w:r>
            <w:r>
              <w:t xml:space="preserve"> </w:t>
            </w:r>
            <w:r>
              <w:t xml:space="preserve">Income tax provision (benefit)</w:t>
            </w:r>
            <w:r>
              <w:t xml:space="preserve"> </w:t>
            </w:r>
            <w:r>
              <w:t xml:space="preserve">-</w:t>
            </w:r>
            <w:r>
              <w:t xml:space="preserve"> </w:t>
            </w:r>
            <w:r>
              <w:t xml:space="preserve">-</w:t>
            </w:r>
            <w:r>
              <w:t xml:space="preserve"> </w:t>
            </w:r>
            <w:r>
              <w:t xml:space="preserve">Net loss</w:t>
            </w:r>
            <w:r>
              <w:t xml:space="preserve"> </w:t>
            </w:r>
            <w:r>
              <w:t xml:space="preserve">$</w:t>
            </w:r>
            <w:r>
              <w:t xml:space="preserve"> </w:t>
            </w:r>
            <w:r>
              <w:t xml:space="preserve">2,180,344</w:t>
            </w:r>
            <w:r>
              <w:t xml:space="preserve"> </w:t>
            </w:r>
            <w:r>
              <w:t xml:space="preserve">$</w:t>
            </w:r>
            <w:r>
              <w:t xml:space="preserve"> </w:t>
            </w:r>
            <w:r>
              <w:t xml:space="preserve">5,961,907</w:t>
            </w:r>
            <w:r>
              <w:t xml:space="preserve"> </w:t>
            </w:r>
            <w:r>
              <w:t xml:space="preserve">68</w:t>
            </w:r>
            <w:r>
              <w:t xml:space="preserve"> </w:t>
            </w:r>
            <w:r>
              <w:t xml:space="preserve">Table of Contents</w:t>
            </w:r>
            <w:r>
              <w:t xml:space="preserve"> </w:t>
            </w:r>
            <w:r>
              <w:t xml:space="preserve">Our consolidated net loss for the fiscal year ended September 30, 2023 decreased significantly from the prior year, primarily as a result of our decreased exploration program during fiscal year ended September 30, 2023 compared to the same period of 2022, which included significant increases in drilling and geophysical activities during fiscal year ended September 30, 2022. We also experienced significant increases in shared-based compensation. Professional fees expenses were higher as a result of increased utilization of financial professionals during fiscal 2023. General and administrative expenses decreased. Other expenses for fiscal 2023 were significantly lower than the prior year.</w:t>
            </w:r>
            <w:r>
              <w:t xml:space="preserve"> </w:t>
            </w:r>
            <w:r>
              <w:t xml:space="preserve">Financial Condition and Liquidity</w:t>
            </w:r>
            <w:r>
              <w:t xml:space="preserve"> </w:t>
            </w:r>
            <w:r>
              <w:t xml:space="preserve">At September 30, 2023, we had assets of $14,795,875, consisting of cash of $98,224, property, mineral rights and equipment, net of depreciation, of $14,155,178, reclamation bonds of $528,643, and other assets in the amount of $13,830.</w:t>
            </w:r>
            <w:r>
              <w:t xml:space="preserve"> </w:t>
            </w:r>
            <w:r>
              <w:t xml:space="preserve">On September 30, 2023, we had total liabilities of $358,095 and total assets of $14,795,875. This compares to total liabilities of $1,157,467 and total assets of $16,972,229 on September 30, 2022. As of September 30, 2023, our liabilities consist of $144,040 for asset retirement obligations and $214,055 of trade payables and accrued expenses. Of these liabilities, $214,055 are due within 12 months. The decrease in liabilities compared to September 30, 2023 is largely due the senior unsecured note payable - related party and accrued interest payable – related party that was paid during September 30, 2023. The decrease in total current assets was due to a decrease in cash.</w:t>
            </w:r>
            <w:r>
              <w:t xml:space="preserve"> </w:t>
            </w:r>
            <w:r>
              <w:t xml:space="preserve">On September 30, 2023, we had negative working capital of $107,701 and stockholders’ equity of $14,437,780 compared to working capital of $1,423,723 and stockholders’ equity of $15,814,762 for the year ended September 30, 2022. Working capital experienced an unfavorable change because of a decrease in cash with other liabilities affected positively or negatively by individual small changes in other components of liabilities.</w:t>
            </w:r>
            <w:r>
              <w:t xml:space="preserve"> </w:t>
            </w:r>
            <w:r>
              <w:t xml:space="preserve">During the fiscal year ended September 30, 2023, we used cash from operating activities of $2,626,470, compared to $5,325,134 used for fiscal 2022. There was a net loss of $2,180,344 for fiscal 2023 compared to a net loss of $5,961,907 for fiscal 2022. The causal factors are disclosed above in the comparative table and discussion above.</w:t>
            </w:r>
            <w:r>
              <w:t xml:space="preserve"> </w:t>
            </w:r>
            <w:r>
              <w:t xml:space="preserve">At the end of fiscal 2023, Timberline Resources Corp has accumulated approximately $58.3 million and $22.9 million in federal and state net operating losses, respectively, which may enable us to generate like amounts in net income prior to incurring any significant income tax obligation. Federal net operating losses of $44.8 million will expire in various amounts from 2024 through 2038, while $13.5 million do not expire and the usage of these loss carryforwards is limited to 80% of taxable income. The state net operating losses will expire in fiscal years ending September 30, 2023 through September 30, 2043.</w:t>
            </w:r>
            <w:r>
              <w:t xml:space="preserve"> </w:t>
            </w:r>
            <w:r>
              <w:t xml:space="preserve">Additionally, BH Minerals has total federal net operating loss carryforwards of approximately $25.8 million, of which $15.8 million expire in fiscal years ending September 30, 2025 through September 30, 2038. Federal net operating loss carryforwards of $10.0 million will not expire and the usage of these loss carryforwards is limited to 80% of taxable income.</w:t>
            </w:r>
            <w:r>
              <w:t xml:space="preserve"> </w:t>
            </w:r>
            <w:r>
              <w:t xml:space="preserve">At September 30, 2022, the Company also has approximately $6.7 million in net operating loss carryforwards in Canada which will expire in fiscal years ending September 30, 2024 through September 30, 2032.</w:t>
            </w:r>
            <w:r>
              <w:t xml:space="preserve"> </w:t>
            </w:r>
            <w:r>
              <w:t xml:space="preserve">During the fiscal year ended September 30, 2023, we used cash of $161,302 from investing activities, compared with cash used by investment activities of $149,717 in fiscal 2022. During fiscal 2023, we paid $161,302 to purchase mineral rights. During fiscal 2022, we paid $209,770 to purchase mineral properties, while receiving a refund of reclamation bonds of $10,053, and a non-refundable payment per a memorandum of understanding for sale of mineral rights of $50,000.</w:t>
            </w:r>
            <w:r>
              <w:t xml:space="preserve"> </w:t>
            </w:r>
            <w:r>
              <w:t xml:space="preserve">During the fiscal year ended September 30, 2023, cash of $447,409 was provided by financing activities, compared to cash of $4,586,086 provided during the fiscal year ended September 30, 2022. For the fiscal year ended September 30, 2023, cash of $718,400 was provided through the sale of stock, net of offering costs, and we used $270,991 for payments of debt. This compares to cash of $4,439,587 provided through the sale of stock and warrants, net of offering costs and $146,499 was provided from exercise of warrants for the fiscal year ended September 30, 2022.</w:t>
            </w:r>
            <w:r>
              <w:t xml:space="preserve"> </w:t>
            </w:r>
            <w:r>
              <w:t xml:space="preserve">Going Concern:</w:t>
            </w:r>
            <w:r>
              <w:t xml:space="preserve"> </w:t>
            </w:r>
            <w:r>
              <w:t xml:space="preserve">These consolidated financial statements have been prepared on the basis that the Company will continue as going concern, which contemplates the realization of our assets and the settlement of our liabilities in the normal course of our operations. Disruptions in the credit and financial markets over the past several years have had a material adverse impact on a number of financial institutions and investors and have limited access to capital and credit for many companies. In addition, commodity prices and mining equities have seen significant volatility which increases the risk to precious metal investors. Market disruptions and alternative investment options, among other things, make it more difficult for us to obtain, or increase our cost of obtaining, capital and financing for our operations. Our access to additional capital may not be available on terms acceptable to us or at all. If we are unable to obtain financing through equity investments, we will seek multiple solutions including, but not limited to, asset sales, corporate transactions, credit facilities or debenture issuances in order to continue as a going concern.</w:t>
            </w:r>
            <w:r>
              <w:t xml:space="preserve"> </w:t>
            </w:r>
            <w:r>
              <w:t xml:space="preserve">69</w:t>
            </w:r>
            <w:r>
              <w:t xml:space="preserve"> </w:t>
            </w:r>
            <w:r>
              <w:t xml:space="preserve">Table of Contents</w:t>
            </w:r>
            <w:r>
              <w:t xml:space="preserve"> </w:t>
            </w:r>
            <w:r>
              <w:t xml:space="preserve">At September 30, 2023, we had negative working capital of $107,701. We have $214,055 outstanding in current liabilities and a cash balance of $98,224. As of the date of this Annual Report on Form 10-K, we do not have sufficient cash to meet our normal operating commitments for the next 12 months. Therefore, we expect to be required to engage in financial transactions to increase our cash balance or decrease our cash obligations in the near term. Such cash-raising efforts may include equity financings, corporate transactions, joint venture agreements, sales of assets, credit facilities or debenture issuances, or other strategic transactions.</w:t>
            </w:r>
            <w:r>
              <w:t xml:space="preserve"> </w:t>
            </w:r>
            <w:r>
              <w:t xml:space="preserve">The audit opinion and notes that accompany our consolidated financial statements for the year ended September 30, 2023 disclose a ‘going concern’ qualification to our ability to continue in business. The accompanying consolidated financial statements have been prepared under the assumption that we will continue as a going concern. We have incurred losses since our inception. We do not have sufficient cash to fund normal operations and meet all of our obligations for the next 12 months without deferring payment on certain current liabilities and/or raising additional funds. The consolidated financial statements do not include any adjustments that might be necessary should we be unable to continue as a going concern. We believe that the going concern condition cannot be removed with confidence until the Company has entered into a business climate where funding of its activities is more assured. If the going concern basis were not appropriate for these financial statements, adjustments would be necessary in the carrying value of assets and liabilities, the reported expenses and the balance sheet classifications used.</w:t>
            </w:r>
            <w:r>
              <w:t xml:space="preserve"> </w:t>
            </w:r>
            <w:r>
              <w:t xml:space="preserve">We plan, as funding allows, to follow up on our positive drill results on our Eureka and Paiute Projects. Principally, we plan to execute drilling as part of the ongoing exploration program at Eureka. Also, subject to available capital, we may continue prudent exploration programs on our material exploration properties and/or fund some exploratory activities on early-stage properties.</w:t>
            </w:r>
            <w:r>
              <w:t xml:space="preserve"> </w:t>
            </w:r>
            <w:r>
              <w:t xml:space="preserve">We will require additional funding and/or reductions in exploration and administrative expenditures in future periods. Given current economic conditions, we cannot provide assurance that necessary financing transactions will be available on terms acceptable to us, or at all. Without additional financing, we would have to curtail our exploration and other expenditures while we seek alternative funding arrangements to provide sufficient capital to meet our ongoing, non-discretionary expenditures, and maintain our primary mineral properties. If we cannot obtain sufficient additional financing, we may be unable to make required property payments on a timely basis and be forced to return some or all of our leased or optioned properties to the underlying owners.</w:t>
            </w:r>
            <w:r>
              <w:t xml:space="preserve"> </w:t>
            </w:r>
            <w:r>
              <w:t xml:space="preserve">Financing activities</w:t>
            </w:r>
            <w:r>
              <w:t xml:space="preserve"> </w:t>
            </w:r>
            <w:r>
              <w:t xml:space="preserve">Private Placements:</w:t>
            </w:r>
            <w:r>
              <w:t xml:space="preserve"> </w:t>
            </w:r>
            <w:r>
              <w:t xml:space="preserve">On August 30, 2023, we closed a non-brokered private placement of the Company to accredited investors at a price of $0.05 per unit. Units consist of one common share and one-half class O warrant shares. We issued 14,570,000 common shares for cash proceeds of $728,500. Finders fees in the amount of $10,100 were paid to licensed brokers and consultants in association with the offering. The warrants have a term of three years and are exercisable at $0.08 per common share.</w:t>
            </w:r>
            <w:r>
              <w:t xml:space="preserve"> </w:t>
            </w:r>
            <w:r>
              <w:t xml:space="preserve">On May 2, 2022, we closed a non-brokered private placement of the Company to accredited investors at a price of $0.25 per common share. We issued 18,933,705 common shares for cash proceeds of $4,733,426. Finders fees in the amount of $293,839 and 1,016,022 Series N Warrants were paid and issued, respectively, to licensed brokers and consultants in association with the offering. The warrants have a term of 18 months and are exercisable at $0.25 per common share.</w:t>
            </w:r>
            <w:r>
              <w:t xml:space="preserve"> </w:t>
            </w:r>
            <w:r>
              <w:t xml:space="preserve">The private placement offerings were completed under Rule 506(b) of Regulation D promulgated by the SEC under the Securities Act of 1933, as amended, solely to persons who qualified as accredited investors. Subscribers who were resident in Canada were required to qualify as accredited investors under Canadian National Instrument 45-106 Prospectus Exemptions.</w:t>
            </w:r>
            <w:r>
              <w:t xml:space="preserve"> </w:t>
            </w:r>
            <w:r>
              <w:t xml:space="preserve">Off-Balance Sheet Arrangements</w:t>
            </w:r>
            <w:r>
              <w:t xml:space="preserve"> </w:t>
            </w:r>
            <w:r>
              <w:t xml:space="preserve">We do not have any off-balance-sheet arrangements that are reasonably likely to have a current or future effect on our financial condition, revenues, results of operations, liquidity, or capital expenditures.</w:t>
            </w:r>
            <w:r>
              <w:t xml:space="preserve"> </w:t>
            </w:r>
            <w:r>
              <w:t xml:space="preserve">70</w:t>
            </w:r>
            <w:r>
              <w:t xml:space="preserve"> </w:t>
            </w:r>
            <w:r>
              <w:t xml:space="preserve">Table of Contents</w:t>
            </w:r>
            <w:r>
              <w:t xml:space="preserve"> </w:t>
            </w:r>
            <w:r>
              <w:t xml:space="preserve">Subsequent Events</w:t>
            </w:r>
            <w:r>
              <w:t xml:space="preserve"> </w:t>
            </w:r>
            <w:r>
              <w:t xml:space="preserve">On December 27, 2023, we closed a $630,000 non-brokered private placement offering of units of the Company at a price of $0.04 per unit solely to persons who qualify as accredited investors under Rule 506(b) of Regulation D under the Securities Act of 1933, as amended. Each unit consists of one share of our common stock and one four-year warrant, with each warrant exercisable to acquire one share of our common stock at a price of $0.06 per share. A total of 15,750,000 common shares and 15,750,000 warrants were issued.</w:t>
            </w:r>
            <w:r>
              <w:t xml:space="preserve"> </w:t>
            </w:r>
            <w:r>
              <w:t xml:space="preserve">Critical Accounting Policies and Estimates</w:t>
            </w:r>
            <w:r>
              <w:t xml:space="preserve"> </w:t>
            </w:r>
            <w:r>
              <w:t xml:space="preserve">See Note 2 to our consolidated financial statements contained in Item 8 of this Annual Report for a complete summary of the significant accounting policies used in the presentation of our financial statements. As described in Note 2, we are required to make estimates and assumptions that affect the reported amounts and related disclosures of assets, liabilities, revenue, and expenses. We believe that our most critical accounting estimates are related to asset impairments and asset retirement obligations.</w:t>
            </w:r>
            <w:r>
              <w:t xml:space="preserve"> </w:t>
            </w:r>
            <w:r>
              <w:t xml:space="preserve">Our critical accounting policies and estimates are as follows:</w:t>
            </w:r>
            <w:r>
              <w:t xml:space="preserve"> </w:t>
            </w:r>
            <w:r>
              <w:t xml:space="preserve">Asset Impairments</w:t>
            </w:r>
            <w:r>
              <w:t xml:space="preserve"> </w:t>
            </w:r>
            <w:r>
              <w:t xml:space="preserve">Significant property acquisition payments for active exploration properties and the fair value of equity instruments, including common shares and warrants, issued for properties are capitalized. The evaluation of our mineral properties for impairment is based on market conditions for minerals, underlying mineralized material associated with the properties, and future costs that may be required for ultimate realization through mining operations or by sale. If no mineable ore body is discovered, or market conditions for minerals deteriorate, there is the potential for a material adjustment to the value assigned to mineral properties.</w:t>
            </w:r>
            <w:r>
              <w:t xml:space="preserve"> </w:t>
            </w:r>
            <w:r>
              <w:t xml:space="preserve">We review the carrying value of long-lived assets for impairment whenever events and circumstances indicate that the carrying value of an asset may not be recoverable from the estimated future cash flows expected to result from its use and eventual disposition. In cases where undiscounted expected future cash flows are less than the carrying value, an impairment or abandonment loss is recognized equal to an amount by which the carrying value exceeds the fair value of the asset. The factors considered by management in performing this assessment include current operating results, trends and prospects, the manner in which the asset is used, and the effects of obsolescence, demand, competition, and other economic factors.</w:t>
            </w:r>
            <w:r>
              <w:t xml:space="preserve"> </w:t>
            </w:r>
            <w:r>
              <w:t xml:space="preserve">Asset Retirement Obligations</w:t>
            </w:r>
            <w:r>
              <w:t xml:space="preserve"> </w:t>
            </w:r>
            <w:r>
              <w:t xml:space="preserve">We have an obligation to reclaim our properties after the surface has been disturbed by exploration methods at the site. As a result, we have recorded a liability for the fair value of the reclamation costs we expect to incur in association with our Eureka Property. We estimate applicable inflation and credit-adjusted risk-free rates, as well as expected reclamation time frames. To the extent that the estimated reclamation costs change, such changes will impact future reclamation expense recorded. A liability is recognized for the present value of estimated environmental remediation (asset retirement obligation) in the period in which the liability is incurred, if a reasonable estimate of fair value can be made. The offsetting balance is charged to the related long-lived asset. Adjustments are made to the liability for changes resulting from passage of time and changes to either the timing or amount of the original present value estimate underlying the obligation.</w:t>
            </w:r>
          </w:p>
        </w:tc>
        <w:tc>
          <w:tcPr/>
          <w:p>
            <w:pPr>
              <w:pStyle w:val="Compact"/>
            </w:pPr>
            <w:r>
              <w:t xml:space="preserve">28679</w:t>
            </w:r>
          </w:p>
        </w:tc>
      </w:tr>
      <w:tr>
        <w:tc>
          <w:tcPr/>
          <w:p>
            <w:pPr>
              <w:pStyle w:val="Compact"/>
            </w:pPr>
            <w:r>
              <w:t xml:space="preserve">20240102_10-K_edgar_data_1827855_0001683168-24-000004.html</w:t>
            </w:r>
          </w:p>
        </w:tc>
        <w:tc>
          <w:tcPr/>
          <w:p>
            <w:pPr>
              <w:pStyle w:val="Compact"/>
            </w:pPr>
            <w:r>
              <w:t xml:space="preserve">..\data\SEC-10K-2024-HTML\20240102_10-K_edgar_data_1827855_0001683168-24-000004.html</w:t>
            </w:r>
          </w:p>
        </w:tc>
        <w:tc>
          <w:tcPr/>
          <w:p>
            <w:pPr>
              <w:pStyle w:val="Compact"/>
            </w:pPr>
            <w:r>
              <w:t xml:space="preserve">item_1</w:t>
            </w:r>
          </w:p>
        </w:tc>
        <w:tc>
          <w:tcPr/>
          <w:p>
            <w:pPr>
              <w:pStyle w:val="Compact"/>
            </w:pPr>
            <w:r>
              <w:t xml:space="preserve">Item 1. Description of Business.</w:t>
            </w:r>
            <w:r>
              <w:t xml:space="preserve"> </w:t>
            </w:r>
            <w:r>
              <w:t xml:space="preserve">GENERAL INFORMATION ABOUT OUR COMPANY</w:t>
            </w:r>
            <w:r>
              <w:t xml:space="preserve"> </w:t>
            </w:r>
            <w:r>
              <w:t xml:space="preserve">Medicale Corp (“we,” “our”</w:t>
            </w:r>
            <w:r>
              <w:t xml:space="preserve"> </w:t>
            </w:r>
            <w:r>
              <w:t xml:space="preserve">or the “Company”) was incorporated in the State of Nevada on August 17, 2020. To date we have not generated revenue from our</w:t>
            </w:r>
            <w:r>
              <w:t xml:space="preserve"> </w:t>
            </w:r>
            <w:r>
              <w:t xml:space="preserve">business operations. Furthermore, as we are still in the early stages of developing our business and expect to operate at a loss as we</w:t>
            </w:r>
            <w:r>
              <w:t xml:space="preserve"> </w:t>
            </w:r>
            <w:r>
              <w:t xml:space="preserve">grow our business. There is little historical financial information about our Company upon which to base an evaluation of our performance</w:t>
            </w:r>
            <w:r>
              <w:t xml:space="preserve"> </w:t>
            </w:r>
            <w:r>
              <w:t xml:space="preserve">or to make a decision regarding an investment in our shares. We cannot guarantee that we will be successful in our business operations</w:t>
            </w:r>
            <w:r>
              <w:t xml:space="preserve"> </w:t>
            </w:r>
            <w:r>
              <w:t xml:space="preserve">or that we will achieve significant, if any, level of market acceptance for our proposed business operations and products. Our business</w:t>
            </w:r>
            <w:r>
              <w:t xml:space="preserve"> </w:t>
            </w:r>
            <w:r>
              <w:t xml:space="preserve">could be subject to any or all of the problems, expenses, delays and risks inherent in the establishment of a new business enterprise,</w:t>
            </w:r>
            <w:r>
              <w:t xml:space="preserve"> </w:t>
            </w:r>
            <w:r>
              <w:t xml:space="preserve">including limited capital resources, possible changes in consumer interest, possible cost overruns due to price and cost increases in</w:t>
            </w:r>
            <w:r>
              <w:t xml:space="preserve"> </w:t>
            </w:r>
            <w:r>
              <w:t xml:space="preserve">services or products we require.</w:t>
            </w:r>
            <w:r>
              <w:t xml:space="preserve"> </w:t>
            </w:r>
            <w:r>
              <w:t xml:space="preserve">We have never been subject to any bankruptcy proceedings.</w:t>
            </w:r>
            <w:r>
              <w:t xml:space="preserve"> </w:t>
            </w:r>
            <w:r>
              <w:t xml:space="preserve">The principal place of business is now located at 9314 Forest Hill Blvd #929, Wellington, FL 33411. Our telephone number is (407)245-7339.</w:t>
            </w:r>
            <w:r>
              <w:t xml:space="preserve"> </w:t>
            </w:r>
            <w:r>
              <w:t xml:space="preserve">As of the date of this report, the Company had not</w:t>
            </w:r>
            <w:r>
              <w:t xml:space="preserve"> </w:t>
            </w:r>
            <w:r>
              <w:t xml:space="preserve">yet commenced any operations. All activity through the date of this report relates to preserving cash, attempting to raise capital, and</w:t>
            </w:r>
            <w:r>
              <w:t xml:space="preserve"> </w:t>
            </w:r>
            <w:r>
              <w:t xml:space="preserve">continuing the Company’s public reporting.</w:t>
            </w:r>
          </w:p>
        </w:tc>
        <w:tc>
          <w:tcPr/>
          <w:p>
            <w:pPr>
              <w:pStyle w:val="Compact"/>
            </w:pPr>
            <w:r>
              <w:t xml:space="preserve">1511</w:t>
            </w:r>
          </w:p>
        </w:tc>
      </w:tr>
      <w:tr>
        <w:tc>
          <w:tcPr/>
          <w:p>
            <w:pPr>
              <w:pStyle w:val="Compact"/>
            </w:pPr>
            <w:r>
              <w:t xml:space="preserve">20240102_10-K_edgar_data_1827855_0001683168-24-000004.html</w:t>
            </w:r>
          </w:p>
        </w:tc>
        <w:tc>
          <w:tcPr/>
          <w:p>
            <w:pPr>
              <w:pStyle w:val="Compact"/>
            </w:pPr>
            <w:r>
              <w:t xml:space="preserve">..\data\SEC-10K-2024-HTML\20240102_10-K_edgar_data_1827855_0001683168-24-000004.html</w:t>
            </w:r>
          </w:p>
        </w:tc>
        <w:tc>
          <w:tcPr/>
          <w:p>
            <w:pPr>
              <w:pStyle w:val="Compact"/>
            </w:pPr>
            <w:r>
              <w:t xml:space="preserve">item_7</w:t>
            </w:r>
          </w:p>
        </w:tc>
        <w:tc>
          <w:tcPr/>
          <w:p>
            <w:pPr>
              <w:pStyle w:val="Compact"/>
            </w:pPr>
            <w:r>
              <w:t xml:space="preserve">Item 7. Management’s Discussion and Analysis</w:t>
            </w:r>
            <w:r>
              <w:t xml:space="preserve"> </w:t>
            </w:r>
            <w:r>
              <w:t xml:space="preserve">of Financial Condition and Results of Operations.</w:t>
            </w:r>
            <w:r>
              <w:t xml:space="preserve"> </w:t>
            </w:r>
            <w:r>
              <w:t xml:space="preserve">We are a development stage corporation with limited</w:t>
            </w:r>
            <w:r>
              <w:t xml:space="preserve"> </w:t>
            </w:r>
            <w:r>
              <w:t xml:space="preserve">operations and no revenues from our business operations. Our auditors have issued a going concern opinion. This means that our auditors</w:t>
            </w:r>
            <w:r>
              <w:t xml:space="preserve"> </w:t>
            </w:r>
            <w:r>
              <w:t xml:space="preserve">believe there is substantial doubt that we can continue as an on-going business for the next twelve months. We do not anticipate that</w:t>
            </w:r>
            <w:r>
              <w:t xml:space="preserve"> </w:t>
            </w:r>
            <w:r>
              <w:t xml:space="preserve">we will generate significant revenues until we have raised the funds necessary to conduct a marketing program.</w:t>
            </w:r>
            <w:r>
              <w:t xml:space="preserve"> </w:t>
            </w:r>
            <w:r>
              <w:t xml:space="preserve">PLAN OF OPERATION</w:t>
            </w:r>
            <w:r>
              <w:t xml:space="preserve"> </w:t>
            </w:r>
            <w:r>
              <w:t xml:space="preserve">FISCAL YEAR ENDED SEPTEMBER 30, 2023 COMPARED TO FISCAL</w:t>
            </w:r>
            <w:r>
              <w:t xml:space="preserve"> </w:t>
            </w:r>
            <w:r>
              <w:t xml:space="preserve">YEAR ENDED SEPTEMBER 30, 2023.</w:t>
            </w:r>
            <w:r>
              <w:t xml:space="preserve"> </w:t>
            </w:r>
            <w:r>
              <w:t xml:space="preserve">Our net loss for the fiscal year ended September 30,</w:t>
            </w:r>
            <w:r>
              <w:t xml:space="preserve"> </w:t>
            </w:r>
            <w:r>
              <w:t xml:space="preserve">2023 was $37,138 compared to a net loss of $46,419 during the fiscal year ended September 30, 2022. In September 30, 2023 and September</w:t>
            </w:r>
            <w:r>
              <w:t xml:space="preserve"> </w:t>
            </w:r>
            <w:r>
              <w:t xml:space="preserve">30, 2022 the Company had generated $445 and Nil respectively.</w:t>
            </w:r>
            <w:r>
              <w:t xml:space="preserve"> </w:t>
            </w:r>
            <w:r>
              <w:t xml:space="preserve">All revenue generated by the Company was done so by</w:t>
            </w:r>
            <w:r>
              <w:t xml:space="preserve"> </w:t>
            </w:r>
            <w:r>
              <w:t xml:space="preserve">operations that have been discontinued.</w:t>
            </w:r>
            <w:r>
              <w:t xml:space="preserve"> </w:t>
            </w:r>
            <w:r>
              <w:t xml:space="preserve">Expenses incurred were $37,593 during fiscal year</w:t>
            </w:r>
            <w:r>
              <w:t xml:space="preserve"> </w:t>
            </w:r>
            <w:r>
              <w:t xml:space="preserve">ended September 30, 2023 compared to $44,019 during fiscal year ended September 30, 2022. Expenses increased due to the Company’s</w:t>
            </w:r>
            <w:r>
              <w:t xml:space="preserve"> </w:t>
            </w:r>
            <w:r>
              <w:t xml:space="preserve">operational activities.</w:t>
            </w:r>
            <w:r>
              <w:t xml:space="preserve"> </w:t>
            </w:r>
            <w:r>
              <w:t xml:space="preserve">The number of shares outstanding was 5,920,000</w:t>
            </w:r>
            <w:r>
              <w:t xml:space="preserve"> </w:t>
            </w:r>
            <w:r>
              <w:t xml:space="preserve">for the fiscal year ended September 30, 2023 and September 30, 2022.</w:t>
            </w:r>
            <w:r>
              <w:t xml:space="preserve"> </w:t>
            </w:r>
            <w:r>
              <w:t xml:space="preserve">2</w:t>
            </w:r>
            <w:r>
              <w:t xml:space="preserve"> </w:t>
            </w:r>
            <w:r>
              <w:t xml:space="preserve">LIQUIDITY AND CAPITAL RESOURCES</w:t>
            </w:r>
            <w:r>
              <w:t xml:space="preserve"> </w:t>
            </w:r>
            <w:r>
              <w:t xml:space="preserve">FISCAL YEAR ENDED September 30, 2023 and 2022.</w:t>
            </w:r>
            <w:r>
              <w:t xml:space="preserve"> </w:t>
            </w:r>
            <w:r>
              <w:t xml:space="preserve">As of September 30, 2023, our total assets were $159.</w:t>
            </w:r>
            <w:r>
              <w:t xml:space="preserve"> </w:t>
            </w:r>
            <w:r>
              <w:t xml:space="preserve">As of September 30, 2022, our total assets were $0.</w:t>
            </w:r>
            <w:r>
              <w:t xml:space="preserve"> </w:t>
            </w:r>
            <w:r>
              <w:t xml:space="preserve">Cash Flows from Operating Activities</w:t>
            </w:r>
            <w:r>
              <w:t xml:space="preserve"> </w:t>
            </w:r>
            <w:r>
              <w:t xml:space="preserve">We have not generated positive cash flows from operating</w:t>
            </w:r>
            <w:r>
              <w:t xml:space="preserve"> </w:t>
            </w:r>
            <w:r>
              <w:t xml:space="preserve">activities. For the fiscal year ended September 30, 2023, net cash flows used in operating activities was $25,739. For the fiscal year</w:t>
            </w:r>
            <w:r>
              <w:t xml:space="preserve"> </w:t>
            </w:r>
            <w:r>
              <w:t xml:space="preserve">ended September 30, 2022, net cash flows used in operating activities was $24,619.</w:t>
            </w:r>
            <w:r>
              <w:t xml:space="preserve"> </w:t>
            </w:r>
            <w:r>
              <w:t xml:space="preserve">Cash Flows from Investing Activities</w:t>
            </w:r>
            <w:r>
              <w:t xml:space="preserve"> </w:t>
            </w:r>
            <w:r>
              <w:t xml:space="preserve">We have not generated cash flows from investing activities</w:t>
            </w:r>
            <w:r>
              <w:t xml:space="preserve"> </w:t>
            </w:r>
            <w:r>
              <w:t xml:space="preserve">for the fiscal years ended September 30, 2023, and 2022.</w:t>
            </w:r>
            <w:r>
              <w:t xml:space="preserve"> </w:t>
            </w:r>
            <w:r>
              <w:t xml:space="preserve">Cash Flows from Financing Activities</w:t>
            </w:r>
            <w:r>
              <w:t xml:space="preserve"> </w:t>
            </w:r>
            <w:r>
              <w:t xml:space="preserve">We have financed our operations primarily from either</w:t>
            </w:r>
            <w:r>
              <w:t xml:space="preserve"> </w:t>
            </w:r>
            <w:r>
              <w:t xml:space="preserve">advances from our sole executive or the issuance of equity. For the fiscal year ended September 30, 2023, net cash provided by financing</w:t>
            </w:r>
            <w:r>
              <w:t xml:space="preserve"> </w:t>
            </w:r>
            <w:r>
              <w:t xml:space="preserve">activities was $25,898. For the fiscal year ended September 30, 2022, net cash from financing activities was $6,144.</w:t>
            </w:r>
            <w:r>
              <w:t xml:space="preserve"> </w:t>
            </w:r>
            <w:r>
              <w:t xml:space="preserve">OFF-BALANCE SHEET ARRANGEMENTS</w:t>
            </w:r>
            <w:r>
              <w:t xml:space="preserve"> </w:t>
            </w:r>
            <w:r>
              <w:t xml:space="preserve">We have no off-balance sheet arrangements that have</w:t>
            </w:r>
            <w:r>
              <w:t xml:space="preserve"> </w:t>
            </w:r>
            <w:r>
              <w:t xml:space="preserve">or are reasonably likely to have a current or future effect on our financial condition, changes in financial condition, revenues or expenses,</w:t>
            </w:r>
            <w:r>
              <w:t xml:space="preserve"> </w:t>
            </w:r>
            <w:r>
              <w:t xml:space="preserve">results of operations, liquidity, capital expenditures or capital resources.</w:t>
            </w:r>
            <w:r>
              <w:t xml:space="preserve"> </w:t>
            </w:r>
            <w:r>
              <w:t xml:space="preserve">GOING CONCERN</w:t>
            </w:r>
            <w:r>
              <w:t xml:space="preserve"> </w:t>
            </w:r>
            <w:r>
              <w:t xml:space="preserve">There is no historical financial information about</w:t>
            </w:r>
            <w:r>
              <w:t xml:space="preserve"> </w:t>
            </w:r>
            <w:r>
              <w:t xml:space="preserve">us upon which to base an evaluation of our performance. We are in start-up stage operations and have not generated any revenues. We cannot</w:t>
            </w:r>
            <w:r>
              <w:t xml:space="preserve"> </w:t>
            </w:r>
            <w:r>
              <w:t xml:space="preserve">guarantee we will be successful in our business operations. Our business is subject to risks inherent in the establishment of a new business</w:t>
            </w:r>
            <w:r>
              <w:t xml:space="preserve"> </w:t>
            </w:r>
            <w:r>
              <w:t xml:space="preserve">enterprise, including limited capital resources and possible cost overruns due to price and cost increases in services and products.</w:t>
            </w:r>
            <w:r>
              <w:t xml:space="preserve"> </w:t>
            </w:r>
            <w:r>
              <w:t xml:space="preserve">We have no assurance that future financing will be</w:t>
            </w:r>
            <w:r>
              <w:t xml:space="preserve"> </w:t>
            </w:r>
            <w:r>
              <w:t xml:space="preserve">available to us on acceptable terms. If financing is not available on satisfactory terms, we may be unable to continue, develop or expand</w:t>
            </w:r>
            <w:r>
              <w:t xml:space="preserve"> </w:t>
            </w:r>
            <w:r>
              <w:t xml:space="preserve">our operations. Equity financing could result in additional dilution to existing shareholders.</w:t>
            </w:r>
            <w:r>
              <w:t xml:space="preserve"> </w:t>
            </w:r>
            <w:r>
              <w:t xml:space="preserve">The extent of the impact of the coronavirus (“COVID-19”)</w:t>
            </w:r>
            <w:r>
              <w:t xml:space="preserve"> </w:t>
            </w:r>
            <w:r>
              <w:t xml:space="preserve">outbreak on the financial performance of the Company will depend on future developments, including the duration and spread of the outbreak</w:t>
            </w:r>
            <w:r>
              <w:t xml:space="preserve"> </w:t>
            </w:r>
            <w:r>
              <w:t xml:space="preserve">and related advisories and restrictions and the impact of COVID-19 on the overall economy, all of which are highly uncertain and cannot</w:t>
            </w:r>
            <w:r>
              <w:t xml:space="preserve"> </w:t>
            </w:r>
            <w:r>
              <w:t xml:space="preserve">be predicted. If the overall economy is impacted for an extended period, the Company’s future operating results may be materially</w:t>
            </w:r>
            <w:r>
              <w:t xml:space="preserve"> </w:t>
            </w:r>
            <w:r>
              <w:t xml:space="preserve">adversely affected.</w:t>
            </w:r>
            <w:r>
              <w:t xml:space="preserve"> </w:t>
            </w:r>
            <w:r>
              <w:t xml:space="preserve">3</w:t>
            </w:r>
            <w:r>
              <w:t xml:space="preserve"> </w:t>
            </w:r>
            <w:r>
              <w:t xml:space="preserve">Critical Accounting Policies</w:t>
            </w:r>
            <w:r>
              <w:t xml:space="preserve"> </w:t>
            </w:r>
            <w:r>
              <w:t xml:space="preserve">The discussion and analysis of our financial condition</w:t>
            </w:r>
            <w:r>
              <w:t xml:space="preserve"> </w:t>
            </w:r>
            <w:r>
              <w:t xml:space="preserve">and results of operations are based upon our financial statements, which have been prepared in accordance with the accounting principles</w:t>
            </w:r>
            <w:r>
              <w:t xml:space="preserve"> </w:t>
            </w:r>
            <w:r>
              <w:t xml:space="preserve">generally accepted in the United States of America. Preparing financial statements requires management to make estimates and assumptions</w:t>
            </w:r>
            <w:r>
              <w:t xml:space="preserve"> </w:t>
            </w:r>
            <w:r>
              <w:t xml:space="preserve">that affect the reported amounts of assets, liabilities, and expenses. These estimates and assumptions are affected by management’s</w:t>
            </w:r>
            <w:r>
              <w:t xml:space="preserve"> </w:t>
            </w:r>
            <w:r>
              <w:t xml:space="preserve">application of accounting policies. We believe that understanding the basis and nature of the estimates and assumptions involved with</w:t>
            </w:r>
            <w:r>
              <w:t xml:space="preserve"> </w:t>
            </w:r>
            <w:r>
              <w:t xml:space="preserve">the following aspects of our financial statements is critical to an understanding of our financial statements.</w:t>
            </w:r>
            <w:r>
              <w:t xml:space="preserve"> </w:t>
            </w:r>
            <w:r>
              <w:t xml:space="preserve">Use of Estimates</w:t>
            </w:r>
            <w:r>
              <w:t xml:space="preserve"> </w:t>
            </w:r>
            <w:r>
              <w:t xml:space="preserve">The preparation of financial statements in conformity</w:t>
            </w:r>
            <w:r>
              <w:t xml:space="preserve"> </w:t>
            </w:r>
            <w:r>
              <w:t xml:space="preserve">with accounting principles generally accepted in the United States of America requires management to make estimates and assumptions that</w:t>
            </w:r>
            <w:r>
              <w:t xml:space="preserve"> </w:t>
            </w:r>
            <w:r>
              <w:t xml:space="preserve">affect the reported amounts of assets and liabilities and disclosure of contingent assets and liabilities at the date of the financial</w:t>
            </w:r>
            <w:r>
              <w:t xml:space="preserve"> </w:t>
            </w:r>
            <w:r>
              <w:t xml:space="preserve">statements. The estimates and judgments will also affect the reported amounts for certain expenses during the reporting period. Actual</w:t>
            </w:r>
            <w:r>
              <w:t xml:space="preserve"> </w:t>
            </w:r>
            <w:r>
              <w:t xml:space="preserve">results could differ from these good faith estimates and judgments.</w:t>
            </w:r>
          </w:p>
        </w:tc>
        <w:tc>
          <w:tcPr/>
          <w:p>
            <w:pPr>
              <w:pStyle w:val="Compact"/>
            </w:pPr>
            <w:r>
              <w:t xml:space="preserve">5263</w:t>
            </w:r>
          </w:p>
        </w:tc>
      </w:tr>
    </w:tbl>
    <w:bookmarkEnd w:id="44"/>
    <w:p>
      <w:pPr>
        <w:pStyle w:val="BodyText"/>
      </w:pPr>
      <w:r>
        <w:t xml:space="preserve">Save it:</w:t>
      </w:r>
    </w:p>
    <w:p>
      <w:pPr>
        <w:pStyle w:val="SourceCode"/>
      </w:pPr>
      <w:r>
        <w:rPr>
          <w:rStyle w:val="NormalTok"/>
        </w:rPr>
        <w:t xml:space="preserve">df_long.to_csv(OUTPUT_DIR </w:t>
      </w:r>
      <w:r>
        <w:rPr>
          <w:rStyle w:val="OperatorTok"/>
        </w:rPr>
        <w:t xml:space="preserve">/</w:t>
      </w:r>
      <w:r>
        <w:rPr>
          <w:rStyle w:val="NormalTok"/>
        </w:rPr>
        <w:t xml:space="preserve"> </w:t>
      </w:r>
      <w:r>
        <w:rPr>
          <w:rStyle w:val="StringTok"/>
        </w:rPr>
        <w:t xml:space="preserve">"sec_10k_2024_sections_long.csv"</w:t>
      </w:r>
      <w:r>
        <w:rPr>
          <w:rStyle w:val="NormalTok"/>
        </w:rPr>
        <w:t xml:space="preserve">, index</w:t>
      </w:r>
      <w:r>
        <w:rPr>
          <w:rStyle w:val="OperatorTok"/>
        </w:rPr>
        <w:t xml:space="preserve">=</w:t>
      </w:r>
      <w:r>
        <w:rPr>
          <w:rStyle w:val="VariableTok"/>
        </w:rPr>
        <w:t xml:space="preserve">False</w:t>
      </w:r>
      <w:r>
        <w:rPr>
          <w:rStyle w:val="NormalTok"/>
        </w:rPr>
        <w:t xml:space="preserve">)</w:t>
      </w:r>
    </w:p>
    <w:bookmarkEnd w:id="45"/>
    <w:bookmarkEnd w:id="46"/>
    <w:bookmarkStart w:id="56" w:name="sentence-splitting-and-chunking"/>
    <w:p>
      <w:pPr>
        <w:pStyle w:val="Heading1"/>
      </w:pPr>
      <w:r>
        <w:t xml:space="preserve">5. Sentence splitting and chunking</w:t>
      </w:r>
    </w:p>
    <w:p>
      <w:pPr>
        <w:pStyle w:val="FirstParagraph"/>
      </w:pPr>
      <w:r>
        <w:t xml:space="preserve">For SEC filings, I would avoid overly naive splitting like</w:t>
      </w:r>
      <w:r>
        <w:t xml:space="preserve"> </w:t>
      </w:r>
      <w:r>
        <w:rPr>
          <w:rStyle w:val="VerbatimChar"/>
        </w:rPr>
        <w:t xml:space="preserve">text.split('.')</w:t>
      </w:r>
      <w:r>
        <w:t xml:space="preserve"> </w:t>
      </w:r>
      <w:r>
        <w:t xml:space="preserve">because it breaks badly on abbreviations, dollar amounts, and formatting. A good practical option is</w:t>
      </w:r>
      <w:r>
        <w:t xml:space="preserve"> </w:t>
      </w:r>
      <w:r>
        <w:rPr>
          <w:rStyle w:val="VerbatimChar"/>
        </w:rPr>
        <w:t xml:space="preserve">nltk.sent_tokenize</w:t>
      </w:r>
      <w:r>
        <w:t xml:space="preserve">.</w:t>
      </w:r>
    </w:p>
    <w:bookmarkStart w:id="49" w:name="sentence-splitting"/>
    <w:p>
      <w:pPr>
        <w:pStyle w:val="Heading2"/>
      </w:pPr>
      <w:r>
        <w:t xml:space="preserve">5.1 Sentence splitting</w:t>
      </w:r>
    </w:p>
    <w:p>
      <w:pPr>
        <w:pStyle w:val="FirstParagraph"/>
      </w:pPr>
      <w:r>
        <w:t xml:space="preserve">We still split into sentences first, because sentences are the best building blocks for rolling retrieval windows.</w:t>
      </w:r>
    </w:p>
    <w:p>
      <w:pPr>
        <w:pStyle w:val="SourceCode"/>
      </w:pPr>
      <w:r>
        <w:rPr>
          <w:rStyle w:val="ImportTok"/>
        </w:rPr>
        <w:t xml:space="preserve">import</w:t>
      </w:r>
      <w:r>
        <w:rPr>
          <w:rStyle w:val="NormalTok"/>
        </w:rPr>
        <w:t xml:space="preserve"> nltk</w:t>
      </w:r>
      <w:r>
        <w:br/>
      </w:r>
      <w:r>
        <w:rPr>
          <w:rStyle w:val="ImportTok"/>
        </w:rPr>
        <w:t xml:space="preserve">import</w:t>
      </w:r>
      <w:r>
        <w:rPr>
          <w:rStyle w:val="NormalTok"/>
        </w:rPr>
        <w:t xml:space="preserve"> re</w:t>
      </w:r>
      <w:r>
        <w:br/>
      </w:r>
      <w:r>
        <w:br/>
      </w:r>
      <w:r>
        <w:rPr>
          <w:rStyle w:val="NormalTok"/>
        </w:rPr>
        <w:t xml:space="preserve">nltk.download(</w:t>
      </w:r>
      <w:r>
        <w:rPr>
          <w:rStyle w:val="StringTok"/>
        </w:rPr>
        <w:t xml:space="preserve">"punkt"</w:t>
      </w:r>
      <w:r>
        <w:rPr>
          <w:rStyle w:val="NormalTok"/>
        </w:rPr>
        <w:t xml:space="preserve">)</w:t>
      </w:r>
      <w:r>
        <w:br/>
      </w:r>
      <w:r>
        <w:rPr>
          <w:rStyle w:val="NormalTok"/>
        </w:rPr>
        <w:t xml:space="preserve">nltk.download(</w:t>
      </w:r>
      <w:r>
        <w:rPr>
          <w:rStyle w:val="StringTok"/>
        </w:rPr>
        <w:t xml:space="preserve">"punkt_tab"</w:t>
      </w:r>
      <w:r>
        <w:rPr>
          <w:rStyle w:val="NormalTok"/>
        </w:rPr>
        <w:t xml:space="preserve">)</w:t>
      </w:r>
      <w:r>
        <w:br/>
      </w:r>
      <w:r>
        <w:br/>
      </w:r>
      <w:r>
        <w:rPr>
          <w:rStyle w:val="ImportTok"/>
        </w:rPr>
        <w:t xml:space="preserve">from</w:t>
      </w:r>
      <w:r>
        <w:rPr>
          <w:rStyle w:val="NormalTok"/>
        </w:rPr>
        <w:t xml:space="preserve"> nltk.tokenize </w:t>
      </w:r>
      <w:r>
        <w:rPr>
          <w:rStyle w:val="ImportTok"/>
        </w:rPr>
        <w:t xml:space="preserve">import</w:t>
      </w:r>
      <w:r>
        <w:rPr>
          <w:rStyle w:val="NormalTok"/>
        </w:rPr>
        <w:t xml:space="preserve"> sent_tokenize</w:t>
      </w:r>
      <w:r>
        <w:br/>
      </w:r>
      <w:r>
        <w:br/>
      </w:r>
      <w:r>
        <w:rPr>
          <w:rStyle w:val="KeywordTok"/>
        </w:rPr>
        <w:t xml:space="preserve">def</w:t>
      </w:r>
      <w:r>
        <w:rPr>
          <w:rStyle w:val="NormalTok"/>
        </w:rPr>
        <w:t xml:space="preserve"> clean_sentence(text: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Light cleanup for sentence text extracted from SEC filings.</w:t>
      </w:r>
      <w:r>
        <w:br/>
      </w:r>
      <w:r>
        <w:rPr>
          <w:rStyle w:val="CommentTok"/>
        </w:rPr>
        <w:t xml:space="preserve">    """</w:t>
      </w:r>
      <w:r>
        <w:br/>
      </w:r>
      <w:r>
        <w:rPr>
          <w:rStyle w:val="NormalTok"/>
        </w:rPr>
        <w:t xml:space="preserve">    text </w:t>
      </w:r>
      <w:r>
        <w:rPr>
          <w:rStyle w:val="OperatorTok"/>
        </w:rPr>
        <w:t xml:space="preserve">=</w:t>
      </w:r>
      <w:r>
        <w:rPr>
          <w:rStyle w:val="NormalTok"/>
        </w:rPr>
        <w:t xml:space="preserve"> </w:t>
      </w:r>
      <w:r>
        <w:rPr>
          <w:rStyle w:val="BuiltInTok"/>
        </w:rPr>
        <w:t xml:space="preserve">str</w:t>
      </w:r>
      <w:r>
        <w:rPr>
          <w:rStyle w:val="NormalTok"/>
        </w:rPr>
        <w:t xml:space="preserve">(text)</w:t>
      </w:r>
      <w:r>
        <w:br/>
      </w:r>
      <w:r>
        <w:rPr>
          <w:rStyle w:val="NormalTok"/>
        </w:rPr>
        <w:t xml:space="preserve">    text </w:t>
      </w:r>
      <w:r>
        <w:rPr>
          <w:rStyle w:val="OperatorTok"/>
        </w:rPr>
        <w:t xml:space="preserve">=</w:t>
      </w:r>
      <w:r>
        <w:rPr>
          <w:rStyle w:val="NormalTok"/>
        </w:rPr>
        <w:t xml:space="preserve"> text.replace(</w:t>
      </w:r>
      <w:r>
        <w:rPr>
          <w:rStyle w:val="StringTok"/>
        </w:rPr>
        <w:t xml:space="preserve">"</w:t>
      </w:r>
      <w:r>
        <w:rPr>
          <w:rStyle w:val="CharTok"/>
        </w:rPr>
        <w:t xml:space="preserve">\xa0</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text)</w:t>
      </w:r>
      <w:r>
        <w:br/>
      </w:r>
      <w:r>
        <w:rPr>
          <w:rStyle w:val="NormalTok"/>
        </w:rPr>
        <w:t xml:space="preserve">    </w:t>
      </w:r>
      <w:r>
        <w:rPr>
          <w:rStyle w:val="ControlFlowTok"/>
        </w:rPr>
        <w:t xml:space="preserve">return</w:t>
      </w:r>
      <w:r>
        <w:rPr>
          <w:rStyle w:val="NormalTok"/>
        </w:rPr>
        <w:t xml:space="preserve"> text.strip()</w:t>
      </w:r>
    </w:p>
    <w:p>
      <w:pPr>
        <w:pStyle w:val="SourceCode"/>
      </w:pPr>
      <w:r>
        <w:rPr>
          <w:rStyle w:val="VerbatimChar"/>
        </w:rPr>
        <w:t xml:space="preserve">[nltk_data] Downloading package punkt to</w:t>
      </w:r>
      <w:r>
        <w:br/>
      </w:r>
      <w:r>
        <w:rPr>
          <w:rStyle w:val="VerbatimChar"/>
        </w:rPr>
        <w:t xml:space="preserve">[nltk_data]     C:\Users\nakul\AppData\Roaming\nltk_data...</w:t>
      </w:r>
      <w:r>
        <w:br/>
      </w:r>
      <w:r>
        <w:rPr>
          <w:rStyle w:val="VerbatimChar"/>
        </w:rPr>
        <w:t xml:space="preserve">[nltk_data]   Package punkt is already up-to-date!</w:t>
      </w:r>
      <w:r>
        <w:br/>
      </w:r>
      <w:r>
        <w:rPr>
          <w:rStyle w:val="VerbatimChar"/>
        </w:rPr>
        <w:t xml:space="preserve">[nltk_data] Downloading package punkt_tab to</w:t>
      </w:r>
      <w:r>
        <w:br/>
      </w:r>
      <w:r>
        <w:rPr>
          <w:rStyle w:val="VerbatimChar"/>
        </w:rPr>
        <w:t xml:space="preserve">[nltk_data]     C:\Users\nakul\AppData\Roaming\nltk_data...</w:t>
      </w:r>
      <w:r>
        <w:br/>
      </w:r>
      <w:r>
        <w:rPr>
          <w:rStyle w:val="VerbatimChar"/>
        </w:rPr>
        <w:t xml:space="preserve">[nltk_data]   Package punkt_tab is already up-to-date!</w:t>
      </w:r>
    </w:p>
    <w:p>
      <w:pPr>
        <w:pStyle w:val="FirstParagraph"/>
      </w:pPr>
      <w:r>
        <w:t xml:space="preserve">While we are extracting the sentences lets also check for Sentence quality. We can filter out very short sentences and obvious noise like</w:t>
      </w:r>
      <w:r>
        <w:t xml:space="preserve"> </w:t>
      </w:r>
      <w:r>
        <w:t xml:space="preserve">“Table of Contents”</w:t>
      </w:r>
      <w:r>
        <w:t xml:space="preserve"> </w:t>
      </w:r>
      <w:r>
        <w:t xml:space="preserve">or</w:t>
      </w:r>
      <w:r>
        <w:t xml:space="preserve"> </w:t>
      </w:r>
      <w:r>
        <w:t xml:space="preserve">“Item 1”</w:t>
      </w:r>
      <w:r>
        <w:t xml:space="preserve">. This will help improve the quality of our later chunks and embeddings.</w:t>
      </w:r>
    </w:p>
    <w:p>
      <w:pPr>
        <w:pStyle w:val="SourceCode"/>
      </w:pPr>
      <w:r>
        <w:rPr>
          <w:rStyle w:val="KeywordTok"/>
        </w:rPr>
        <w:t xml:space="preserve">def</w:t>
      </w:r>
      <w:r>
        <w:rPr>
          <w:rStyle w:val="NormalTok"/>
        </w:rPr>
        <w:t xml:space="preserve"> is_valid_sentence(text: </w:t>
      </w:r>
      <w:r>
        <w:rPr>
          <w:rStyle w:val="BuiltInTok"/>
        </w:rPr>
        <w:t xml:space="preserve">str</w:t>
      </w:r>
      <w:r>
        <w:rPr>
          <w:rStyle w:val="NormalTok"/>
        </w:rPr>
        <w:t xml:space="preserve">, min_chars: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Filter obvious noise and very short artifacts.</w:t>
      </w:r>
      <w:r>
        <w:br/>
      </w:r>
      <w:r>
        <w:rPr>
          <w:rStyle w:val="CommentTok"/>
        </w:rPr>
        <w:t xml:space="preserve">    """</w:t>
      </w:r>
      <w:r>
        <w:br/>
      </w:r>
      <w:r>
        <w:rPr>
          <w:rStyle w:val="NormalTok"/>
        </w:rPr>
        <w:t xml:space="preserve">    text </w:t>
      </w:r>
      <w:r>
        <w:rPr>
          <w:rStyle w:val="OperatorTok"/>
        </w:rPr>
        <w:t xml:space="preserve">=</w:t>
      </w:r>
      <w:r>
        <w:rPr>
          <w:rStyle w:val="NormalTok"/>
        </w:rPr>
        <w:t xml:space="preserve"> </w:t>
      </w:r>
      <w:r>
        <w:rPr>
          <w:rStyle w:val="BuiltInTok"/>
        </w:rPr>
        <w:t xml:space="preserve">str</w:t>
      </w:r>
      <w:r>
        <w:rPr>
          <w:rStyle w:val="NormalTok"/>
        </w:rPr>
        <w:t xml:space="preserve">(text).strip()</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(text) </w:t>
      </w:r>
      <w:r>
        <w:rPr>
          <w:rStyle w:val="OperatorTok"/>
        </w:rPr>
        <w:t xml:space="preserve">&lt;</w:t>
      </w:r>
      <w:r>
        <w:rPr>
          <w:rStyle w:val="NormalTok"/>
        </w:rPr>
        <w:t xml:space="preserve"> min_chars: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lowered </w:t>
      </w:r>
      <w:r>
        <w:rPr>
          <w:rStyle w:val="OperatorTok"/>
        </w:rPr>
        <w:t xml:space="preserve">=</w:t>
      </w:r>
      <w:r>
        <w:rPr>
          <w:rStyle w:val="NormalTok"/>
        </w:rPr>
        <w:t xml:space="preserve"> text.lower()</w:t>
      </w:r>
      <w:r>
        <w:br/>
      </w:r>
      <w:r>
        <w:rPr>
          <w:rStyle w:val="NormalTok"/>
        </w:rPr>
        <w:t xml:space="preserve">    bad_values </w:t>
      </w:r>
      <w:r>
        <w:rPr>
          <w:rStyle w:val="OperatorTok"/>
        </w:rPr>
        <w:t xml:space="preserve">=</w:t>
      </w:r>
      <w:r>
        <w:rPr>
          <w:rStyle w:val="NormalTok"/>
        </w:rPr>
        <w:t xml:space="preserve"> {</w:t>
      </w:r>
      <w:r>
        <w:br/>
      </w:r>
      <w:r>
        <w:rPr>
          <w:rStyle w:val="NormalTok"/>
        </w:rPr>
        <w:t xml:space="preserve">        </w:t>
      </w:r>
      <w:r>
        <w:rPr>
          <w:rStyle w:val="StringTok"/>
        </w:rPr>
        <w:t xml:space="preserve">"table of contents"</w:t>
      </w:r>
      <w:r>
        <w:rPr>
          <w:rStyle w:val="NormalTok"/>
        </w:rPr>
        <w:t xml:space="preserve">,</w:t>
      </w:r>
      <w:r>
        <w:br/>
      </w:r>
      <w:r>
        <w:rPr>
          <w:rStyle w:val="NormalTok"/>
        </w:rPr>
        <w:t xml:space="preserve">        </w:t>
      </w:r>
      <w:r>
        <w:rPr>
          <w:rStyle w:val="StringTok"/>
        </w:rPr>
        <w:t xml:space="preserve">"item 1"</w:t>
      </w:r>
      <w:r>
        <w:rPr>
          <w:rStyle w:val="NormalTok"/>
        </w:rPr>
        <w:t xml:space="preserve">,</w:t>
      </w:r>
      <w:r>
        <w:br/>
      </w:r>
      <w:r>
        <w:rPr>
          <w:rStyle w:val="NormalTok"/>
        </w:rPr>
        <w:t xml:space="preserve">        </w:t>
      </w:r>
      <w:r>
        <w:rPr>
          <w:rStyle w:val="StringTok"/>
        </w:rPr>
        <w:t xml:space="preserve">"item 1a"</w:t>
      </w:r>
      <w:r>
        <w:rPr>
          <w:rStyle w:val="NormalTok"/>
        </w:rPr>
        <w:t xml:space="preserve">,</w:t>
      </w:r>
      <w:r>
        <w:br/>
      </w:r>
      <w:r>
        <w:rPr>
          <w:rStyle w:val="NormalTok"/>
        </w:rPr>
        <w:t xml:space="preserve">        </w:t>
      </w:r>
      <w:r>
        <w:rPr>
          <w:rStyle w:val="StringTok"/>
        </w:rPr>
        <w:t xml:space="preserve">"item 7"</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lowered </w:t>
      </w:r>
      <w:r>
        <w:rPr>
          <w:rStyle w:val="KeywordTok"/>
        </w:rPr>
        <w:t xml:space="preserve">in</w:t>
      </w:r>
      <w:r>
        <w:rPr>
          <w:rStyle w:val="NormalTok"/>
        </w:rPr>
        <w:t xml:space="preserve"> bad_values: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p>
    <w:bookmarkStart w:id="48" w:name="build-sentence-level-dataframe"/>
    <w:p>
      <w:pPr>
        <w:pStyle w:val="Heading3"/>
      </w:pPr>
      <w:r>
        <w:t xml:space="preserve">5.1.1 Build sentence-level dataframe</w:t>
      </w:r>
    </w:p>
    <w:p>
      <w:pPr>
        <w:pStyle w:val="Compact"/>
        <w:numPr>
          <w:ilvl w:val="0"/>
          <w:numId w:val="1013"/>
        </w:numPr>
      </w:pPr>
      <w:r>
        <w:t xml:space="preserve">Define the function signature: Create a function that takes the long‑form dataframe as input and returns a sentence‑level dataframe.</w:t>
      </w:r>
    </w:p>
    <w:p>
      <w:pPr>
        <w:pStyle w:val="Compact"/>
        <w:numPr>
          <w:ilvl w:val="1"/>
          <w:numId w:val="1014"/>
        </w:numPr>
      </w:pPr>
      <w:r>
        <w:t xml:space="preserve">Name it something like</w:t>
      </w:r>
      <w:r>
        <w:t xml:space="preserve"> </w:t>
      </w:r>
      <w:r>
        <w:rPr>
          <w:rStyle w:val="VerbatimChar"/>
        </w:rPr>
        <w:t xml:space="preserve">extract_sentences(df_long)</w:t>
      </w:r>
      <w:r>
        <w:t xml:space="preserve">.</w:t>
      </w:r>
    </w:p>
    <w:p>
      <w:pPr>
        <w:pStyle w:val="Compact"/>
        <w:numPr>
          <w:ilvl w:val="1"/>
          <w:numId w:val="1014"/>
        </w:numPr>
      </w:pPr>
      <w:r>
        <w:t xml:space="preserve">The function should return a new DataFrame with one row per sentence.</w:t>
      </w:r>
    </w:p>
    <w:p>
      <w:pPr>
        <w:pStyle w:val="Compact"/>
        <w:numPr>
          <w:ilvl w:val="0"/>
          <w:numId w:val="1013"/>
        </w:numPr>
      </w:pPr>
      <w:r>
        <w:t xml:space="preserve">Initialize a list to collect sentence rows. Inside the function:</w:t>
      </w:r>
    </w:p>
    <w:p>
      <w:pPr>
        <w:pStyle w:val="Compact"/>
        <w:numPr>
          <w:ilvl w:val="1"/>
          <w:numId w:val="1015"/>
        </w:numPr>
      </w:pPr>
      <w:r>
        <w:t xml:space="preserve">Create an empty list:</w:t>
      </w:r>
      <w:r>
        <w:t xml:space="preserve"> </w:t>
      </w:r>
      <w:r>
        <w:rPr>
          <w:rStyle w:val="VerbatimChar"/>
        </w:rPr>
        <w:t xml:space="preserve">sentence_rows = []</w:t>
      </w:r>
    </w:p>
    <w:p>
      <w:pPr>
        <w:pStyle w:val="Compact"/>
        <w:numPr>
          <w:ilvl w:val="1"/>
          <w:numId w:val="1015"/>
        </w:numPr>
      </w:pPr>
      <w:r>
        <w:t xml:space="preserve">This will store dictionaries, one per sentence.</w:t>
      </w:r>
    </w:p>
    <w:p>
      <w:pPr>
        <w:pStyle w:val="Compact"/>
        <w:numPr>
          <w:ilvl w:val="0"/>
          <w:numId w:val="1013"/>
        </w:numPr>
      </w:pPr>
      <w:r>
        <w:t xml:space="preserve">Loop over each row of the long dataframe. For each row in</w:t>
      </w:r>
      <w:r>
        <w:t xml:space="preserve"> </w:t>
      </w:r>
      <w:r>
        <w:rPr>
          <w:rStyle w:val="VerbatimChar"/>
        </w:rPr>
        <w:t xml:space="preserve">df_long</w:t>
      </w:r>
      <w:r>
        <w:t xml:space="preserve">:</w:t>
      </w:r>
    </w:p>
    <w:p>
      <w:pPr>
        <w:pStyle w:val="Compact"/>
        <w:numPr>
          <w:ilvl w:val="1"/>
          <w:numId w:val="1016"/>
        </w:numPr>
      </w:pPr>
      <w:r>
        <w:t xml:space="preserve">Access:</w:t>
      </w:r>
    </w:p>
    <w:p>
      <w:pPr>
        <w:pStyle w:val="Compact"/>
        <w:numPr>
          <w:ilvl w:val="2"/>
          <w:numId w:val="1017"/>
        </w:numPr>
      </w:pPr>
      <w:r>
        <w:rPr>
          <w:rStyle w:val="VerbatimChar"/>
        </w:rPr>
        <w:t xml:space="preserve">file_name</w:t>
      </w:r>
    </w:p>
    <w:p>
      <w:pPr>
        <w:pStyle w:val="Compact"/>
        <w:numPr>
          <w:ilvl w:val="2"/>
          <w:numId w:val="1017"/>
        </w:numPr>
      </w:pPr>
      <w:r>
        <w:rPr>
          <w:rStyle w:val="VerbatimChar"/>
        </w:rPr>
        <w:t xml:space="preserve">file_path</w:t>
      </w:r>
    </w:p>
    <w:p>
      <w:pPr>
        <w:pStyle w:val="Compact"/>
        <w:numPr>
          <w:ilvl w:val="2"/>
          <w:numId w:val="1017"/>
        </w:numPr>
      </w:pPr>
      <w:r>
        <w:rPr>
          <w:rStyle w:val="VerbatimChar"/>
        </w:rPr>
        <w:t xml:space="preserve">section_name</w:t>
      </w:r>
    </w:p>
    <w:p>
      <w:pPr>
        <w:pStyle w:val="Compact"/>
        <w:numPr>
          <w:ilvl w:val="2"/>
          <w:numId w:val="1017"/>
        </w:numPr>
      </w:pPr>
      <w:r>
        <w:rPr>
          <w:rStyle w:val="VerbatimChar"/>
        </w:rPr>
        <w:t xml:space="preserve">section_text</w:t>
      </w:r>
    </w:p>
    <w:p>
      <w:pPr>
        <w:pStyle w:val="Compact"/>
        <w:numPr>
          <w:ilvl w:val="1"/>
          <w:numId w:val="1016"/>
        </w:numPr>
      </w:pPr>
      <w:r>
        <w:t xml:space="preserve">Use</w:t>
      </w:r>
      <w:r>
        <w:t xml:space="preserve"> </w:t>
      </w:r>
      <w:r>
        <w:rPr>
          <w:rStyle w:val="VerbatimChar"/>
        </w:rPr>
        <w:t xml:space="preserve">iterrows()</w:t>
      </w:r>
      <w:r>
        <w:t xml:space="preserve"> </w:t>
      </w:r>
      <w:r>
        <w:t xml:space="preserve">or</w:t>
      </w:r>
      <w:r>
        <w:t xml:space="preserve"> </w:t>
      </w:r>
      <w:r>
        <w:rPr>
          <w:rStyle w:val="VerbatimChar"/>
        </w:rPr>
        <w:t xml:space="preserve">itertuples()</w:t>
      </w:r>
      <w:r>
        <w:t xml:space="preserve">.</w:t>
      </w:r>
    </w:p>
    <w:p>
      <w:pPr>
        <w:pStyle w:val="Compact"/>
        <w:numPr>
          <w:ilvl w:val="0"/>
          <w:numId w:val="1013"/>
        </w:numPr>
      </w:pPr>
      <w:r>
        <w:t xml:space="preserve">Split the section text into sentences. For each row:</w:t>
      </w:r>
    </w:p>
    <w:p>
      <w:pPr>
        <w:pStyle w:val="Compact"/>
        <w:numPr>
          <w:ilvl w:val="1"/>
          <w:numId w:val="1018"/>
        </w:numPr>
      </w:pPr>
      <w:r>
        <w:t xml:space="preserve">Use</w:t>
      </w:r>
      <w:r>
        <w:t xml:space="preserve"> </w:t>
      </w:r>
      <w:r>
        <w:rPr>
          <w:rStyle w:val="VerbatimChar"/>
        </w:rPr>
        <w:t xml:space="preserve">sent_tokenize(row["section_text"])</w:t>
      </w:r>
      <w:r>
        <w:br/>
      </w:r>
    </w:p>
    <w:p>
      <w:pPr>
        <w:pStyle w:val="Compact"/>
        <w:numPr>
          <w:ilvl w:val="1"/>
          <w:numId w:val="1018"/>
        </w:numPr>
      </w:pPr>
      <w:r>
        <w:t xml:space="preserve">Store the result in a list called</w:t>
      </w:r>
      <w:r>
        <w:t xml:space="preserve"> </w:t>
      </w:r>
      <w:r>
        <w:rPr>
          <w:rStyle w:val="VerbatimChar"/>
        </w:rPr>
        <w:t xml:space="preserve">sentences</w:t>
      </w:r>
      <w:r>
        <w:t xml:space="preserve">.</w:t>
      </w:r>
    </w:p>
    <w:p>
      <w:pPr>
        <w:pStyle w:val="Compact"/>
        <w:numPr>
          <w:ilvl w:val="0"/>
          <w:numId w:val="1013"/>
        </w:numPr>
      </w:pPr>
      <w:r>
        <w:t xml:space="preserve">Initialize a sentence counter. Before looping through sentences:</w:t>
      </w:r>
    </w:p>
    <w:p>
      <w:pPr>
        <w:pStyle w:val="Compact"/>
        <w:numPr>
          <w:ilvl w:val="1"/>
          <w:numId w:val="1019"/>
        </w:numPr>
      </w:pPr>
      <w:r>
        <w:t xml:space="preserve">Set</w:t>
      </w:r>
      <w:r>
        <w:t xml:space="preserve"> </w:t>
      </w:r>
      <w:r>
        <w:rPr>
          <w:rStyle w:val="VerbatimChar"/>
        </w:rPr>
        <w:t xml:space="preserve">sent_num = 0</w:t>
      </w:r>
      <w:r>
        <w:br/>
      </w:r>
    </w:p>
    <w:p>
      <w:pPr>
        <w:pStyle w:val="Compact"/>
        <w:numPr>
          <w:ilvl w:val="1"/>
          <w:numId w:val="1019"/>
        </w:numPr>
      </w:pPr>
      <w:r>
        <w:t xml:space="preserve">This will track sentence order within the section.</w:t>
      </w:r>
    </w:p>
    <w:p>
      <w:pPr>
        <w:pStyle w:val="Compact"/>
        <w:numPr>
          <w:ilvl w:val="0"/>
          <w:numId w:val="1013"/>
        </w:numPr>
      </w:pPr>
      <w:r>
        <w:t xml:space="preserve">Loop through each sentence. For each sentence in</w:t>
      </w:r>
      <w:r>
        <w:t xml:space="preserve"> </w:t>
      </w:r>
      <w:r>
        <w:rPr>
          <w:rStyle w:val="VerbatimChar"/>
        </w:rPr>
        <w:t xml:space="preserve">sentences</w:t>
      </w:r>
      <w:r>
        <w:t xml:space="preserve">:</w:t>
      </w:r>
    </w:p>
    <w:p>
      <w:pPr>
        <w:pStyle w:val="Compact"/>
        <w:numPr>
          <w:ilvl w:val="1"/>
          <w:numId w:val="1020"/>
        </w:numPr>
      </w:pPr>
      <w:r>
        <w:t xml:space="preserve">Clean the sentence</w:t>
      </w:r>
    </w:p>
    <w:p>
      <w:pPr>
        <w:pStyle w:val="Compact"/>
        <w:numPr>
          <w:ilvl w:val="2"/>
          <w:numId w:val="1021"/>
        </w:numPr>
      </w:pPr>
      <w:r>
        <w:t xml:space="preserve">Call</w:t>
      </w:r>
      <w:r>
        <w:t xml:space="preserve"> </w:t>
      </w:r>
      <w:r>
        <w:rPr>
          <w:rStyle w:val="VerbatimChar"/>
        </w:rPr>
        <w:t xml:space="preserve">clean_sentence(sent)</w:t>
      </w:r>
      <w:r>
        <w:br/>
      </w:r>
    </w:p>
    <w:p>
      <w:pPr>
        <w:pStyle w:val="Compact"/>
        <w:numPr>
          <w:ilvl w:val="2"/>
          <w:numId w:val="1021"/>
        </w:numPr>
      </w:pPr>
      <w:r>
        <w:t xml:space="preserve">This should remove whitespace, normalize characters, etc.</w:t>
      </w:r>
    </w:p>
    <w:p>
      <w:pPr>
        <w:pStyle w:val="Compact"/>
        <w:numPr>
          <w:ilvl w:val="1"/>
          <w:numId w:val="1020"/>
        </w:numPr>
      </w:pPr>
      <w:r>
        <w:t xml:space="preserve">Validate the cleaned sentence</w:t>
      </w:r>
    </w:p>
    <w:p>
      <w:pPr>
        <w:pStyle w:val="Compact"/>
        <w:numPr>
          <w:ilvl w:val="2"/>
          <w:numId w:val="1022"/>
        </w:numPr>
      </w:pPr>
      <w:r>
        <w:t xml:space="preserve">Call</w:t>
      </w:r>
      <w:r>
        <w:t xml:space="preserve"> </w:t>
      </w:r>
      <w:r>
        <w:rPr>
          <w:rStyle w:val="VerbatimChar"/>
        </w:rPr>
        <w:t xml:space="preserve">is_valid_sentence(sent_clean)</w:t>
      </w:r>
      <w:r>
        <w:br/>
      </w:r>
    </w:p>
    <w:p>
      <w:pPr>
        <w:pStyle w:val="Compact"/>
        <w:numPr>
          <w:ilvl w:val="2"/>
          <w:numId w:val="1022"/>
        </w:numPr>
      </w:pPr>
      <w:r>
        <w:t xml:space="preserve">Skip the sentence if it fails validation.</w:t>
      </w:r>
    </w:p>
    <w:p>
      <w:pPr>
        <w:pStyle w:val="Compact"/>
        <w:numPr>
          <w:ilvl w:val="1"/>
          <w:numId w:val="1020"/>
        </w:numPr>
      </w:pPr>
      <w:r>
        <w:t xml:space="preserve">Increment the sentence counter</w:t>
      </w:r>
    </w:p>
    <w:p>
      <w:pPr>
        <w:pStyle w:val="Compact"/>
        <w:numPr>
          <w:ilvl w:val="2"/>
          <w:numId w:val="1023"/>
        </w:numPr>
      </w:pPr>
      <w:r>
        <w:rPr>
          <w:rStyle w:val="VerbatimChar"/>
        </w:rPr>
        <w:t xml:space="preserve">sent_num += 1</w:t>
      </w:r>
    </w:p>
    <w:p>
      <w:pPr>
        <w:pStyle w:val="Compact"/>
        <w:numPr>
          <w:ilvl w:val="0"/>
          <w:numId w:val="1013"/>
        </w:numPr>
      </w:pPr>
      <w:r>
        <w:t xml:space="preserve">Build a dictionary for each valid sentence. Append a dictionary with the following keys:</w:t>
      </w:r>
    </w:p>
    <w:p>
      <w:pPr>
        <w:pStyle w:val="Compact"/>
        <w:numPr>
          <w:ilvl w:val="1"/>
          <w:numId w:val="1024"/>
        </w:numPr>
      </w:pPr>
      <w:r>
        <w:rPr>
          <w:rStyle w:val="VerbatimChar"/>
        </w:rPr>
        <w:t xml:space="preserve">"file_name"</w:t>
      </w:r>
    </w:p>
    <w:p>
      <w:pPr>
        <w:pStyle w:val="Compact"/>
        <w:numPr>
          <w:ilvl w:val="1"/>
          <w:numId w:val="1024"/>
        </w:numPr>
      </w:pPr>
      <w:r>
        <w:rPr>
          <w:rStyle w:val="VerbatimChar"/>
        </w:rPr>
        <w:t xml:space="preserve">"file_path"</w:t>
      </w:r>
    </w:p>
    <w:p>
      <w:pPr>
        <w:pStyle w:val="Compact"/>
        <w:numPr>
          <w:ilvl w:val="1"/>
          <w:numId w:val="1024"/>
        </w:numPr>
      </w:pPr>
      <w:r>
        <w:rPr>
          <w:rStyle w:val="VerbatimChar"/>
        </w:rPr>
        <w:t xml:space="preserve">"section_name"</w:t>
      </w:r>
    </w:p>
    <w:p>
      <w:pPr>
        <w:pStyle w:val="Compact"/>
        <w:numPr>
          <w:ilvl w:val="1"/>
          <w:numId w:val="1024"/>
        </w:numPr>
      </w:pPr>
      <w:r>
        <w:rPr>
          <w:rStyle w:val="VerbatimChar"/>
        </w:rPr>
        <w:t xml:space="preserve">"sentence_number"</w:t>
      </w:r>
      <w:r>
        <w:t xml:space="preserve"> </w:t>
      </w:r>
      <w:r>
        <w:t xml:space="preserve">→ the counter</w:t>
      </w:r>
    </w:p>
    <w:p>
      <w:pPr>
        <w:pStyle w:val="Compact"/>
        <w:numPr>
          <w:ilvl w:val="1"/>
          <w:numId w:val="1024"/>
        </w:numPr>
      </w:pPr>
      <w:r>
        <w:rPr>
          <w:rStyle w:val="VerbatimChar"/>
        </w:rPr>
        <w:t xml:space="preserve">"sentence_id"</w:t>
      </w:r>
      <w:r>
        <w:t xml:space="preserve"> </w:t>
      </w:r>
      <w:r>
        <w:t xml:space="preserve">→ formatted as</w:t>
      </w:r>
      <w:r>
        <w:t xml:space="preserve"> </w:t>
      </w:r>
      <w:r>
        <w:rPr>
          <w:rStyle w:val="VerbatimChar"/>
        </w:rPr>
        <w:t xml:space="preserve">"{file_name}::{section_name}::s{sent_num}"</w:t>
      </w:r>
    </w:p>
    <w:p>
      <w:pPr>
        <w:pStyle w:val="Compact"/>
        <w:numPr>
          <w:ilvl w:val="1"/>
          <w:numId w:val="1024"/>
        </w:numPr>
      </w:pPr>
      <w:r>
        <w:rPr>
          <w:rStyle w:val="VerbatimChar"/>
        </w:rPr>
        <w:t xml:space="preserve">"sentence_text"</w:t>
      </w:r>
      <w:r>
        <w:t xml:space="preserve"> </w:t>
      </w:r>
      <w:r>
        <w:t xml:space="preserve">→ the cleaned sentence</w:t>
      </w:r>
    </w:p>
    <w:p>
      <w:pPr>
        <w:pStyle w:val="Compact"/>
        <w:numPr>
          <w:ilvl w:val="1"/>
          <w:numId w:val="1024"/>
        </w:numPr>
      </w:pPr>
      <w:r>
        <w:rPr>
          <w:rStyle w:val="VerbatimChar"/>
        </w:rPr>
        <w:t xml:space="preserve">"sentence_length_chars"</w:t>
      </w:r>
      <w:r>
        <w:t xml:space="preserve"> </w:t>
      </w:r>
      <w:r>
        <w:t xml:space="preserve">→</w:t>
      </w:r>
      <w:r>
        <w:t xml:space="preserve"> </w:t>
      </w:r>
      <w:r>
        <w:rPr>
          <w:rStyle w:val="VerbatimChar"/>
        </w:rPr>
        <w:t xml:space="preserve">len(sent_clean)</w:t>
      </w:r>
    </w:p>
    <w:p>
      <w:pPr>
        <w:pStyle w:val="Compact"/>
        <w:numPr>
          <w:ilvl w:val="1"/>
          <w:numId w:val="1024"/>
        </w:numPr>
      </w:pPr>
      <w:r>
        <w:t xml:space="preserve">Add this dictionary to</w:t>
      </w:r>
      <w:r>
        <w:t xml:space="preserve"> </w:t>
      </w:r>
      <w:r>
        <w:rPr>
          <w:rStyle w:val="VerbatimChar"/>
        </w:rPr>
        <w:t xml:space="preserve">sentence_rows</w:t>
      </w:r>
      <w:r>
        <w:t xml:space="preserve">.</w:t>
      </w:r>
    </w:p>
    <w:p>
      <w:pPr>
        <w:pStyle w:val="Compact"/>
        <w:numPr>
          <w:ilvl w:val="0"/>
          <w:numId w:val="1013"/>
        </w:numPr>
      </w:pPr>
      <w:r>
        <w:t xml:space="preserve">Convert the list of dictionaries into a DataFrame. After the loops finish:</w:t>
      </w:r>
    </w:p>
    <w:p>
      <w:pPr>
        <w:pStyle w:val="Compact"/>
        <w:numPr>
          <w:ilvl w:val="1"/>
          <w:numId w:val="1025"/>
        </w:numPr>
      </w:pPr>
      <w:r>
        <w:rPr>
          <w:rStyle w:val="VerbatimChar"/>
        </w:rPr>
        <w:t xml:space="preserve">df_sentences = pd.DataFrame(sentence_rows)</w:t>
      </w:r>
    </w:p>
    <w:p>
      <w:pPr>
        <w:pStyle w:val="Compact"/>
        <w:numPr>
          <w:ilvl w:val="0"/>
          <w:numId w:val="1013"/>
        </w:numPr>
      </w:pPr>
      <w:r>
        <w:t xml:space="preserve">Return the final DataFrame. The last line of the function should be:</w:t>
      </w:r>
    </w:p>
    <w:p>
      <w:pPr>
        <w:pStyle w:val="Compact"/>
        <w:numPr>
          <w:ilvl w:val="1"/>
          <w:numId w:val="1026"/>
        </w:numPr>
      </w:pPr>
      <w:r>
        <w:rPr>
          <w:rStyle w:val="VerbatimChar"/>
        </w:rPr>
        <w:t xml:space="preserve">return df_sentences</w:t>
      </w:r>
    </w:p>
    <w:p>
      <w:pPr>
        <w:pStyle w:val="SourceCode"/>
      </w:pPr>
      <w:r>
        <w:rPr>
          <w:rStyle w:val="NormalTok"/>
        </w:rPr>
        <w:t xml:space="preserve">sentence_rows </w:t>
      </w:r>
      <w:r>
        <w:rPr>
          <w:rStyle w:val="OperatorTok"/>
        </w:rPr>
        <w:t xml:space="preserve">=</w:t>
      </w:r>
      <w:r>
        <w:rPr>
          <w:rStyle w:val="NormalTok"/>
        </w:rPr>
        <w:t xml:space="preserve"> []</w:t>
      </w:r>
      <w:r>
        <w:br/>
      </w:r>
      <w:r>
        <w:br/>
      </w:r>
      <w:r>
        <w:rPr>
          <w:rStyle w:val="ControlFlowTok"/>
        </w:rPr>
        <w:t xml:space="preserve">for</w:t>
      </w:r>
      <w:r>
        <w:rPr>
          <w:rStyle w:val="NormalTok"/>
        </w:rPr>
        <w:t xml:space="preserve"> _, row </w:t>
      </w:r>
      <w:r>
        <w:rPr>
          <w:rStyle w:val="KeywordTok"/>
        </w:rPr>
        <w:t xml:space="preserve">in</w:t>
      </w:r>
      <w:r>
        <w:rPr>
          <w:rStyle w:val="NormalTok"/>
        </w:rPr>
        <w:t xml:space="preserve"> df_long.iterrows():</w:t>
      </w:r>
      <w:r>
        <w:br/>
      </w:r>
      <w:r>
        <w:rPr>
          <w:rStyle w:val="NormalTok"/>
        </w:rPr>
        <w:t xml:space="preserve">    sentences </w:t>
      </w:r>
      <w:r>
        <w:rPr>
          <w:rStyle w:val="OperatorTok"/>
        </w:rPr>
        <w:t xml:space="preserve">=</w:t>
      </w:r>
      <w:r>
        <w:rPr>
          <w:rStyle w:val="NormalTok"/>
        </w:rPr>
        <w:t xml:space="preserve"> sent_tokenize(row[</w:t>
      </w:r>
      <w:r>
        <w:rPr>
          <w:rStyle w:val="StringTok"/>
        </w:rPr>
        <w:t xml:space="preserve">" "</w:t>
      </w:r>
      <w:r>
        <w:rPr>
          <w:rStyle w:val="NormalTok"/>
        </w:rPr>
        <w:t xml:space="preserve">])</w:t>
      </w:r>
      <w:r>
        <w:br/>
      </w:r>
      <w:r>
        <w:br/>
      </w:r>
      <w:r>
        <w:rPr>
          <w:rStyle w:val="NormalTok"/>
        </w:rPr>
        <w:t xml:space="preserve">    sent_num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sent </w:t>
      </w:r>
      <w:r>
        <w:rPr>
          <w:rStyle w:val="KeywordTok"/>
        </w:rPr>
        <w:t xml:space="preserve">in</w:t>
      </w:r>
      <w:r>
        <w:rPr>
          <w:rStyle w:val="NormalTok"/>
        </w:rPr>
        <w:t xml:space="preserve"> sentences:</w:t>
      </w:r>
      <w:r>
        <w:br/>
      </w:r>
      <w:r>
        <w:rPr>
          <w:rStyle w:val="NormalTok"/>
        </w:rPr>
        <w:t xml:space="preserve">        sent_clean </w:t>
      </w:r>
      <w:r>
        <w:rPr>
          <w:rStyle w:val="OperatorTok"/>
        </w:rPr>
        <w:t xml:space="preserve">=</w:t>
      </w:r>
      <w:r>
        <w:rPr>
          <w:rStyle w:val="NormalTok"/>
        </w:rPr>
        <w:t xml:space="preserve"> clean_sentence(sent)</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is_valid_sentence(sent_clean):</w:t>
      </w:r>
      <w:r>
        <w:br/>
      </w:r>
      <w:r>
        <w:rPr>
          <w:rStyle w:val="NormalTok"/>
        </w:rPr>
        <w:t xml:space="preserve">            </w:t>
      </w:r>
      <w:r>
        <w:rPr>
          <w:rStyle w:val="ControlFlowTok"/>
        </w:rPr>
        <w:t xml:space="preserve">continue</w:t>
      </w:r>
      <w:r>
        <w:br/>
      </w:r>
      <w:r>
        <w:br/>
      </w:r>
      <w:r>
        <w:rPr>
          <w:rStyle w:val="NormalTok"/>
        </w:rPr>
        <w:t xml:space="preserve">        sent_num </w:t>
      </w:r>
      <w:r>
        <w:rPr>
          <w:rStyle w:val="OperatorTok"/>
        </w:rPr>
        <w:t xml:space="preserve">+=</w:t>
      </w:r>
      <w:r>
        <w:rPr>
          <w:rStyle w:val="NormalTok"/>
        </w:rPr>
        <w:t xml:space="preserve"> </w:t>
      </w:r>
      <w:r>
        <w:rPr>
          <w:rStyle w:val="DecValTok"/>
        </w:rPr>
        <w:t xml:space="preserve">1</w:t>
      </w:r>
      <w:r>
        <w:br/>
      </w:r>
      <w:r>
        <w:br/>
      </w:r>
      <w:r>
        <w:rPr>
          <w:rStyle w:val="NormalTok"/>
        </w:rPr>
        <w:t xml:space="preserve">        sentence_rows.append({</w:t>
      </w:r>
      <w:r>
        <w:br/>
      </w:r>
      <w:r>
        <w:rPr>
          <w:rStyle w:val="NormalTok"/>
        </w:rPr>
        <w:t xml:space="preserve">        </w:t>
      </w:r>
      <w:r>
        <w:rPr>
          <w:rStyle w:val="CommentTok"/>
        </w:rPr>
        <w:t xml:space="preserve">## Fill the dictionary with the appropriate values from row and the cleaned sentence</w:t>
      </w:r>
      <w:r>
        <w:br/>
      </w:r>
      <w:r>
        <w:rPr>
          <w:rStyle w:val="NormalTok"/>
        </w:rPr>
        <w:t xml:space="preserve">        })</w:t>
      </w:r>
      <w:r>
        <w:br/>
      </w:r>
      <w:r>
        <w:br/>
      </w:r>
      <w:r>
        <w:rPr>
          <w:rStyle w:val="NormalTok"/>
        </w:rPr>
        <w:t xml:space="preserve">df_sentences </w:t>
      </w:r>
      <w:r>
        <w:rPr>
          <w:rStyle w:val="OperatorTok"/>
        </w:rPr>
        <w:t xml:space="preserve">=</w:t>
      </w:r>
      <w:r>
        <w:rPr>
          <w:rStyle w:val="NormalTok"/>
        </w:rPr>
        <w:t xml:space="preserve"> pd.DataFrame(sentence_rows)</w:t>
      </w:r>
      <w:r>
        <w:br/>
      </w:r>
      <w:r>
        <w:br/>
      </w:r>
      <w:r>
        <w:rPr>
          <w:rStyle w:val="BuiltInTok"/>
        </w:rPr>
        <w:t xml:space="preserve">print</w:t>
      </w:r>
      <w:r>
        <w:rPr>
          <w:rStyle w:val="NormalTok"/>
        </w:rPr>
        <w:t xml:space="preserve">(df_sentences.shape)</w:t>
      </w:r>
      <w:r>
        <w:br/>
      </w:r>
      <w:r>
        <w:rPr>
          <w:rStyle w:val="NormalTok"/>
        </w:rPr>
        <w:t xml:space="preserve">df_sentences.head().style.hide(axis</w:t>
      </w:r>
      <w:r>
        <w:rPr>
          <w:rStyle w:val="OperatorTok"/>
        </w:rPr>
        <w:t xml:space="preserve">=</w:t>
      </w:r>
      <w:r>
        <w:rPr>
          <w:rStyle w:val="StringTok"/>
        </w:rPr>
        <w:t xml:space="preserve">"index"</w:t>
      </w:r>
      <w:r>
        <w:rPr>
          <w:rStyle w:val="NormalTok"/>
        </w:rPr>
        <w:t xml:space="preserve">)</w:t>
      </w:r>
    </w:p>
    <w:p>
      <w:pPr>
        <w:pStyle w:val="SourceCode"/>
      </w:pPr>
      <w:r>
        <w:rPr>
          <w:rStyle w:val="VerbatimChar"/>
        </w:rPr>
        <w:t xml:space="preserve">(13544, 7)</w:t>
      </w:r>
    </w:p>
    <w:bookmarkStart w:id="47" w:name="T_56153"/>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file_name</w:t>
            </w:r>
          </w:p>
        </w:tc>
        <w:tc>
          <w:tcPr/>
          <w:p>
            <w:pPr>
              <w:pStyle w:val="Compact"/>
            </w:pPr>
            <w:r>
              <w:t xml:space="preserve">file_path</w:t>
            </w:r>
          </w:p>
        </w:tc>
        <w:tc>
          <w:tcPr/>
          <w:p>
            <w:pPr>
              <w:pStyle w:val="Compact"/>
            </w:pPr>
            <w:r>
              <w:t xml:space="preserve">section_name</w:t>
            </w:r>
          </w:p>
        </w:tc>
        <w:tc>
          <w:tcPr/>
          <w:p>
            <w:pPr>
              <w:pStyle w:val="Compact"/>
            </w:pPr>
            <w:r>
              <w:t xml:space="preserve">sentence_number</w:t>
            </w:r>
          </w:p>
        </w:tc>
        <w:tc>
          <w:tcPr/>
          <w:p>
            <w:pPr>
              <w:pStyle w:val="Compact"/>
            </w:pPr>
            <w:r>
              <w:t xml:space="preserve">sentence_id</w:t>
            </w:r>
          </w:p>
        </w:tc>
        <w:tc>
          <w:tcPr/>
          <w:p>
            <w:pPr>
              <w:pStyle w:val="Compact"/>
            </w:pPr>
            <w:r>
              <w:t xml:space="preserve">sentence_text</w:t>
            </w:r>
          </w:p>
        </w:tc>
        <w:tc>
          <w:tcPr/>
          <w:p>
            <w:pPr>
              <w:pStyle w:val="Compact"/>
            </w:pPr>
            <w:r>
              <w:t xml:space="preserve">sentence_length_chars</w:t>
            </w:r>
          </w:p>
        </w:tc>
      </w:tr>
      <w:tr>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1</w:t>
            </w:r>
          </w:p>
        </w:tc>
        <w:tc>
          <w:tcPr/>
          <w:p>
            <w:pPr>
              <w:pStyle w:val="Compact"/>
            </w:pPr>
            <w:r>
              <w:t xml:space="preserve">20240102_10-K_edgar_data_1288750_0001654954-24-000069.html::item_1::s1</w:t>
            </w:r>
          </w:p>
        </w:tc>
        <w:tc>
          <w:tcPr/>
          <w:p>
            <w:pPr>
              <w:pStyle w:val="Compact"/>
            </w:pPr>
            <w:r>
              <w:t xml:space="preserve">DESCRIPTION OF BUSINESS Incorporation and Early History We were incorporated in the State of Idaho in August 1968 under the name Silver Crystal Mines, Inc., to engage in the business of exploring for precious metal deposits and advancing them toward production.</w:t>
            </w:r>
          </w:p>
        </w:tc>
        <w:tc>
          <w:tcPr/>
          <w:p>
            <w:pPr>
              <w:pStyle w:val="Compact"/>
            </w:pPr>
            <w:r>
              <w:t xml:space="preserve">261</w:t>
            </w:r>
          </w:p>
        </w:tc>
      </w:tr>
      <w:tr>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2</w:t>
            </w:r>
          </w:p>
        </w:tc>
        <w:tc>
          <w:tcPr/>
          <w:p>
            <w:pPr>
              <w:pStyle w:val="Compact"/>
            </w:pPr>
            <w:r>
              <w:t xml:space="preserve">20240102_10-K_edgar_data_1288750_0001654954-24-000069.html::item_1::s2</w:t>
            </w:r>
          </w:p>
        </w:tc>
        <w:tc>
          <w:tcPr/>
          <w:p>
            <w:pPr>
              <w:pStyle w:val="Compact"/>
            </w:pPr>
            <w:r>
              <w:t xml:space="preserve">We ceased exploration activities during the 1990’s and became virtually inactive.</w:t>
            </w:r>
          </w:p>
        </w:tc>
        <w:tc>
          <w:tcPr/>
          <w:p>
            <w:pPr>
              <w:pStyle w:val="Compact"/>
            </w:pPr>
            <w:r>
              <w:t xml:space="preserve">81</w:t>
            </w:r>
          </w:p>
        </w:tc>
      </w:tr>
      <w:tr>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3</w:t>
            </w:r>
          </w:p>
        </w:tc>
        <w:tc>
          <w:tcPr/>
          <w:p>
            <w:pPr>
              <w:pStyle w:val="Compact"/>
            </w:pPr>
            <w:r>
              <w:t xml:space="preserve">20240102_10-K_edgar_data_1288750_0001654954-24-000069.html::item_1::s3</w:t>
            </w:r>
          </w:p>
        </w:tc>
        <w:tc>
          <w:tcPr/>
          <w:p>
            <w:pPr>
              <w:pStyle w:val="Compact"/>
            </w:pPr>
            <w:r>
              <w:t xml:space="preserve">In December 2003, a group of investors purchased 80-percent of the issued and outstanding common stock from the then-controlling management team.</w:t>
            </w:r>
          </w:p>
        </w:tc>
        <w:tc>
          <w:tcPr/>
          <w:p>
            <w:pPr>
              <w:pStyle w:val="Compact"/>
            </w:pPr>
            <w:r>
              <w:t xml:space="preserve">145</w:t>
            </w:r>
          </w:p>
        </w:tc>
      </w:tr>
      <w:tr>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4</w:t>
            </w:r>
          </w:p>
        </w:tc>
        <w:tc>
          <w:tcPr/>
          <w:p>
            <w:pPr>
              <w:pStyle w:val="Compact"/>
            </w:pPr>
            <w:r>
              <w:t xml:space="preserve">20240102_10-K_edgar_data_1288750_0001654954-24-000069.html::item_1::s4</w:t>
            </w:r>
          </w:p>
        </w:tc>
        <w:tc>
          <w:tcPr/>
          <w:p>
            <w:pPr>
              <w:pStyle w:val="Compact"/>
            </w:pPr>
            <w:r>
              <w:t xml:space="preserve">In January 2004, we affected a one-for-four reverse split of our issued and outstanding shares of common stock and increased the number of our authorized shares of common stock to 100,000,000 with a par value of $0.001.</w:t>
            </w:r>
          </w:p>
        </w:tc>
        <w:tc>
          <w:tcPr/>
          <w:p>
            <w:pPr>
              <w:pStyle w:val="Compact"/>
            </w:pPr>
            <w:r>
              <w:t xml:space="preserve">219</w:t>
            </w:r>
          </w:p>
        </w:tc>
      </w:tr>
      <w:tr>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5</w:t>
            </w:r>
          </w:p>
        </w:tc>
        <w:tc>
          <w:tcPr/>
          <w:p>
            <w:pPr>
              <w:pStyle w:val="Compact"/>
            </w:pPr>
            <w:r>
              <w:t xml:space="preserve">20240102_10-K_edgar_data_1288750_0001654954-24-000069.html::item_1::s5</w:t>
            </w:r>
          </w:p>
        </w:tc>
        <w:tc>
          <w:tcPr/>
          <w:p>
            <w:pPr>
              <w:pStyle w:val="Compact"/>
            </w:pPr>
            <w:r>
              <w:t xml:space="preserve">In February 2004, our name was changed to Timberline Resources Corporation.</w:t>
            </w:r>
          </w:p>
        </w:tc>
        <w:tc>
          <w:tcPr/>
          <w:p>
            <w:pPr>
              <w:pStyle w:val="Compact"/>
            </w:pPr>
            <w:r>
              <w:t xml:space="preserve">75</w:t>
            </w:r>
          </w:p>
        </w:tc>
      </w:tr>
    </w:tbl>
    <w:bookmarkEnd w:id="47"/>
    <w:p>
      <w:pPr>
        <w:pStyle w:val="BodyText"/>
      </w:pPr>
      <w:r>
        <w:t xml:space="preserve">Save the sentence-level file for diagnostics and later reuse:</w:t>
      </w:r>
    </w:p>
    <w:p>
      <w:pPr>
        <w:pStyle w:val="SourceCode"/>
      </w:pPr>
      <w:r>
        <w:rPr>
          <w:rStyle w:val="NormalTok"/>
        </w:rPr>
        <w:t xml:space="preserve">df_sentences.to_csv(OUTPUT_DIR </w:t>
      </w:r>
      <w:r>
        <w:rPr>
          <w:rStyle w:val="OperatorTok"/>
        </w:rPr>
        <w:t xml:space="preserve">/</w:t>
      </w:r>
      <w:r>
        <w:rPr>
          <w:rStyle w:val="NormalTok"/>
        </w:rPr>
        <w:t xml:space="preserve"> </w:t>
      </w:r>
      <w:r>
        <w:rPr>
          <w:rStyle w:val="StringTok"/>
        </w:rPr>
        <w:t xml:space="preserve">"sec_10k_2024_sentences.csv"</w:t>
      </w:r>
      <w:r>
        <w:rPr>
          <w:rStyle w:val="NormalTok"/>
        </w:rPr>
        <w:t xml:space="preserve">, index</w:t>
      </w:r>
      <w:r>
        <w:rPr>
          <w:rStyle w:val="OperatorTok"/>
        </w:rPr>
        <w:t xml:space="preserve">=</w:t>
      </w:r>
      <w:r>
        <w:rPr>
          <w:rStyle w:val="VariableTok"/>
        </w:rPr>
        <w:t xml:space="preserve">False</w:t>
      </w:r>
      <w:r>
        <w:rPr>
          <w:rStyle w:val="NormalTok"/>
        </w:rPr>
        <w:t xml:space="preserve">)</w:t>
      </w:r>
    </w:p>
    <w:bookmarkEnd w:id="48"/>
    <w:bookmarkEnd w:id="49"/>
    <w:bookmarkStart w:id="51" w:name="approximate-token-counting"/>
    <w:p>
      <w:pPr>
        <w:pStyle w:val="Heading2"/>
      </w:pPr>
      <w:r>
        <w:t xml:space="preserve">5.2 Approximate token counting</w:t>
      </w:r>
    </w:p>
    <w:p>
      <w:pPr>
        <w:pStyle w:val="FirstParagraph"/>
      </w:pPr>
      <w:r>
        <w:t xml:space="preserve">For later RAG, character count is not enough. We want approximate token counts. A practical, lightweight approximation is:</w:t>
      </w:r>
    </w:p>
    <w:p>
      <w:pPr>
        <w:pStyle w:val="Compact"/>
        <w:numPr>
          <w:ilvl w:val="0"/>
          <w:numId w:val="1027"/>
        </w:numPr>
      </w:pPr>
      <w:r>
        <w:t xml:space="preserve">split on whitespace and punctuation</w:t>
      </w:r>
    </w:p>
    <w:p>
      <w:pPr>
        <w:pStyle w:val="Compact"/>
        <w:numPr>
          <w:ilvl w:val="0"/>
          <w:numId w:val="1027"/>
        </w:numPr>
      </w:pPr>
      <w:r>
        <w:t xml:space="preserve">count resulting text units</w:t>
      </w:r>
    </w:p>
    <w:p>
      <w:pPr>
        <w:pStyle w:val="FirstParagraph"/>
      </w:pPr>
      <w:r>
        <w:t xml:space="preserve">This is not identical to a transformer tokenizer, but it is enough for chunk control in this assignment.</w:t>
      </w:r>
    </w:p>
    <w:p>
      <w:pPr>
        <w:pStyle w:val="SourceCode"/>
      </w:pPr>
      <w:r>
        <w:rPr>
          <w:rStyle w:val="KeywordTok"/>
        </w:rPr>
        <w:t xml:space="preserve">def</w:t>
      </w:r>
      <w:r>
        <w:rPr>
          <w:rStyle w:val="NormalTok"/>
        </w:rPr>
        <w:t xml:space="preserve"> approximate_token_count(text: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Approximate token count using regex-based word/punctuation splitting.</w:t>
      </w:r>
      <w:r>
        <w:br/>
      </w:r>
      <w:r>
        <w:rPr>
          <w:rStyle w:val="CommentTok"/>
        </w:rPr>
        <w:t xml:space="preserve">    This is a lightweight stand-in for a model tokenizer.</w:t>
      </w:r>
      <w:r>
        <w:br/>
      </w:r>
      <w:r>
        <w:rPr>
          <w:rStyle w:val="CommentTok"/>
        </w:rPr>
        <w:t xml:space="preserve">    """</w:t>
      </w:r>
      <w:r>
        <w:br/>
      </w:r>
      <w:r>
        <w:rPr>
          <w:rStyle w:val="NormalTok"/>
        </w:rPr>
        <w:t xml:space="preserve">    text </w:t>
      </w:r>
      <w:r>
        <w:rPr>
          <w:rStyle w:val="OperatorTok"/>
        </w:rPr>
        <w:t xml:space="preserve">=</w:t>
      </w:r>
      <w:r>
        <w:rPr>
          <w:rStyle w:val="NormalTok"/>
        </w:rPr>
        <w:t xml:space="preserve"> </w:t>
      </w:r>
      <w:r>
        <w:rPr>
          <w:rStyle w:val="BuiltInTok"/>
        </w:rPr>
        <w:t xml:space="preserve">str</w:t>
      </w:r>
      <w:r>
        <w:rPr>
          <w:rStyle w:val="NormalTok"/>
        </w:rPr>
        <w:t xml:space="preserve">(text)</w:t>
      </w:r>
      <w:r>
        <w:br/>
      </w:r>
      <w:r>
        <w:rPr>
          <w:rStyle w:val="NormalTok"/>
        </w:rPr>
        <w:t xml:space="preserve">    tokens </w:t>
      </w:r>
      <w:r>
        <w:rPr>
          <w:rStyle w:val="OperatorTok"/>
        </w:rPr>
        <w:t xml:space="preserve">=</w:t>
      </w:r>
      <w:r>
        <w:rPr>
          <w:rStyle w:val="NormalTok"/>
        </w:rPr>
        <w:t xml:space="preserve"> re.findall(</w:t>
      </w:r>
      <w:r>
        <w:rPr>
          <w:rStyle w:val="VerbatimStringTok"/>
        </w:rPr>
        <w:t xml:space="preserve">r"</w:t>
      </w:r>
      <w:r>
        <w:rPr>
          <w:rStyle w:val="DecValTok"/>
        </w:rPr>
        <w:t xml:space="preserve">\w</w:t>
      </w:r>
      <w:r>
        <w:rPr>
          <w:rStyle w:val="OperatorTok"/>
        </w:rPr>
        <w:t xml:space="preserve">+</w:t>
      </w:r>
      <w:r>
        <w:rPr>
          <w:rStyle w:val="ControlFlowTok"/>
        </w:rPr>
        <w:t xml:space="preserve">|</w:t>
      </w:r>
      <w:r>
        <w:rPr>
          <w:rStyle w:val="PreprocessorTok"/>
        </w:rPr>
        <w:t xml:space="preserve">[^</w:t>
      </w:r>
      <w:r>
        <w:rPr>
          <w:rStyle w:val="DecValTok"/>
        </w:rPr>
        <w:t xml:space="preserve">\w\s</w:t>
      </w:r>
      <w:r>
        <w:rPr>
          <w:rStyle w:val="PreprocessorTok"/>
        </w:rPr>
        <w:t xml:space="preserve">]</w:t>
      </w:r>
      <w:r>
        <w:rPr>
          <w:rStyle w:val="VerbatimStringTok"/>
        </w:rPr>
        <w:t xml:space="preserve">"</w:t>
      </w:r>
      <w:r>
        <w:rPr>
          <w:rStyle w:val="NormalTok"/>
        </w:rPr>
        <w:t xml:space="preserve">, text, flags</w:t>
      </w:r>
      <w:r>
        <w:rPr>
          <w:rStyle w:val="OperatorTok"/>
        </w:rPr>
        <w:t xml:space="preserve">=</w:t>
      </w:r>
      <w:r>
        <w:rPr>
          <w:rStyle w:val="NormalTok"/>
        </w:rPr>
        <w:t xml:space="preserve">re.UNICODE)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(tokens)</w:t>
      </w:r>
    </w:p>
    <w:p>
      <w:pPr>
        <w:pStyle w:val="FirstParagraph"/>
      </w:pPr>
      <w:r>
        <w:t xml:space="preserve">Apply it to the sentence table:</w:t>
      </w:r>
    </w:p>
    <w:p>
      <w:pPr>
        <w:pStyle w:val="SourceCode"/>
      </w:pPr>
      <w:r>
        <w:rPr>
          <w:rStyle w:val="NormalTok"/>
        </w:rPr>
        <w:t xml:space="preserve">df_sentences[</w:t>
      </w:r>
      <w:r>
        <w:rPr>
          <w:rStyle w:val="StringTok"/>
        </w:rPr>
        <w:t xml:space="preserve">"approx_token_count"</w:t>
      </w:r>
      <w:r>
        <w:rPr>
          <w:rStyle w:val="NormalTok"/>
        </w:rPr>
        <w:t xml:space="preserve">] </w:t>
      </w:r>
      <w:r>
        <w:rPr>
          <w:rStyle w:val="OperatorTok"/>
        </w:rPr>
        <w:t xml:space="preserve">=</w:t>
      </w:r>
      <w:r>
        <w:rPr>
          <w:rStyle w:val="NormalTok"/>
        </w:rPr>
        <w:t xml:space="preserve"> df_sentences[</w:t>
      </w:r>
      <w:r>
        <w:rPr>
          <w:rStyle w:val="StringTok"/>
        </w:rPr>
        <w:t xml:space="preserve">"sentence_text"</w:t>
      </w:r>
      <w:r>
        <w:rPr>
          <w:rStyle w:val="NormalTok"/>
        </w:rPr>
        <w:t xml:space="preserve">].</w:t>
      </w:r>
      <w:r>
        <w:rPr>
          <w:rStyle w:val="BuiltInTok"/>
        </w:rPr>
        <w:t xml:space="preserve">apply</w:t>
      </w:r>
      <w:r>
        <w:rPr>
          <w:rStyle w:val="NormalTok"/>
        </w:rPr>
        <w:t xml:space="preserve">(approximate_token_count)</w:t>
      </w:r>
      <w:r>
        <w:br/>
      </w:r>
      <w:r>
        <w:br/>
      </w:r>
      <w:r>
        <w:rPr>
          <w:rStyle w:val="NormalTok"/>
        </w:rPr>
        <w:t xml:space="preserve">df_sentences[[</w:t>
      </w:r>
      <w:r>
        <w:rPr>
          <w:rStyle w:val="StringTok"/>
        </w:rPr>
        <w:t xml:space="preserve">"sentence_text"</w:t>
      </w:r>
      <w:r>
        <w:rPr>
          <w:rStyle w:val="NormalTok"/>
        </w:rPr>
        <w:t xml:space="preserve">, </w:t>
      </w:r>
      <w:r>
        <w:rPr>
          <w:rStyle w:val="StringTok"/>
        </w:rPr>
        <w:t xml:space="preserve">"approx_token_count"</w:t>
      </w:r>
      <w:r>
        <w:rPr>
          <w:rStyle w:val="NormalTok"/>
        </w:rPr>
        <w:t xml:space="preserve">]].head().style.hide(axis</w:t>
      </w:r>
      <w:r>
        <w:rPr>
          <w:rStyle w:val="OperatorTok"/>
        </w:rPr>
        <w:t xml:space="preserve">=</w:t>
      </w:r>
      <w:r>
        <w:rPr>
          <w:rStyle w:val="StringTok"/>
        </w:rPr>
        <w:t xml:space="preserve">"index"</w:t>
      </w:r>
      <w:r>
        <w:rPr>
          <w:rStyle w:val="NormalTok"/>
        </w:rPr>
        <w:t xml:space="preserve">)</w:t>
      </w:r>
    </w:p>
    <w:bookmarkStart w:id="50" w:name="T_9fc32"/>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sentence_text</w:t>
            </w:r>
          </w:p>
        </w:tc>
        <w:tc>
          <w:tcPr/>
          <w:p>
            <w:pPr>
              <w:pStyle w:val="Compact"/>
            </w:pPr>
            <w:r>
              <w:t xml:space="preserve">approx_token_count</w:t>
            </w:r>
          </w:p>
        </w:tc>
      </w:tr>
      <w:tr>
        <w:tc>
          <w:tcPr/>
          <w:p>
            <w:pPr>
              <w:pStyle w:val="Compact"/>
            </w:pPr>
            <w:r>
              <w:t xml:space="preserve">DESCRIPTION OF BUSINESS Incorporation and Early History We were incorporated in the State of Idaho in August 1968 under the name Silver Crystal Mines, Inc., to engage in the business of exploring for precious metal deposits and advancing them toward production.</w:t>
            </w:r>
          </w:p>
        </w:tc>
        <w:tc>
          <w:tcPr/>
          <w:p>
            <w:pPr>
              <w:pStyle w:val="Compact"/>
            </w:pPr>
            <w:r>
              <w:t xml:space="preserve">45</w:t>
            </w:r>
          </w:p>
        </w:tc>
      </w:tr>
      <w:tr>
        <w:tc>
          <w:tcPr/>
          <w:p>
            <w:pPr>
              <w:pStyle w:val="Compact"/>
            </w:pPr>
            <w:r>
              <w:t xml:space="preserve">We ceased exploration activities during the 1990’s and became virtually inactive.</w:t>
            </w:r>
          </w:p>
        </w:tc>
        <w:tc>
          <w:tcPr/>
          <w:p>
            <w:pPr>
              <w:pStyle w:val="Compact"/>
            </w:pPr>
            <w:r>
              <w:t xml:space="preserve">14</w:t>
            </w:r>
          </w:p>
        </w:tc>
      </w:tr>
      <w:tr>
        <w:tc>
          <w:tcPr/>
          <w:p>
            <w:pPr>
              <w:pStyle w:val="Compact"/>
            </w:pPr>
            <w:r>
              <w:t xml:space="preserve">In December 2003, a group of investors purchased 80-percent of the issued and outstanding common stock from the then-controlling management team.</w:t>
            </w:r>
          </w:p>
        </w:tc>
        <w:tc>
          <w:tcPr/>
          <w:p>
            <w:pPr>
              <w:pStyle w:val="Compact"/>
            </w:pPr>
            <w:r>
              <w:t xml:space="preserve">27</w:t>
            </w:r>
          </w:p>
        </w:tc>
      </w:tr>
      <w:tr>
        <w:tc>
          <w:tcPr/>
          <w:p>
            <w:pPr>
              <w:pStyle w:val="Compact"/>
            </w:pPr>
            <w:r>
              <w:t xml:space="preserve">In January 2004, we affected a one-for-four reverse split of our issued and outstanding shares of common stock and increased the number of our authorized shares of common stock to 100,000,000 with a par value of $0.001.</w:t>
            </w:r>
          </w:p>
        </w:tc>
        <w:tc>
          <w:tcPr/>
          <w:p>
            <w:pPr>
              <w:pStyle w:val="Compact"/>
            </w:pPr>
            <w:r>
              <w:t xml:space="preserve">50</w:t>
            </w:r>
          </w:p>
        </w:tc>
      </w:tr>
      <w:tr>
        <w:tc>
          <w:tcPr/>
          <w:p>
            <w:pPr>
              <w:pStyle w:val="Compact"/>
            </w:pPr>
            <w:r>
              <w:t xml:space="preserve">In February 2004, our name was changed to Timberline Resources Corporation.</w:t>
            </w:r>
          </w:p>
        </w:tc>
        <w:tc>
          <w:tcPr/>
          <w:p>
            <w:pPr>
              <w:pStyle w:val="Compact"/>
            </w:pPr>
            <w:r>
              <w:t xml:space="preserve">13</w:t>
            </w:r>
          </w:p>
        </w:tc>
      </w:tr>
    </w:tbl>
    <w:bookmarkEnd w:id="50"/>
    <w:p>
      <w:pPr>
        <w:pStyle w:val="Compact"/>
        <w:numPr>
          <w:ilvl w:val="0"/>
          <w:numId w:val="1028"/>
        </w:numPr>
      </w:pPr>
      <w:r>
        <w:t xml:space="preserve">Check the first few words, if you see something unusual like</w:t>
      </w:r>
      <w:r>
        <w:t xml:space="preserve"> </w:t>
      </w:r>
      <w:r>
        <w:t xml:space="preserve">‘Description of Business’</w:t>
      </w:r>
      <w:r>
        <w:t xml:space="preserve"> </w:t>
      </w:r>
      <w:r>
        <w:t xml:space="preserve">it suggests that you might have to adjust processing. You can also remove these words later in processing.</w:t>
      </w:r>
    </w:p>
    <w:p>
      <w:pPr>
        <w:pStyle w:val="Compact"/>
        <w:numPr>
          <w:ilvl w:val="0"/>
          <w:numId w:val="1028"/>
        </w:numPr>
      </w:pPr>
      <w:r>
        <w:t xml:space="preserve">Check the token counts, if you see a lot of sentences with 0 or 1 tokens, you might want to adjust the sentence filtering or cleaning steps.</w:t>
      </w:r>
    </w:p>
    <w:p>
      <w:pPr>
        <w:pStyle w:val="Compact"/>
        <w:numPr>
          <w:ilvl w:val="0"/>
          <w:numId w:val="1028"/>
        </w:numPr>
      </w:pPr>
      <w:r>
        <w:t xml:space="preserve">Check dates and months in the sentences, if you see a lot of them, you might want to add a regex filter to remove sentences that are just dates or table of contents entries.</w:t>
      </w:r>
    </w:p>
    <w:bookmarkEnd w:id="51"/>
    <w:bookmarkStart w:id="52" w:name="X3f33f1b2f0914e7b11982a2d2c55e6de9c8f8e9"/>
    <w:p>
      <w:pPr>
        <w:pStyle w:val="Heading2"/>
      </w:pPr>
      <w:r>
        <w:t xml:space="preserve">5.3 Build rolling sentence chunks with approximate token control</w:t>
      </w:r>
    </w:p>
    <w:p>
      <w:pPr>
        <w:pStyle w:val="FirstParagraph"/>
      </w:pPr>
      <w:r>
        <w:t xml:space="preserve">This is the key part. We will build chunks by:</w:t>
      </w:r>
    </w:p>
    <w:p>
      <w:pPr>
        <w:pStyle w:val="Compact"/>
        <w:numPr>
          <w:ilvl w:val="0"/>
          <w:numId w:val="1029"/>
        </w:numPr>
      </w:pPr>
      <w:r>
        <w:t xml:space="preserve">Moving through each section sentence by sentence</w:t>
      </w:r>
    </w:p>
    <w:p>
      <w:pPr>
        <w:pStyle w:val="Compact"/>
        <w:numPr>
          <w:ilvl w:val="0"/>
          <w:numId w:val="1029"/>
        </w:numPr>
      </w:pPr>
      <w:r>
        <w:t xml:space="preserve">Collecting adjacent sentences</w:t>
      </w:r>
    </w:p>
    <w:p>
      <w:pPr>
        <w:pStyle w:val="Compact"/>
        <w:numPr>
          <w:ilvl w:val="0"/>
          <w:numId w:val="1029"/>
        </w:numPr>
      </w:pPr>
      <w:r>
        <w:t xml:space="preserve">Stopping when we approach a token budget</w:t>
      </w:r>
    </w:p>
    <w:p>
      <w:pPr>
        <w:pStyle w:val="Compact"/>
        <w:numPr>
          <w:ilvl w:val="0"/>
          <w:numId w:val="1029"/>
        </w:numPr>
      </w:pPr>
      <w:r>
        <w:t xml:space="preserve">using overlap between chunks</w:t>
      </w:r>
      <w:r>
        <w:t xml:space="preserve"> </w:t>
      </w:r>
      <w:r>
        <w:t xml:space="preserve">This creates chunks that are better for retrieval than single sentences.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List, Dict</w:t>
      </w:r>
      <w:r>
        <w:br/>
      </w:r>
      <w:r>
        <w:br/>
      </w:r>
      <w:r>
        <w:rPr>
          <w:rStyle w:val="KeywordTok"/>
        </w:rPr>
        <w:t xml:space="preserve">def</w:t>
      </w:r>
      <w:r>
        <w:rPr>
          <w:rStyle w:val="NormalTok"/>
        </w:rPr>
        <w:t xml:space="preserve"> build_sentence_window_chunks(</w:t>
      </w:r>
      <w:r>
        <w:br/>
      </w:r>
      <w:r>
        <w:rPr>
          <w:rStyle w:val="NormalTok"/>
        </w:rPr>
        <w:t xml:space="preserve">    df_sentences: pd.DataFrame,</w:t>
      </w:r>
      <w:r>
        <w:br/>
      </w:r>
      <w:r>
        <w:rPr>
          <w:rStyle w:val="NormalTok"/>
        </w:rPr>
        <w:t xml:space="preserve">    target_tokens: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250</w:t>
      </w:r>
      <w:r>
        <w:rPr>
          <w:rStyle w:val="NormalTok"/>
        </w:rPr>
        <w:t xml:space="preserve">,</w:t>
      </w:r>
      <w:r>
        <w:br/>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320</w:t>
      </w:r>
      <w:r>
        <w:rPr>
          <w:rStyle w:val="NormalTok"/>
        </w:rPr>
        <w:t xml:space="preserve">,</w:t>
      </w:r>
      <w:r>
        <w:br/>
      </w:r>
      <w:r>
        <w:rPr>
          <w:rStyle w:val="NormalTok"/>
        </w:rPr>
        <w:t xml:space="preserve">    overlap_sentences: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min_chunk_tokens: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w:t>
      </w:r>
      <w:r>
        <w:br/>
      </w:r>
      <w:r>
        <w:rPr>
          <w:rStyle w:val="NormalTok"/>
        </w:rPr>
        <w:t xml:space="preserve">) </w:t>
      </w:r>
      <w:r>
        <w:rPr>
          <w:rStyle w:val="OperatorTok"/>
        </w:rPr>
        <w:t xml:space="preserve">-&gt;</w:t>
      </w:r>
      <w:r>
        <w:rPr>
          <w:rStyle w:val="NormalTok"/>
        </w:rPr>
        <w:t xml:space="preserve"> pd.DataFrame:</w:t>
      </w:r>
      <w:r>
        <w:br/>
      </w:r>
      <w:r>
        <w:rPr>
          <w:rStyle w:val="NormalTok"/>
        </w:rPr>
        <w:t xml:space="preserve">    </w:t>
      </w:r>
      <w:r>
        <w:rPr>
          <w:rStyle w:val="CommentTok"/>
        </w:rPr>
        <w:t xml:space="preserve">"""</w:t>
      </w:r>
      <w:r>
        <w:br/>
      </w:r>
      <w:r>
        <w:rPr>
          <w:rStyle w:val="CommentTok"/>
        </w:rPr>
        <w:t xml:space="preserve">    Build overlapping multi-sentence chunks from a sentence-level dataframe.</w:t>
      </w:r>
      <w:r>
        <w:br/>
      </w:r>
      <w:r>
        <w:br/>
      </w:r>
      <w:r>
        <w:rPr>
          <w:rStyle w:val="CommentTok"/>
        </w:rPr>
        <w:t xml:space="preserve">    Parameters</w:t>
      </w:r>
      <w:r>
        <w:br/>
      </w:r>
      <w:r>
        <w:rPr>
          <w:rStyle w:val="CommentTok"/>
        </w:rPr>
        <w:t xml:space="preserve">    ----------</w:t>
      </w:r>
      <w:r>
        <w:br/>
      </w:r>
      <w:r>
        <w:rPr>
          <w:rStyle w:val="CommentTok"/>
        </w:rPr>
        <w:t xml:space="preserve">    df_sentences : pd.DataFrame</w:t>
      </w:r>
      <w:r>
        <w:br/>
      </w:r>
      <w:r>
        <w:rPr>
          <w:rStyle w:val="CommentTok"/>
        </w:rPr>
        <w:t xml:space="preserve">        Sentence-level dataframe with columns:</w:t>
      </w:r>
      <w:r>
        <w:br/>
      </w:r>
      <w:r>
        <w:rPr>
          <w:rStyle w:val="CommentTok"/>
        </w:rPr>
        <w:t xml:space="preserve">        file_name, file_path, section_name, sentence_number, sentence_text, approx_token_count</w:t>
      </w:r>
      <w:r>
        <w:br/>
      </w:r>
      <w:r>
        <w:br/>
      </w:r>
      <w:r>
        <w:rPr>
          <w:rStyle w:val="CommentTok"/>
        </w:rPr>
        <w:t xml:space="preserve">    target_tokens : int</w:t>
      </w:r>
      <w:r>
        <w:br/>
      </w:r>
      <w:r>
        <w:rPr>
          <w:rStyle w:val="CommentTok"/>
        </w:rPr>
        <w:t xml:space="preserve">        Preferred chunk size in approximate tokens.</w:t>
      </w:r>
      <w:r>
        <w:br/>
      </w:r>
      <w:r>
        <w:br/>
      </w:r>
      <w:r>
        <w:rPr>
          <w:rStyle w:val="CommentTok"/>
        </w:rPr>
        <w:t xml:space="preserve">    max_tokens : int</w:t>
      </w:r>
      <w:r>
        <w:br/>
      </w:r>
      <w:r>
        <w:rPr>
          <w:rStyle w:val="CommentTok"/>
        </w:rPr>
        <w:t xml:space="preserve">        Hard upper bound for chunk size.</w:t>
      </w:r>
      <w:r>
        <w:br/>
      </w:r>
      <w:r>
        <w:br/>
      </w:r>
      <w:r>
        <w:rPr>
          <w:rStyle w:val="CommentTok"/>
        </w:rPr>
        <w:t xml:space="preserve">    overlap_sentences : int</w:t>
      </w:r>
      <w:r>
        <w:br/>
      </w:r>
      <w:r>
        <w:rPr>
          <w:rStyle w:val="CommentTok"/>
        </w:rPr>
        <w:t xml:space="preserve">        Number of trailing sentences to carry into the next chunk.</w:t>
      </w:r>
      <w:r>
        <w:br/>
      </w:r>
      <w:r>
        <w:br/>
      </w:r>
      <w:r>
        <w:rPr>
          <w:rStyle w:val="CommentTok"/>
        </w:rPr>
        <w:t xml:space="preserve">    min_chunk_tokens : int</w:t>
      </w:r>
      <w:r>
        <w:br/>
      </w:r>
      <w:r>
        <w:rPr>
          <w:rStyle w:val="CommentTok"/>
        </w:rPr>
        <w:t xml:space="preserve">        Minimum approximate token count required to keep a chunk.</w:t>
      </w:r>
      <w:r>
        <w:br/>
      </w:r>
      <w:r>
        <w:rPr>
          <w:rStyle w:val="CommentTok"/>
        </w:rPr>
        <w:t xml:space="preserve">    """</w:t>
      </w:r>
      <w:r>
        <w:br/>
      </w:r>
      <w:r>
        <w:rPr>
          <w:rStyle w:val="NormalTok"/>
        </w:rPr>
        <w:t xml:space="preserve">    chunk_rows: List[Dict] </w:t>
      </w:r>
      <w:r>
        <w:rPr>
          <w:rStyle w:val="OperatorTok"/>
        </w:rPr>
        <w:t xml:space="preserve">=</w:t>
      </w:r>
      <w:r>
        <w:rPr>
          <w:rStyle w:val="NormalTok"/>
        </w:rPr>
        <w:t xml:space="preserve"> []</w:t>
      </w:r>
      <w:r>
        <w:br/>
      </w:r>
      <w:r>
        <w:br/>
      </w:r>
      <w:r>
        <w:rPr>
          <w:rStyle w:val="NormalTok"/>
        </w:rPr>
        <w:t xml:space="preserve">    grouped </w:t>
      </w:r>
      <w:r>
        <w:rPr>
          <w:rStyle w:val="OperatorTok"/>
        </w:rPr>
        <w:t xml:space="preserve">=</w:t>
      </w:r>
      <w:r>
        <w:rPr>
          <w:rStyle w:val="NormalTok"/>
        </w:rPr>
        <w:t xml:space="preserve"> (</w:t>
      </w:r>
      <w:r>
        <w:br/>
      </w:r>
      <w:r>
        <w:rPr>
          <w:rStyle w:val="NormalTok"/>
        </w:rPr>
        <w:t xml:space="preserve">        df_sentences</w:t>
      </w:r>
      <w:r>
        <w:br/>
      </w:r>
      <w:r>
        <w:rPr>
          <w:rStyle w:val="NormalTok"/>
        </w:rPr>
        <w:t xml:space="preserve">        .sort_values([</w:t>
      </w:r>
      <w:r>
        <w:rPr>
          <w:rStyle w:val="StringTok"/>
        </w:rPr>
        <w:t xml:space="preserve">"file_name"</w:t>
      </w:r>
      <w:r>
        <w:rPr>
          <w:rStyle w:val="NormalTok"/>
        </w:rPr>
        <w:t xml:space="preserve">, </w:t>
      </w:r>
      <w:r>
        <w:rPr>
          <w:rStyle w:val="StringTok"/>
        </w:rPr>
        <w:t xml:space="preserve">"section_name"</w:t>
      </w:r>
      <w:r>
        <w:rPr>
          <w:rStyle w:val="NormalTok"/>
        </w:rPr>
        <w:t xml:space="preserve">, </w:t>
      </w:r>
      <w:r>
        <w:rPr>
          <w:rStyle w:val="StringTok"/>
        </w:rPr>
        <w:t xml:space="preserve">"sentence_number"</w:t>
      </w:r>
      <w:r>
        <w:rPr>
          <w:rStyle w:val="NormalTok"/>
        </w:rPr>
        <w:t xml:space="preserve">])</w:t>
      </w:r>
      <w:r>
        <w:br/>
      </w:r>
      <w:r>
        <w:rPr>
          <w:rStyle w:val="NormalTok"/>
        </w:rPr>
        <w:t xml:space="preserve">        .groupby([</w:t>
      </w:r>
      <w:r>
        <w:rPr>
          <w:rStyle w:val="StringTok"/>
        </w:rPr>
        <w:t xml:space="preserve">"file_name"</w:t>
      </w:r>
      <w:r>
        <w:rPr>
          <w:rStyle w:val="NormalTok"/>
        </w:rPr>
        <w:t xml:space="preserve">, </w:t>
      </w:r>
      <w:r>
        <w:rPr>
          <w:rStyle w:val="StringTok"/>
        </w:rPr>
        <w:t xml:space="preserve">"file_path"</w:t>
      </w:r>
      <w:r>
        <w:rPr>
          <w:rStyle w:val="NormalTok"/>
        </w:rPr>
        <w:t xml:space="preserve">, </w:t>
      </w:r>
      <w:r>
        <w:rPr>
          <w:rStyle w:val="StringTok"/>
        </w:rPr>
        <w:t xml:space="preserve">"section_name"</w:t>
      </w:r>
      <w:r>
        <w:rPr>
          <w:rStyle w:val="NormalTok"/>
        </w:rPr>
        <w:t xml:space="preserve">], as_index</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(file_name, file_path, section_name), group </w:t>
      </w:r>
      <w:r>
        <w:rPr>
          <w:rStyle w:val="KeywordTok"/>
        </w:rPr>
        <w:t xml:space="preserve">in</w:t>
      </w:r>
      <w:r>
        <w:rPr>
          <w:rStyle w:val="NormalTok"/>
        </w:rPr>
        <w:t xml:space="preserve"> grouped:</w:t>
      </w:r>
      <w:r>
        <w:br/>
      </w:r>
      <w:r>
        <w:rPr>
          <w:rStyle w:val="NormalTok"/>
        </w:rPr>
        <w:t xml:space="preserve">        group </w:t>
      </w:r>
      <w:r>
        <w:rPr>
          <w:rStyle w:val="OperatorTok"/>
        </w:rPr>
        <w:t xml:space="preserve">=</w:t>
      </w:r>
      <w:r>
        <w:rPr>
          <w:rStyle w:val="NormalTok"/>
        </w:rPr>
        <w:t xml:space="preserve"> group.sort_values(</w:t>
      </w:r>
      <w:r>
        <w:rPr>
          <w:rStyle w:val="StringTok"/>
        </w:rPr>
        <w:t xml:space="preserve">"sentence_number"</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(group)</w:t>
      </w:r>
      <w:r>
        <w:br/>
      </w:r>
      <w:r>
        <w:rPr>
          <w:rStyle w:val="NormalTok"/>
        </w:rPr>
        <w:t xml:space="preserve">        start_idx </w:t>
      </w:r>
      <w:r>
        <w:rPr>
          <w:rStyle w:val="OperatorTok"/>
        </w:rPr>
        <w:t xml:space="preserve">=</w:t>
      </w:r>
      <w:r>
        <w:rPr>
          <w:rStyle w:val="NormalTok"/>
        </w:rPr>
        <w:t xml:space="preserve"> </w:t>
      </w:r>
      <w:r>
        <w:rPr>
          <w:rStyle w:val="DecValTok"/>
        </w:rPr>
        <w:t xml:space="preserve">0</w:t>
      </w:r>
      <w:r>
        <w:br/>
      </w:r>
      <w:r>
        <w:rPr>
          <w:rStyle w:val="NormalTok"/>
        </w:rPr>
        <w:t xml:space="preserve">        chunk_counter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while</w:t>
      </w:r>
      <w:r>
        <w:rPr>
          <w:rStyle w:val="NormalTok"/>
        </w:rPr>
        <w:t xml:space="preserve"> start_idx </w:t>
      </w:r>
      <w:r>
        <w:rPr>
          <w:rStyle w:val="OperatorTok"/>
        </w:rPr>
        <w:t xml:space="preserve">&lt;</w:t>
      </w:r>
      <w:r>
        <w:rPr>
          <w:rStyle w:val="NormalTok"/>
        </w:rPr>
        <w:t xml:space="preserve"> n:</w:t>
      </w:r>
      <w:r>
        <w:br/>
      </w:r>
      <w:r>
        <w:rPr>
          <w:rStyle w:val="NormalTok"/>
        </w:rPr>
        <w:t xml:space="preserve">            current_sentences </w:t>
      </w:r>
      <w:r>
        <w:rPr>
          <w:rStyle w:val="OperatorTok"/>
        </w:rPr>
        <w:t xml:space="preserve">=</w:t>
      </w:r>
      <w:r>
        <w:rPr>
          <w:rStyle w:val="NormalTok"/>
        </w:rPr>
        <w:t xml:space="preserve"> []</w:t>
      </w:r>
      <w:r>
        <w:br/>
      </w:r>
      <w:r>
        <w:rPr>
          <w:rStyle w:val="NormalTok"/>
        </w:rPr>
        <w:t xml:space="preserve">            current_token_total </w:t>
      </w:r>
      <w:r>
        <w:rPr>
          <w:rStyle w:val="OperatorTok"/>
        </w:rPr>
        <w:t xml:space="preserve">=</w:t>
      </w:r>
      <w:r>
        <w:rPr>
          <w:rStyle w:val="NormalTok"/>
        </w:rPr>
        <w:t xml:space="preserve"> </w:t>
      </w:r>
      <w:r>
        <w:rPr>
          <w:rStyle w:val="DecValTok"/>
        </w:rPr>
        <w:t xml:space="preserve">0</w:t>
      </w:r>
      <w:r>
        <w:br/>
      </w:r>
      <w:r>
        <w:rPr>
          <w:rStyle w:val="NormalTok"/>
        </w:rPr>
        <w:t xml:space="preserve">            end_idx </w:t>
      </w:r>
      <w:r>
        <w:rPr>
          <w:rStyle w:val="OperatorTok"/>
        </w:rPr>
        <w:t xml:space="preserve">=</w:t>
      </w:r>
      <w:r>
        <w:rPr>
          <w:rStyle w:val="NormalTok"/>
        </w:rPr>
        <w:t xml:space="preserve"> start_idx</w:t>
      </w:r>
      <w:r>
        <w:br/>
      </w:r>
      <w:r>
        <w:br/>
      </w:r>
      <w:r>
        <w:rPr>
          <w:rStyle w:val="NormalTok"/>
        </w:rPr>
        <w:t xml:space="preserve">            </w:t>
      </w:r>
      <w:r>
        <w:rPr>
          <w:rStyle w:val="ControlFlowTok"/>
        </w:rPr>
        <w:t xml:space="preserve">while</w:t>
      </w:r>
      <w:r>
        <w:rPr>
          <w:rStyle w:val="NormalTok"/>
        </w:rPr>
        <w:t xml:space="preserve"> end_idx </w:t>
      </w:r>
      <w:r>
        <w:rPr>
          <w:rStyle w:val="OperatorTok"/>
        </w:rPr>
        <w:t xml:space="preserve">&lt;</w:t>
      </w:r>
      <w:r>
        <w:rPr>
          <w:rStyle w:val="NormalTok"/>
        </w:rPr>
        <w:t xml:space="preserve"> n:</w:t>
      </w:r>
      <w:r>
        <w:br/>
      </w:r>
      <w:r>
        <w:rPr>
          <w:rStyle w:val="NormalTok"/>
        </w:rPr>
        <w:t xml:space="preserve">                sent_text </w:t>
      </w:r>
      <w:r>
        <w:rPr>
          <w:rStyle w:val="OperatorTok"/>
        </w:rPr>
        <w:t xml:space="preserve">=</w:t>
      </w:r>
      <w:r>
        <w:rPr>
          <w:rStyle w:val="NormalTok"/>
        </w:rPr>
        <w:t xml:space="preserve"> group.loc[end_idx, </w:t>
      </w:r>
      <w:r>
        <w:rPr>
          <w:rStyle w:val="StringTok"/>
        </w:rPr>
        <w:t xml:space="preserve">"sentence_text"</w:t>
      </w:r>
      <w:r>
        <w:rPr>
          <w:rStyle w:val="NormalTok"/>
        </w:rPr>
        <w:t xml:space="preserve">]</w:t>
      </w:r>
      <w:r>
        <w:br/>
      </w:r>
      <w:r>
        <w:rPr>
          <w:rStyle w:val="NormalTok"/>
        </w:rPr>
        <w:t xml:space="preserve">                sent_tokens </w:t>
      </w:r>
      <w:r>
        <w:rPr>
          <w:rStyle w:val="OperatorTok"/>
        </w:rPr>
        <w:t xml:space="preserve">=</w:t>
      </w:r>
      <w:r>
        <w:rPr>
          <w:rStyle w:val="NormalTok"/>
        </w:rPr>
        <w:t xml:space="preserve"> </w:t>
      </w:r>
      <w:r>
        <w:rPr>
          <w:rStyle w:val="BuiltInTok"/>
        </w:rPr>
        <w:t xml:space="preserve">int</w:t>
      </w:r>
      <w:r>
        <w:rPr>
          <w:rStyle w:val="NormalTok"/>
        </w:rPr>
        <w:t xml:space="preserve">(group.loc[end_idx, </w:t>
      </w:r>
      <w:r>
        <w:rPr>
          <w:rStyle w:val="StringTok"/>
        </w:rPr>
        <w:t xml:space="preserve">"approx_token_count"</w:t>
      </w:r>
      <w:r>
        <w:rPr>
          <w:rStyle w:val="NormalTok"/>
        </w:rPr>
        <w:t xml:space="preserve">])</w:t>
      </w:r>
      <w:r>
        <w:br/>
      </w:r>
      <w:r>
        <w:br/>
      </w:r>
      <w:r>
        <w:rPr>
          <w:rStyle w:val="NormalTok"/>
        </w:rPr>
        <w:t xml:space="preserve">                </w:t>
      </w:r>
      <w:r>
        <w:rPr>
          <w:rStyle w:val="CommentTok"/>
        </w:rPr>
        <w:t xml:space="preserve"># always allow at least one sentence</w:t>
      </w:r>
      <w:r>
        <w:br/>
      </w:r>
      <w:r>
        <w:rPr>
          <w:rStyle w:val="NormalTok"/>
        </w:rPr>
        <w:t xml:space="preserve">                </w:t>
      </w:r>
      <w:r>
        <w:rPr>
          <w:rStyle w:val="ControlFlowTok"/>
        </w:rPr>
        <w:t xml:space="preserve">if</w:t>
      </w:r>
      <w:r>
        <w:rPr>
          <w:rStyle w:val="NormalTok"/>
        </w:rPr>
        <w:t xml:space="preserve"> current_token_total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current_sentences.append(sent_text)</w:t>
      </w:r>
      <w:r>
        <w:br/>
      </w:r>
      <w:r>
        <w:rPr>
          <w:rStyle w:val="NormalTok"/>
        </w:rPr>
        <w:t xml:space="preserve">                    current_token_total </w:t>
      </w:r>
      <w:r>
        <w:rPr>
          <w:rStyle w:val="OperatorTok"/>
        </w:rPr>
        <w:t xml:space="preserve">+=</w:t>
      </w:r>
      <w:r>
        <w:rPr>
          <w:rStyle w:val="NormalTok"/>
        </w:rPr>
        <w:t xml:space="preserve"> sent_tokens</w:t>
      </w:r>
      <w:r>
        <w:br/>
      </w:r>
      <w:r>
        <w:rPr>
          <w:rStyle w:val="NormalTok"/>
        </w:rPr>
        <w:t xml:space="preserve">                    end_idx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stop if adding another sentence would exceed max_tokens</w:t>
      </w:r>
      <w:r>
        <w:br/>
      </w:r>
      <w:r>
        <w:rPr>
          <w:rStyle w:val="NormalTok"/>
        </w:rPr>
        <w:t xml:space="preserve">                </w:t>
      </w:r>
      <w:r>
        <w:rPr>
          <w:rStyle w:val="ControlFlowTok"/>
        </w:rPr>
        <w:t xml:space="preserve">if</w:t>
      </w:r>
      <w:r>
        <w:rPr>
          <w:rStyle w:val="NormalTok"/>
        </w:rPr>
        <w:t xml:space="preserve"> current_token_total </w:t>
      </w:r>
      <w:r>
        <w:rPr>
          <w:rStyle w:val="OperatorTok"/>
        </w:rPr>
        <w:t xml:space="preserve">+</w:t>
      </w:r>
      <w:r>
        <w:rPr>
          <w:rStyle w:val="NormalTok"/>
        </w:rPr>
        <w:t xml:space="preserve"> sent_tokens </w:t>
      </w:r>
      <w:r>
        <w:rPr>
          <w:rStyle w:val="OperatorTok"/>
        </w:rPr>
        <w:t xml:space="preserve">&gt;</w:t>
      </w:r>
      <w:r>
        <w:rPr>
          <w:rStyle w:val="NormalTok"/>
        </w:rPr>
        <w:t xml:space="preserve"> max_tokens:</w:t>
      </w:r>
      <w:r>
        <w:br/>
      </w:r>
      <w:r>
        <w:rPr>
          <w:rStyle w:val="NormalTok"/>
        </w:rPr>
        <w:t xml:space="preserve">                    </w:t>
      </w:r>
      <w:r>
        <w:rPr>
          <w:rStyle w:val="ControlFlowTok"/>
        </w:rPr>
        <w:t xml:space="preserve">break</w:t>
      </w:r>
      <w:r>
        <w:br/>
      </w:r>
      <w:r>
        <w:br/>
      </w:r>
      <w:r>
        <w:rPr>
          <w:rStyle w:val="NormalTok"/>
        </w:rPr>
        <w:t xml:space="preserve">                current_sentences.append(sent_text)</w:t>
      </w:r>
      <w:r>
        <w:br/>
      </w:r>
      <w:r>
        <w:rPr>
          <w:rStyle w:val="NormalTok"/>
        </w:rPr>
        <w:t xml:space="preserve">                current_token_total </w:t>
      </w:r>
      <w:r>
        <w:rPr>
          <w:rStyle w:val="OperatorTok"/>
        </w:rPr>
        <w:t xml:space="preserve">+=</w:t>
      </w:r>
      <w:r>
        <w:rPr>
          <w:rStyle w:val="NormalTok"/>
        </w:rPr>
        <w:t xml:space="preserve"> sent_tokens</w:t>
      </w:r>
      <w:r>
        <w:br/>
      </w:r>
      <w:r>
        <w:rPr>
          <w:rStyle w:val="NormalTok"/>
        </w:rPr>
        <w:t xml:space="preserve">                end_idx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if target_tokens reached, we can stop this chunk</w:t>
      </w:r>
      <w:r>
        <w:br/>
      </w:r>
      <w:r>
        <w:rPr>
          <w:rStyle w:val="NormalTok"/>
        </w:rPr>
        <w:t xml:space="preserve">                </w:t>
      </w:r>
      <w:r>
        <w:rPr>
          <w:rStyle w:val="ControlFlowTok"/>
        </w:rPr>
        <w:t xml:space="preserve">if</w:t>
      </w:r>
      <w:r>
        <w:rPr>
          <w:rStyle w:val="NormalTok"/>
        </w:rPr>
        <w:t xml:space="preserve"> current_token_total </w:t>
      </w:r>
      <w:r>
        <w:rPr>
          <w:rStyle w:val="OperatorTok"/>
        </w:rPr>
        <w:t xml:space="preserve">&gt;=</w:t>
      </w:r>
      <w:r>
        <w:rPr>
          <w:rStyle w:val="NormalTok"/>
        </w:rPr>
        <w:t xml:space="preserve"> target_tokens:</w:t>
      </w:r>
      <w:r>
        <w:br/>
      </w:r>
      <w:r>
        <w:rPr>
          <w:rStyle w:val="NormalTok"/>
        </w:rPr>
        <w:t xml:space="preserve">                    </w:t>
      </w:r>
      <w:r>
        <w:rPr>
          <w:rStyle w:val="ControlFlowTok"/>
        </w:rPr>
        <w:t xml:space="preserve">break</w:t>
      </w:r>
      <w:r>
        <w:br/>
      </w:r>
      <w:r>
        <w:br/>
      </w:r>
      <w:r>
        <w:rPr>
          <w:rStyle w:val="NormalTok"/>
        </w:rPr>
        <w:t xml:space="preserve">            chunk_text </w:t>
      </w:r>
      <w:r>
        <w:rPr>
          <w:rStyle w:val="OperatorTok"/>
        </w:rPr>
        <w:t xml:space="preserve">=</w:t>
      </w:r>
      <w:r>
        <w:rPr>
          <w:rStyle w:val="NormalTok"/>
        </w:rPr>
        <w:t xml:space="preserve"> </w:t>
      </w:r>
      <w:r>
        <w:rPr>
          <w:rStyle w:val="StringTok"/>
        </w:rPr>
        <w:t xml:space="preserve">" "</w:t>
      </w:r>
      <w:r>
        <w:rPr>
          <w:rStyle w:val="NormalTok"/>
        </w:rPr>
        <w:t xml:space="preserve">.join(current_sentences).strip()</w:t>
      </w:r>
      <w:r>
        <w:br/>
      </w:r>
      <w:r>
        <w:br/>
      </w:r>
      <w:r>
        <w:rPr>
          <w:rStyle w:val="NormalTok"/>
        </w:rPr>
        <w:t xml:space="preserve">            </w:t>
      </w:r>
      <w:r>
        <w:rPr>
          <w:rStyle w:val="ControlFlowTok"/>
        </w:rPr>
        <w:t xml:space="preserve">if</w:t>
      </w:r>
      <w:r>
        <w:rPr>
          <w:rStyle w:val="NormalTok"/>
        </w:rPr>
        <w:t xml:space="preserve"> chunk_text </w:t>
      </w:r>
      <w:r>
        <w:rPr>
          <w:rStyle w:val="KeywordTok"/>
        </w:rPr>
        <w:t xml:space="preserve">and</w:t>
      </w:r>
      <w:r>
        <w:rPr>
          <w:rStyle w:val="NormalTok"/>
        </w:rPr>
        <w:t xml:space="preserve"> current_token_total </w:t>
      </w:r>
      <w:r>
        <w:rPr>
          <w:rStyle w:val="OperatorTok"/>
        </w:rPr>
        <w:t xml:space="preserve">&gt;=</w:t>
      </w:r>
      <w:r>
        <w:rPr>
          <w:rStyle w:val="NormalTok"/>
        </w:rPr>
        <w:t xml:space="preserve"> min_chunk_tokens:</w:t>
      </w:r>
      <w:r>
        <w:br/>
      </w:r>
      <w:r>
        <w:rPr>
          <w:rStyle w:val="NormalTok"/>
        </w:rPr>
        <w:t xml:space="preserve">                start_sentence_num </w:t>
      </w:r>
      <w:r>
        <w:rPr>
          <w:rStyle w:val="OperatorTok"/>
        </w:rPr>
        <w:t xml:space="preserve">=</w:t>
      </w:r>
      <w:r>
        <w:rPr>
          <w:rStyle w:val="NormalTok"/>
        </w:rPr>
        <w:t xml:space="preserve"> </w:t>
      </w:r>
      <w:r>
        <w:rPr>
          <w:rStyle w:val="BuiltInTok"/>
        </w:rPr>
        <w:t xml:space="preserve">int</w:t>
      </w:r>
      <w:r>
        <w:rPr>
          <w:rStyle w:val="NormalTok"/>
        </w:rPr>
        <w:t xml:space="preserve">(group.loc[start_idx, </w:t>
      </w:r>
      <w:r>
        <w:rPr>
          <w:rStyle w:val="StringTok"/>
        </w:rPr>
        <w:t xml:space="preserve">"sentence_number"</w:t>
      </w:r>
      <w:r>
        <w:rPr>
          <w:rStyle w:val="NormalTok"/>
        </w:rPr>
        <w:t xml:space="preserve">])</w:t>
      </w:r>
      <w:r>
        <w:br/>
      </w:r>
      <w:r>
        <w:rPr>
          <w:rStyle w:val="NormalTok"/>
        </w:rPr>
        <w:t xml:space="preserve">                end_sentence_num </w:t>
      </w:r>
      <w:r>
        <w:rPr>
          <w:rStyle w:val="OperatorTok"/>
        </w:rPr>
        <w:t xml:space="preserve">=</w:t>
      </w:r>
      <w:r>
        <w:rPr>
          <w:rStyle w:val="NormalTok"/>
        </w:rPr>
        <w:t xml:space="preserve"> </w:t>
      </w:r>
      <w:r>
        <w:rPr>
          <w:rStyle w:val="BuiltInTok"/>
        </w:rPr>
        <w:t xml:space="preserve">int</w:t>
      </w:r>
      <w:r>
        <w:rPr>
          <w:rStyle w:val="NormalTok"/>
        </w:rPr>
        <w:t xml:space="preserve">(group.loc[end_idx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"sentence_number"</w:t>
      </w:r>
      <w:r>
        <w:rPr>
          <w:rStyle w:val="NormalTok"/>
        </w:rPr>
        <w:t xml:space="preserve">])</w:t>
      </w:r>
      <w:r>
        <w:br/>
      </w:r>
      <w:r>
        <w:br/>
      </w:r>
      <w:r>
        <w:rPr>
          <w:rStyle w:val="NormalTok"/>
        </w:rPr>
        <w:t xml:space="preserve">                chunk_rows.append({</w:t>
      </w:r>
      <w:r>
        <w:br/>
      </w:r>
      <w:r>
        <w:rPr>
          <w:rStyle w:val="NormalTok"/>
        </w:rPr>
        <w:t xml:space="preserve">                    </w:t>
      </w:r>
      <w:r>
        <w:rPr>
          <w:rStyle w:val="StringTok"/>
        </w:rPr>
        <w:t xml:space="preserve">"chunk_id"</w:t>
      </w:r>
      <w:r>
        <w:rPr>
          <w:rStyle w:val="NormalTok"/>
        </w:rPr>
        <w:t xml:space="preserve">: </w:t>
      </w:r>
      <w:r>
        <w:rPr>
          <w:rStyle w:val="SpecialStringTok"/>
        </w:rPr>
        <w:t xml:space="preserve">f"</w:t>
      </w:r>
      <w:r>
        <w:rPr>
          <w:rStyle w:val="SpecialCharTok"/>
        </w:rPr>
        <w:t xml:space="preserve">{</w:t>
      </w:r>
      <w:r>
        <w:rPr>
          <w:rStyle w:val="NormalTok"/>
        </w:rPr>
        <w:t xml:space="preserve">file_name</w:t>
      </w:r>
      <w:r>
        <w:rPr>
          <w:rStyle w:val="SpecialCharTok"/>
        </w:rPr>
        <w:t xml:space="preserve">}</w:t>
      </w:r>
      <w:r>
        <w:rPr>
          <w:rStyle w:val="SpecialStringTok"/>
        </w:rPr>
        <w:t xml:space="preserve">::</w:t>
      </w:r>
      <w:r>
        <w:rPr>
          <w:rStyle w:val="SpecialCharTok"/>
        </w:rPr>
        <w:t xml:space="preserve">{</w:t>
      </w:r>
      <w:r>
        <w:rPr>
          <w:rStyle w:val="NormalTok"/>
        </w:rPr>
        <w:t xml:space="preserve">section_name</w:t>
      </w:r>
      <w:r>
        <w:rPr>
          <w:rStyle w:val="SpecialCharTok"/>
        </w:rPr>
        <w:t xml:space="preserve">}</w:t>
      </w:r>
      <w:r>
        <w:rPr>
          <w:rStyle w:val="SpecialStringTok"/>
        </w:rPr>
        <w:t xml:space="preserve">::c</w:t>
      </w:r>
      <w:r>
        <w:rPr>
          <w:rStyle w:val="SpecialCharTok"/>
        </w:rPr>
        <w:t xml:space="preserve">{</w:t>
      </w:r>
      <w:r>
        <w:rPr>
          <w:rStyle w:val="NormalTok"/>
        </w:rPr>
        <w:t xml:space="preserve">chunk_counter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"file_name"</w:t>
      </w:r>
      <w:r>
        <w:rPr>
          <w:rStyle w:val="NormalTok"/>
        </w:rPr>
        <w:t xml:space="preserve">: file_name,</w:t>
      </w:r>
      <w:r>
        <w:br/>
      </w:r>
      <w:r>
        <w:rPr>
          <w:rStyle w:val="NormalTok"/>
        </w:rPr>
        <w:t xml:space="preserve">                    </w:t>
      </w:r>
      <w:r>
        <w:rPr>
          <w:rStyle w:val="StringTok"/>
        </w:rPr>
        <w:t xml:space="preserve">"file_path"</w:t>
      </w:r>
      <w:r>
        <w:rPr>
          <w:rStyle w:val="NormalTok"/>
        </w:rPr>
        <w:t xml:space="preserve">: file_path,</w:t>
      </w:r>
      <w:r>
        <w:br/>
      </w:r>
      <w:r>
        <w:rPr>
          <w:rStyle w:val="NormalTok"/>
        </w:rPr>
        <w:t xml:space="preserve">                    </w:t>
      </w:r>
      <w:r>
        <w:rPr>
          <w:rStyle w:val="StringTok"/>
        </w:rPr>
        <w:t xml:space="preserve">"section_name"</w:t>
      </w:r>
      <w:r>
        <w:rPr>
          <w:rStyle w:val="NormalTok"/>
        </w:rPr>
        <w:t xml:space="preserve">: section_name,</w:t>
      </w:r>
      <w:r>
        <w:br/>
      </w:r>
      <w:r>
        <w:rPr>
          <w:rStyle w:val="NormalTok"/>
        </w:rPr>
        <w:t xml:space="preserve">                    </w:t>
      </w:r>
      <w:r>
        <w:rPr>
          <w:rStyle w:val="StringTok"/>
        </w:rPr>
        <w:t xml:space="preserve">"start_sentence"</w:t>
      </w:r>
      <w:r>
        <w:rPr>
          <w:rStyle w:val="NormalTok"/>
        </w:rPr>
        <w:t xml:space="preserve">: start_sentence_num,</w:t>
      </w:r>
      <w:r>
        <w:br/>
      </w:r>
      <w:r>
        <w:rPr>
          <w:rStyle w:val="NormalTok"/>
        </w:rPr>
        <w:t xml:space="preserve">                    </w:t>
      </w:r>
      <w:r>
        <w:rPr>
          <w:rStyle w:val="StringTok"/>
        </w:rPr>
        <w:t xml:space="preserve">"end_sentence"</w:t>
      </w:r>
      <w:r>
        <w:rPr>
          <w:rStyle w:val="NormalTok"/>
        </w:rPr>
        <w:t xml:space="preserve">: end_sentence_num,</w:t>
      </w:r>
      <w:r>
        <w:br/>
      </w:r>
      <w:r>
        <w:rPr>
          <w:rStyle w:val="NormalTok"/>
        </w:rPr>
        <w:t xml:space="preserve">                    </w:t>
      </w:r>
      <w:r>
        <w:rPr>
          <w:rStyle w:val="StringTok"/>
        </w:rPr>
        <w:t xml:space="preserve">"n_sentences"</w:t>
      </w:r>
      <w:r>
        <w:rPr>
          <w:rStyle w:val="NormalTok"/>
        </w:rPr>
        <w:t xml:space="preserve">: end_idx </w:t>
      </w:r>
      <w:r>
        <w:rPr>
          <w:rStyle w:val="OperatorTok"/>
        </w:rPr>
        <w:t xml:space="preserve">-</w:t>
      </w:r>
      <w:r>
        <w:rPr>
          <w:rStyle w:val="NormalTok"/>
        </w:rPr>
        <w:t xml:space="preserve"> start_idx,</w:t>
      </w:r>
      <w:r>
        <w:br/>
      </w:r>
      <w:r>
        <w:rPr>
          <w:rStyle w:val="NormalTok"/>
        </w:rPr>
        <w:t xml:space="preserve">                    </w:t>
      </w:r>
      <w:r>
        <w:rPr>
          <w:rStyle w:val="StringTok"/>
        </w:rPr>
        <w:t xml:space="preserve">"chunk_text"</w:t>
      </w:r>
      <w:r>
        <w:rPr>
          <w:rStyle w:val="NormalTok"/>
        </w:rPr>
        <w:t xml:space="preserve">: chunk_text,</w:t>
      </w:r>
      <w:r>
        <w:br/>
      </w:r>
      <w:r>
        <w:rPr>
          <w:rStyle w:val="NormalTok"/>
        </w:rPr>
        <w:t xml:space="preserve">                    </w:t>
      </w:r>
      <w:r>
        <w:rPr>
          <w:rStyle w:val="StringTok"/>
        </w:rPr>
        <w:t xml:space="preserve">"chunk_length_chars"</w:t>
      </w:r>
      <w:r>
        <w:rPr>
          <w:rStyle w:val="NormalTok"/>
        </w:rPr>
        <w:t xml:space="preserve">: </w:t>
      </w:r>
      <w:r>
        <w:rPr>
          <w:rStyle w:val="BuiltInTok"/>
        </w:rPr>
        <w:t xml:space="preserve">len</w:t>
      </w:r>
      <w:r>
        <w:rPr>
          <w:rStyle w:val="NormalTok"/>
        </w:rPr>
        <w:t xml:space="preserve">(chunk_text),</w:t>
      </w:r>
      <w:r>
        <w:br/>
      </w:r>
      <w:r>
        <w:rPr>
          <w:rStyle w:val="NormalTok"/>
        </w:rPr>
        <w:t xml:space="preserve">                    </w:t>
      </w:r>
      <w:r>
        <w:rPr>
          <w:rStyle w:val="StringTok"/>
        </w:rPr>
        <w:t xml:space="preserve">"approx_token_count"</w:t>
      </w:r>
      <w:r>
        <w:rPr>
          <w:rStyle w:val="NormalTok"/>
        </w:rPr>
        <w:t xml:space="preserve">: current_token_total,</w:t>
      </w:r>
      <w:r>
        <w:br/>
      </w:r>
      <w:r>
        <w:rPr>
          <w:rStyle w:val="NormalTok"/>
        </w:rPr>
        <w:t xml:space="preserve">                })</w:t>
      </w:r>
      <w:r>
        <w:br/>
      </w:r>
      <w:r>
        <w:br/>
      </w:r>
      <w:r>
        <w:rPr>
          <w:rStyle w:val="NormalTok"/>
        </w:rPr>
        <w:t xml:space="preserve">                chunk_counter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move forward with overlap</w:t>
      </w:r>
      <w:r>
        <w:br/>
      </w:r>
      <w:r>
        <w:rPr>
          <w:rStyle w:val="NormalTok"/>
        </w:rPr>
        <w:t xml:space="preserve">            </w:t>
      </w:r>
      <w:r>
        <w:rPr>
          <w:rStyle w:val="ControlFlowTok"/>
        </w:rPr>
        <w:t xml:space="preserve">if</w:t>
      </w:r>
      <w:r>
        <w:rPr>
          <w:rStyle w:val="NormalTok"/>
        </w:rPr>
        <w:t xml:space="preserve"> end_idx </w:t>
      </w:r>
      <w:r>
        <w:rPr>
          <w:rStyle w:val="OperatorTok"/>
        </w:rPr>
        <w:t xml:space="preserve">&gt;=</w:t>
      </w:r>
      <w:r>
        <w:rPr>
          <w:rStyle w:val="NormalTok"/>
        </w:rPr>
        <w:t xml:space="preserve"> n:</w:t>
      </w:r>
      <w:r>
        <w:br/>
      </w:r>
      <w:r>
        <w:rPr>
          <w:rStyle w:val="NormalTok"/>
        </w:rPr>
        <w:t xml:space="preserve">                </w:t>
      </w:r>
      <w:r>
        <w:rPr>
          <w:rStyle w:val="ControlFlowTok"/>
        </w:rPr>
        <w:t xml:space="preserve">break</w:t>
      </w:r>
      <w:r>
        <w:br/>
      </w:r>
      <w:r>
        <w:br/>
      </w:r>
      <w:r>
        <w:rPr>
          <w:rStyle w:val="NormalTok"/>
        </w:rPr>
        <w:t xml:space="preserve">            next_start_idx </w:t>
      </w:r>
      <w:r>
        <w:rPr>
          <w:rStyle w:val="OperatorTok"/>
        </w:rPr>
        <w:t xml:space="preserve">=</w:t>
      </w:r>
      <w:r>
        <w:rPr>
          <w:rStyle w:val="NormalTok"/>
        </w:rPr>
        <w:t xml:space="preserve"> </w:t>
      </w:r>
      <w:r>
        <w:rPr>
          <w:rStyle w:val="BuiltInTok"/>
        </w:rPr>
        <w:t xml:space="preserve">max</w:t>
      </w:r>
      <w:r>
        <w:rPr>
          <w:rStyle w:val="NormalTok"/>
        </w:rPr>
        <w:t xml:space="preserve">(start_idx </w:t>
      </w:r>
      <w:r>
        <w:rPr>
          <w:rStyle w:val="OperatorTok"/>
        </w:rPr>
        <w:t xml:space="preserve">+</w:t>
      </w:r>
      <w:r>
        <w:rPr>
          <w:rStyle w:val="NormalTok"/>
        </w:rPr>
        <w:t xml:space="preserve"> </w:t>
      </w:r>
      <w:r>
        <w:rPr>
          <w:rStyle w:val="DecValTok"/>
        </w:rPr>
        <w:t xml:space="preserve">1</w:t>
      </w:r>
      <w:r>
        <w:rPr>
          <w:rStyle w:val="NormalTok"/>
        </w:rPr>
        <w:t xml:space="preserve">, end_idx </w:t>
      </w:r>
      <w:r>
        <w:rPr>
          <w:rStyle w:val="OperatorTok"/>
        </w:rPr>
        <w:t xml:space="preserve">-</w:t>
      </w:r>
      <w:r>
        <w:rPr>
          <w:rStyle w:val="NormalTok"/>
        </w:rPr>
        <w:t xml:space="preserve"> overlap_sentences)</w:t>
      </w:r>
      <w:r>
        <w:br/>
      </w:r>
      <w:r>
        <w:rPr>
          <w:rStyle w:val="NormalTok"/>
        </w:rPr>
        <w:t xml:space="preserve">            </w:t>
      </w:r>
      <w:r>
        <w:rPr>
          <w:rStyle w:val="ControlFlowTok"/>
        </w:rPr>
        <w:t xml:space="preserve">if</w:t>
      </w:r>
      <w:r>
        <w:rPr>
          <w:rStyle w:val="NormalTok"/>
        </w:rPr>
        <w:t xml:space="preserve"> next_start_idx </w:t>
      </w:r>
      <w:r>
        <w:rPr>
          <w:rStyle w:val="OperatorTok"/>
        </w:rPr>
        <w:t xml:space="preserve">&lt;=</w:t>
      </w:r>
      <w:r>
        <w:rPr>
          <w:rStyle w:val="NormalTok"/>
        </w:rPr>
        <w:t xml:space="preserve"> start_idx:</w:t>
      </w:r>
      <w:r>
        <w:br/>
      </w:r>
      <w:r>
        <w:rPr>
          <w:rStyle w:val="NormalTok"/>
        </w:rPr>
        <w:t xml:space="preserve">                next_start_idx </w:t>
      </w:r>
      <w:r>
        <w:rPr>
          <w:rStyle w:val="OperatorTok"/>
        </w:rPr>
        <w:t xml:space="preserve">=</w:t>
      </w:r>
      <w:r>
        <w:rPr>
          <w:rStyle w:val="NormalTok"/>
        </w:rPr>
        <w:t xml:space="preserve"> start_idx </w:t>
      </w:r>
      <w:r>
        <w:rPr>
          <w:rStyle w:val="OperatorTok"/>
        </w:rPr>
        <w:t xml:space="preserve">+</w:t>
      </w:r>
      <w:r>
        <w:rPr>
          <w:rStyle w:val="NormalTok"/>
        </w:rPr>
        <w:t xml:space="preserve"> </w:t>
      </w:r>
      <w:r>
        <w:rPr>
          <w:rStyle w:val="DecValTok"/>
        </w:rPr>
        <w:t xml:space="preserve">1</w:t>
      </w:r>
      <w:r>
        <w:br/>
      </w:r>
      <w:r>
        <w:br/>
      </w:r>
      <w:r>
        <w:rPr>
          <w:rStyle w:val="NormalTok"/>
        </w:rPr>
        <w:t xml:space="preserve">            start_idx </w:t>
      </w:r>
      <w:r>
        <w:rPr>
          <w:rStyle w:val="OperatorTok"/>
        </w:rPr>
        <w:t xml:space="preserve">=</w:t>
      </w:r>
      <w:r>
        <w:rPr>
          <w:rStyle w:val="NormalTok"/>
        </w:rPr>
        <w:t xml:space="preserve"> next_start_idx</w:t>
      </w:r>
      <w:r>
        <w:br/>
      </w:r>
      <w:r>
        <w:br/>
      </w:r>
      <w:r>
        <w:rPr>
          <w:rStyle w:val="NormalTok"/>
        </w:rPr>
        <w:t xml:space="preserve">    </w:t>
      </w:r>
      <w:r>
        <w:rPr>
          <w:rStyle w:val="ControlFlowTok"/>
        </w:rPr>
        <w:t xml:space="preserve">return</w:t>
      </w:r>
      <w:r>
        <w:rPr>
          <w:rStyle w:val="NormalTok"/>
        </w:rPr>
        <w:t xml:space="preserve"> pd.DataFrame(chunk_rows)</w:t>
      </w:r>
    </w:p>
    <w:bookmarkEnd w:id="52"/>
    <w:bookmarkStart w:id="54" w:name="generate-the-rolling-chunk-corpus"/>
    <w:p>
      <w:pPr>
        <w:pStyle w:val="Heading2"/>
      </w:pPr>
      <w:r>
        <w:t xml:space="preserve">5.4 Generate the rolling chunk corpus</w:t>
      </w:r>
    </w:p>
    <w:p>
      <w:pPr>
        <w:pStyle w:val="FirstParagraph"/>
      </w:pPr>
      <w:r>
        <w:t xml:space="preserve">Enforce the following parameters:</w:t>
      </w:r>
    </w:p>
    <w:p>
      <w:pPr>
        <w:pStyle w:val="Compact"/>
        <w:numPr>
          <w:ilvl w:val="0"/>
          <w:numId w:val="1030"/>
        </w:numPr>
      </w:pPr>
      <w:r>
        <w:t xml:space="preserve">target_tokens</w:t>
      </w:r>
    </w:p>
    <w:p>
      <w:pPr>
        <w:pStyle w:val="Compact"/>
        <w:numPr>
          <w:ilvl w:val="1"/>
          <w:numId w:val="1031"/>
        </w:numPr>
      </w:pPr>
      <w:r>
        <w:t xml:space="preserve">Must be less than or equal to</w:t>
      </w:r>
      <w:r>
        <w:t xml:space="preserve"> </w:t>
      </w:r>
      <w:r>
        <w:rPr>
          <w:rStyle w:val="VerbatimChar"/>
        </w:rPr>
        <w:t xml:space="preserve">max_tokens</w:t>
      </w:r>
    </w:p>
    <w:p>
      <w:pPr>
        <w:pStyle w:val="Compact"/>
        <w:numPr>
          <w:ilvl w:val="1"/>
          <w:numId w:val="1031"/>
        </w:numPr>
      </w:pPr>
      <w:r>
        <w:t xml:space="preserve">Should be a reasonable mid‑range (e.g., 150–500)</w:t>
      </w:r>
    </w:p>
    <w:p>
      <w:pPr>
        <w:pStyle w:val="Compact"/>
        <w:numPr>
          <w:ilvl w:val="0"/>
          <w:numId w:val="1030"/>
        </w:numPr>
      </w:pPr>
      <w:r>
        <w:t xml:space="preserve">max_tokens</w:t>
      </w:r>
    </w:p>
    <w:p>
      <w:pPr>
        <w:pStyle w:val="Compact"/>
        <w:numPr>
          <w:ilvl w:val="1"/>
          <w:numId w:val="1032"/>
        </w:numPr>
      </w:pPr>
      <w:r>
        <w:t xml:space="preserve">Must be greater than target_tokens</w:t>
      </w:r>
    </w:p>
    <w:p>
      <w:pPr>
        <w:pStyle w:val="Compact"/>
        <w:numPr>
          <w:ilvl w:val="1"/>
          <w:numId w:val="1032"/>
        </w:numPr>
      </w:pPr>
      <w:r>
        <w:t xml:space="preserve">Represents the absolute ceiling (e.g., 200–500)</w:t>
      </w:r>
    </w:p>
    <w:p>
      <w:pPr>
        <w:pStyle w:val="Compact"/>
        <w:numPr>
          <w:ilvl w:val="0"/>
          <w:numId w:val="1030"/>
        </w:numPr>
      </w:pPr>
      <w:r>
        <w:t xml:space="preserve">min_chunk_tokens</w:t>
      </w:r>
    </w:p>
    <w:p>
      <w:pPr>
        <w:pStyle w:val="Compact"/>
        <w:numPr>
          <w:ilvl w:val="1"/>
          <w:numId w:val="1033"/>
        </w:numPr>
      </w:pPr>
      <w:r>
        <w:t xml:space="preserve">Must be less than target_tokens</w:t>
      </w:r>
    </w:p>
    <w:p>
      <w:pPr>
        <w:pStyle w:val="Compact"/>
        <w:numPr>
          <w:ilvl w:val="1"/>
          <w:numId w:val="1033"/>
        </w:numPr>
      </w:pPr>
      <w:r>
        <w:t xml:space="preserve">Ensures we don’t create tiny, useless chunks</w:t>
      </w:r>
    </w:p>
    <w:p>
      <w:pPr>
        <w:pStyle w:val="Compact"/>
        <w:numPr>
          <w:ilvl w:val="0"/>
          <w:numId w:val="1030"/>
        </w:numPr>
      </w:pPr>
      <w:r>
        <w:t xml:space="preserve">overlap_sentences</w:t>
      </w:r>
    </w:p>
    <w:p>
      <w:pPr>
        <w:pStyle w:val="Compact"/>
        <w:numPr>
          <w:ilvl w:val="1"/>
          <w:numId w:val="1034"/>
        </w:numPr>
      </w:pPr>
      <w:r>
        <w:t xml:space="preserve">Must be</w:t>
      </w:r>
      <w:r>
        <w:t xml:space="preserve"> </w:t>
      </w:r>
      <m:oMath>
        <m:r>
          <m:rPr>
            <m:sty m:val="p"/>
          </m:rPr>
          <m:t>≥</m:t>
        </m:r>
        <m:r>
          <m:t>0</m:t>
        </m:r>
      </m:oMath>
    </w:p>
    <w:p>
      <w:pPr>
        <w:pStyle w:val="Compact"/>
        <w:numPr>
          <w:ilvl w:val="1"/>
          <w:numId w:val="1034"/>
        </w:numPr>
      </w:pPr>
      <w:r>
        <w:t xml:space="preserve">Should be small (1–5 sentences)</w:t>
      </w:r>
    </w:p>
    <w:p>
      <w:pPr>
        <w:pStyle w:val="SourceCode"/>
      </w:pPr>
      <w:r>
        <w:rPr>
          <w:rStyle w:val="NormalTok"/>
        </w:rPr>
        <w:t xml:space="preserve">df_chunks </w:t>
      </w:r>
      <w:r>
        <w:rPr>
          <w:rStyle w:val="OperatorTok"/>
        </w:rPr>
        <w:t xml:space="preserve">=</w:t>
      </w:r>
      <w:r>
        <w:rPr>
          <w:rStyle w:val="NormalTok"/>
        </w:rPr>
        <w:t xml:space="preserve"> build_sentence_window_chunks(</w:t>
      </w:r>
      <w:r>
        <w:br/>
      </w:r>
      <w:r>
        <w:rPr>
          <w:rStyle w:val="NormalTok"/>
        </w:rPr>
        <w:t xml:space="preserve">    df_sentences</w:t>
      </w:r>
      <w:r>
        <w:rPr>
          <w:rStyle w:val="OperatorTok"/>
        </w:rPr>
        <w:t xml:space="preserve">=</w:t>
      </w:r>
      <w:r>
        <w:rPr>
          <w:rStyle w:val="NormalTok"/>
        </w:rPr>
        <w:t xml:space="preserve">df_sentences,</w:t>
      </w:r>
      <w:r>
        <w:br/>
      </w:r>
      <w:r>
        <w:rPr>
          <w:rStyle w:val="NormalTok"/>
        </w:rPr>
        <w:t xml:space="preserve">    target_tokens</w:t>
      </w:r>
      <w:r>
        <w:rPr>
          <w:rStyle w:val="OperatorTok"/>
        </w:rPr>
        <w:t xml:space="preserve">=</w:t>
      </w:r>
      <w:r>
        <w:rPr>
          <w:rStyle w:val="NormalTok"/>
        </w:rPr>
        <w:t xml:space="preserve">add_your_target_token_value_here,</w:t>
      </w:r>
      <w:r>
        <w:br/>
      </w:r>
      <w:r>
        <w:rPr>
          <w:rStyle w:val="NormalTok"/>
        </w:rPr>
        <w:t xml:space="preserve">    max_tokens</w:t>
      </w:r>
      <w:r>
        <w:rPr>
          <w:rStyle w:val="OperatorTok"/>
        </w:rPr>
        <w:t xml:space="preserve">=</w:t>
      </w:r>
      <w:r>
        <w:rPr>
          <w:rStyle w:val="NormalTok"/>
        </w:rPr>
        <w:t xml:space="preserve">add_your_max_token_value_here,</w:t>
      </w:r>
      <w:r>
        <w:br/>
      </w:r>
      <w:r>
        <w:rPr>
          <w:rStyle w:val="NormalTok"/>
        </w:rPr>
        <w:t xml:space="preserve">    overlap_sentences</w:t>
      </w:r>
      <w:r>
        <w:rPr>
          <w:rStyle w:val="OperatorTok"/>
        </w:rPr>
        <w:t xml:space="preserve">=</w:t>
      </w:r>
      <w:r>
        <w:rPr>
          <w:rStyle w:val="NormalTok"/>
        </w:rPr>
        <w:t xml:space="preserve">add_your_overlap_sentences_value_here,</w:t>
      </w:r>
      <w:r>
        <w:br/>
      </w:r>
      <w:r>
        <w:rPr>
          <w:rStyle w:val="NormalTok"/>
        </w:rPr>
        <w:t xml:space="preserve">    min_chunk_tokens</w:t>
      </w:r>
      <w:r>
        <w:rPr>
          <w:rStyle w:val="OperatorTok"/>
        </w:rPr>
        <w:t xml:space="preserve">=</w:t>
      </w:r>
      <w:r>
        <w:rPr>
          <w:rStyle w:val="NormalTok"/>
        </w:rPr>
        <w:t xml:space="preserve">add_your_min_chunk_tokens_value_here</w:t>
      </w:r>
      <w:r>
        <w:br/>
      </w:r>
      <w:r>
        <w:rPr>
          <w:rStyle w:val="NormalTok"/>
        </w:rPr>
        <w:t xml:space="preserve">)</w:t>
      </w:r>
      <w:r>
        <w:br/>
      </w:r>
      <w:r>
        <w:br/>
      </w:r>
      <w:r>
        <w:rPr>
          <w:rStyle w:val="BuiltInTok"/>
        </w:rPr>
        <w:t xml:space="preserve">print</w:t>
      </w:r>
      <w:r>
        <w:rPr>
          <w:rStyle w:val="NormalTok"/>
        </w:rPr>
        <w:t xml:space="preserve">(df_chunks.shape)</w:t>
      </w:r>
      <w:r>
        <w:br/>
      </w:r>
      <w:r>
        <w:rPr>
          <w:rStyle w:val="NormalTok"/>
        </w:rPr>
        <w:t xml:space="preserve">df_chunks.head().style.hide(axis</w:t>
      </w:r>
      <w:r>
        <w:rPr>
          <w:rStyle w:val="OperatorTok"/>
        </w:rPr>
        <w:t xml:space="preserve">=</w:t>
      </w:r>
      <w:r>
        <w:rPr>
          <w:rStyle w:val="StringTok"/>
        </w:rPr>
        <w:t xml:space="preserve">"index"</w:t>
      </w:r>
      <w:r>
        <w:rPr>
          <w:rStyle w:val="NormalTok"/>
        </w:rPr>
        <w:t xml:space="preserve">)</w:t>
      </w:r>
    </w:p>
    <w:p>
      <w:pPr>
        <w:pStyle w:val="SourceCode"/>
      </w:pPr>
      <w:r>
        <w:rPr>
          <w:rStyle w:val="VerbatimChar"/>
        </w:rPr>
        <w:t xml:space="preserve">(2664, 10)</w:t>
      </w:r>
    </w:p>
    <w:bookmarkStart w:id="53" w:name="T_fdf68"/>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chunk_id</w:t>
            </w:r>
          </w:p>
        </w:tc>
        <w:tc>
          <w:tcPr/>
          <w:p>
            <w:pPr>
              <w:pStyle w:val="Compact"/>
            </w:pPr>
            <w:r>
              <w:t xml:space="preserve">file_name</w:t>
            </w:r>
          </w:p>
        </w:tc>
        <w:tc>
          <w:tcPr/>
          <w:p>
            <w:pPr>
              <w:pStyle w:val="Compact"/>
            </w:pPr>
            <w:r>
              <w:t xml:space="preserve">file_path</w:t>
            </w:r>
          </w:p>
        </w:tc>
        <w:tc>
          <w:tcPr/>
          <w:p>
            <w:pPr>
              <w:pStyle w:val="Compact"/>
            </w:pPr>
            <w:r>
              <w:t xml:space="preserve">section_name</w:t>
            </w:r>
          </w:p>
        </w:tc>
        <w:tc>
          <w:tcPr/>
          <w:p>
            <w:pPr>
              <w:pStyle w:val="Compact"/>
            </w:pPr>
            <w:r>
              <w:t xml:space="preserve">start_sentence</w:t>
            </w:r>
          </w:p>
        </w:tc>
        <w:tc>
          <w:tcPr/>
          <w:p>
            <w:pPr>
              <w:pStyle w:val="Compact"/>
            </w:pPr>
            <w:r>
              <w:t xml:space="preserve">end_sentence</w:t>
            </w:r>
          </w:p>
        </w:tc>
        <w:tc>
          <w:tcPr/>
          <w:p>
            <w:pPr>
              <w:pStyle w:val="Compact"/>
            </w:pPr>
            <w:r>
              <w:t xml:space="preserve">n_sentences</w:t>
            </w:r>
          </w:p>
        </w:tc>
        <w:tc>
          <w:tcPr/>
          <w:p>
            <w:pPr>
              <w:pStyle w:val="Compact"/>
            </w:pPr>
            <w:r>
              <w:t xml:space="preserve">chunk_text</w:t>
            </w:r>
          </w:p>
        </w:tc>
        <w:tc>
          <w:tcPr/>
          <w:p>
            <w:pPr>
              <w:pStyle w:val="Compact"/>
            </w:pPr>
            <w:r>
              <w:t xml:space="preserve">chunk_length_chars</w:t>
            </w:r>
          </w:p>
        </w:tc>
        <w:tc>
          <w:tcPr/>
          <w:p>
            <w:pPr>
              <w:pStyle w:val="Compact"/>
            </w:pPr>
            <w:r>
              <w:t xml:space="preserve">approx_token_count</w:t>
            </w:r>
          </w:p>
        </w:tc>
      </w:tr>
      <w:tr>
        <w:tc>
          <w:tcPr/>
          <w:p>
            <w:pPr>
              <w:pStyle w:val="Compact"/>
            </w:pPr>
            <w:r>
              <w:t xml:space="preserve">20240102_10-K_edgar_data_1288750_0001654954-24-000069.html::item_1::c1</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1</w:t>
            </w:r>
          </w:p>
        </w:tc>
        <w:tc>
          <w:tcPr/>
          <w:p>
            <w:pPr>
              <w:pStyle w:val="Compact"/>
            </w:pPr>
            <w:r>
              <w:t xml:space="preserve">10</w:t>
            </w:r>
          </w:p>
        </w:tc>
        <w:tc>
          <w:tcPr/>
          <w:p>
            <w:pPr>
              <w:pStyle w:val="Compact"/>
            </w:pPr>
            <w:r>
              <w:t xml:space="preserve">10</w:t>
            </w:r>
          </w:p>
        </w:tc>
        <w:tc>
          <w:tcPr/>
          <w:p>
            <w:pPr>
              <w:pStyle w:val="Compact"/>
            </w:pPr>
            <w:r>
              <w:t xml:space="preserve">DESCRIPTION OF BUSINESS Incorporation and Early History We were incorporated in the State of Idaho in August 1968 under the name Silver Crystal Mines, Inc., to engage in the business of exploring for precious metal deposits and advancing them toward production. We ceased exploration activities during the 1990’s and became virtually inactive. In December 2003, a group of investors purchased 80-percent of the issued and outstanding common stock from the then-controlling management team. In January 2004, we affected a one-for-four reverse split of our issued and outstanding shares of common stock and increased the number of our authorized shares of common stock to 100,000,000 with a par value of $0.001. In February 2004, our name was changed to Timberline Resources Corporation. Since the reorganization, we have been in an exploration stage evaluating, acquiring, and exploring mineral prospects with potential for economic deposits of precious and base metals. We define a prospect as a mining property, the value of which has not been determined by exploration. In August 2008, we reincorporated into the State of Delaware pursuant to a merger agreement approved by our shareholders. In July 2007, we closed our purchase of the Butte Highlands Gold Project. In October 2008, we announced that we had agreed to form a 50/50 joint venture at the Butte Highlands Project.</w:t>
            </w:r>
          </w:p>
        </w:tc>
        <w:tc>
          <w:tcPr/>
          <w:p>
            <w:pPr>
              <w:pStyle w:val="Compact"/>
            </w:pPr>
            <w:r>
              <w:t xml:space="preserve">1378</w:t>
            </w:r>
          </w:p>
        </w:tc>
        <w:tc>
          <w:tcPr/>
          <w:p>
            <w:pPr>
              <w:pStyle w:val="Compact"/>
            </w:pPr>
            <w:r>
              <w:t xml:space="preserve">259</w:t>
            </w:r>
          </w:p>
        </w:tc>
      </w:tr>
      <w:tr>
        <w:tc>
          <w:tcPr/>
          <w:p>
            <w:pPr>
              <w:pStyle w:val="Compact"/>
            </w:pPr>
            <w:r>
              <w:t xml:space="preserve">20240102_10-K_edgar_data_1288750_0001654954-24-000069.html::item_1::c2</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9</w:t>
            </w:r>
          </w:p>
        </w:tc>
        <w:tc>
          <w:tcPr/>
          <w:p>
            <w:pPr>
              <w:pStyle w:val="Compact"/>
            </w:pPr>
            <w:r>
              <w:t xml:space="preserve">16</w:t>
            </w:r>
          </w:p>
        </w:tc>
        <w:tc>
          <w:tcPr/>
          <w:p>
            <w:pPr>
              <w:pStyle w:val="Compact"/>
            </w:pPr>
            <w:r>
              <w:t xml:space="preserve">8</w:t>
            </w:r>
          </w:p>
        </w:tc>
        <w:tc>
          <w:tcPr/>
          <w:p>
            <w:pPr>
              <w:pStyle w:val="Compact"/>
            </w:pPr>
            <w:r>
              <w:t xml:space="preserve">In July 2007, we closed our purchase of the Butte Highlands Gold Project. In October 2008, we announced that we had agreed to form a 50/50 joint venture at the Butte Highlands Project. In July 2009, we finalized the joint venture agreement with Highland Mining, LLC (“Highland”) to create Butte Highlands JV, LLC (“BHJV”). Under terms of the joint venture agreement, development began in the summer of 2009, with Highland funding all mine development costs through development. Both Timberline’s and Highland’s 50-percent share of costs were to be paid out of net proceeds from future mine production. On January 29, 2016, we executed a Member Interest Purchase Agreement (the “Purchase Agreement”) with New Jersey Mining Company pursuant to which we sold all of our 50% interest in BHJV. In June 2010, we closed our acquisition of Staccato Gold Resources Ltd. (“Staccato Gold”), a Canadian-based resource company that was in the business of acquiring, exploring, and developing mineral properties with a focus on gold exploration in the dominant gold producing trends in Nevada. As a result of this acquisition, we obtained Staccato’s flagship gold exploration project (“Lookout Mountain”), and several other projects at various stages of exploration in the Battle Mountain/Eureka gold trend in north-central Nevada, along with Staccato Gold’s wholly owned U.S. subsidiary, BH Minerals USA, Inc. (“BH Minerals”).</w:t>
            </w:r>
          </w:p>
        </w:tc>
        <w:tc>
          <w:tcPr/>
          <w:p>
            <w:pPr>
              <w:pStyle w:val="Compact"/>
            </w:pPr>
            <w:r>
              <w:t xml:space="preserve">1413</w:t>
            </w:r>
          </w:p>
        </w:tc>
        <w:tc>
          <w:tcPr/>
          <w:p>
            <w:pPr>
              <w:pStyle w:val="Compact"/>
            </w:pPr>
            <w:r>
              <w:t xml:space="preserve">293</w:t>
            </w:r>
          </w:p>
        </w:tc>
      </w:tr>
      <w:tr>
        <w:tc>
          <w:tcPr/>
          <w:p>
            <w:pPr>
              <w:pStyle w:val="Compact"/>
            </w:pPr>
            <w:r>
              <w:t xml:space="preserve">20240102_10-K_edgar_data_1288750_0001654954-24-000069.html::item_1::c3</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15</w:t>
            </w:r>
          </w:p>
        </w:tc>
        <w:tc>
          <w:tcPr/>
          <w:p>
            <w:pPr>
              <w:pStyle w:val="Compact"/>
            </w:pPr>
            <w:r>
              <w:t xml:space="preserve">19</w:t>
            </w:r>
          </w:p>
        </w:tc>
        <w:tc>
          <w:tcPr/>
          <w:p>
            <w:pPr>
              <w:pStyle w:val="Compact"/>
            </w:pPr>
            <w:r>
              <w:t xml:space="preserve">5</w:t>
            </w:r>
          </w:p>
        </w:tc>
        <w:tc>
          <w:tcPr/>
          <w:p>
            <w:pPr>
              <w:pStyle w:val="Compact"/>
            </w:pPr>
            <w:r>
              <w:t xml:space="preserve">In June 2010, we closed our acquisition of Staccato Gold Resources Ltd. (“Staccato Gold”), a Canadian-based resource company that was in the business of acquiring, exploring, and developing mineral properties with a focus on gold exploration in the dominant gold producing trends in Nevada. As a result of this acquisition, we obtained Staccato’s flagship gold exploration project (“Lookout Mountain”), and several other projects at various stages of exploration in the Battle Mountain/Eureka gold trend in north-central Nevada, along with Staccato Gold’s wholly owned U.S. subsidiary, BH Minerals USA, Inc. (“BH Minerals”). In August 2014, we closed our acquisition of Wolfpack Gold (Nevada) Corp. (“Wolfpack US”), a U.S. company and a wholly owned subsidiary of Wolfpack Gold Corp., a Canadian-based resource company (“Wolfpack Gold”), that was in the business of acquiring, exploring, and developing mineral properties with a focus on gold exploration in the dominant gold producing trends in Nevada. As a result of this acquisition, we obtained cash and several projects at various stages of exploration in the gold trends in Nevada. 5 Table of Contents On March 17, 2015, Timberline signed a definitive option agreement to purchase 100% ownership in the Talapoosa Project in Nevada from Gunpoint Exploration Ltd. (Gunpoint).</w:t>
            </w:r>
          </w:p>
        </w:tc>
        <w:tc>
          <w:tcPr/>
          <w:p>
            <w:pPr>
              <w:pStyle w:val="Compact"/>
            </w:pPr>
            <w:r>
              <w:t xml:space="preserve">1329</w:t>
            </w:r>
          </w:p>
        </w:tc>
        <w:tc>
          <w:tcPr/>
          <w:p>
            <w:pPr>
              <w:pStyle w:val="Compact"/>
            </w:pPr>
            <w:r>
              <w:t xml:space="preserve">272</w:t>
            </w:r>
          </w:p>
        </w:tc>
      </w:tr>
      <w:tr>
        <w:tc>
          <w:tcPr/>
          <w:p>
            <w:pPr>
              <w:pStyle w:val="Compact"/>
            </w:pPr>
            <w:r>
              <w:t xml:space="preserve">20240102_10-K_edgar_data_1288750_0001654954-24-000069.html::item_1::c4</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18</w:t>
            </w:r>
          </w:p>
        </w:tc>
        <w:tc>
          <w:tcPr/>
          <w:p>
            <w:pPr>
              <w:pStyle w:val="Compact"/>
            </w:pPr>
            <w:r>
              <w:t xml:space="preserve">22</w:t>
            </w:r>
          </w:p>
        </w:tc>
        <w:tc>
          <w:tcPr/>
          <w:p>
            <w:pPr>
              <w:pStyle w:val="Compact"/>
            </w:pPr>
            <w:r>
              <w:t xml:space="preserve">5</w:t>
            </w:r>
          </w:p>
        </w:tc>
        <w:tc>
          <w:tcPr/>
          <w:p>
            <w:pPr>
              <w:pStyle w:val="Compact"/>
            </w:pPr>
            <w:r>
              <w:t xml:space="preserve">As a result of this acquisition, we obtained cash and several projects at various stages of exploration in the gold trends in Nevada. 5 Table of Contents On March 17, 2015, Timberline signed a definitive option agreement to purchase 100% ownership in the Talapoosa Project in Nevada from Gunpoint Exploration Ltd. (Gunpoint). The Talapoosa Project is located in western Nevada and contains a resource of over 1 million ounces of gold. Under terms of the agreement Timberline paid Gunpoint $300,000 in cash and 2,000,000 shares of common stock on signing the agreement and was required to pay $10,000,000 (“Option Payment”) within 30 months of the agreement date to acquire 100% ownership, subject to significant contingent payments if the price of gold traded above US $1,600 per ounce for extended periods in the five (5) ensuing years. On October 26, 2016, the agreement was amended to extend the option exercise period to March 31, 2019 with the following schedule: payment of $1,000,000 and 1,000,000 common shares of the Company by March 31, 2017, payment of $2,000,000 and 1,000,000 common shares by March 31, 2018, and a final payment of $8,000,000 and 1.5 million common shares by March 31, 2019.</w:t>
            </w:r>
          </w:p>
        </w:tc>
        <w:tc>
          <w:tcPr/>
          <w:p>
            <w:pPr>
              <w:pStyle w:val="Compact"/>
            </w:pPr>
            <w:r>
              <w:t xml:space="preserve">1204</w:t>
            </w:r>
          </w:p>
        </w:tc>
        <w:tc>
          <w:tcPr/>
          <w:p>
            <w:pPr>
              <w:pStyle w:val="Compact"/>
            </w:pPr>
            <w:r>
              <w:t xml:space="preserve">267</w:t>
            </w:r>
          </w:p>
        </w:tc>
      </w:tr>
      <w:tr>
        <w:tc>
          <w:tcPr/>
          <w:p>
            <w:pPr>
              <w:pStyle w:val="Compact"/>
            </w:pPr>
            <w:r>
              <w:t xml:space="preserve">20240102_10-K_edgar_data_1288750_0001654954-24-000069.html::item_1::c5</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21</w:t>
            </w:r>
          </w:p>
        </w:tc>
        <w:tc>
          <w:tcPr/>
          <w:p>
            <w:pPr>
              <w:pStyle w:val="Compact"/>
            </w:pPr>
            <w:r>
              <w:t xml:space="preserve">24</w:t>
            </w:r>
          </w:p>
        </w:tc>
        <w:tc>
          <w:tcPr/>
          <w:p>
            <w:pPr>
              <w:pStyle w:val="Compact"/>
            </w:pPr>
            <w:r>
              <w:t xml:space="preserve">4</w:t>
            </w:r>
          </w:p>
        </w:tc>
        <w:tc>
          <w:tcPr/>
          <w:p>
            <w:pPr>
              <w:pStyle w:val="Compact"/>
            </w:pPr>
            <w:r>
              <w:t xml:space="preserve">Under terms of the agreement Timberline paid Gunpoint $300,000 in cash and 2,000,000 shares of common stock on signing the agreement and was required to pay $10,000,000 (“Option Payment”) within 30 months of the agreement date to acquire 100% ownership, subject to significant contingent payments if the price of gold traded above US $1,600 per ounce for extended periods in the five (5) ensuing years. On October 26, 2016, the agreement was amended to extend the option exercise period to March 31, 2019 with the following schedule: payment of $1,000,000 and 1,000,000 common shares of the Company by March 31, 2017, payment of $2,000,000 and 1,000,000 common shares by March 31, 2018, and a final payment of $8,000,000 and 1.5 million common shares by March 31, 2019. Timberline chose to not make the required payment due on March 31, 2018, and, therefore, the Agreement was terminated, resulting in a $3.2 million write off of a loss on abandonment of mineral rights. In May 2018, we entered into a definitive agreement to acquire ownership interests in two joint venture agreements in Nevada from Americas Gold Exploration, Inc (“AGEI”).</w:t>
            </w:r>
          </w:p>
        </w:tc>
        <w:tc>
          <w:tcPr/>
          <w:p>
            <w:pPr>
              <w:pStyle w:val="Compact"/>
            </w:pPr>
            <w:r>
              <w:t xml:space="preserve">1141</w:t>
            </w:r>
          </w:p>
        </w:tc>
        <w:tc>
          <w:tcPr/>
          <w:p>
            <w:pPr>
              <w:pStyle w:val="Compact"/>
            </w:pPr>
            <w:r>
              <w:t xml:space="preserve">262</w:t>
            </w:r>
          </w:p>
        </w:tc>
      </w:tr>
    </w:tbl>
    <w:bookmarkEnd w:id="53"/>
    <w:bookmarkEnd w:id="54"/>
    <w:bookmarkStart w:id="55" w:name="save-the-retrieval-ready-chunk-dataset"/>
    <w:p>
      <w:pPr>
        <w:pStyle w:val="Heading2"/>
      </w:pPr>
      <w:r>
        <w:t xml:space="preserve">5.5 Save the retrieval-ready chunk dataset</w:t>
      </w:r>
    </w:p>
    <w:p>
      <w:pPr>
        <w:pStyle w:val="FirstParagraph"/>
      </w:pPr>
      <w:r>
        <w:t xml:space="preserve">This is the main dataset you will likely use in later assignments.</w:t>
      </w:r>
    </w:p>
    <w:p>
      <w:pPr>
        <w:pStyle w:val="SourceCode"/>
      </w:pPr>
      <w:r>
        <w:rPr>
          <w:rStyle w:val="NormalTok"/>
        </w:rPr>
        <w:t xml:space="preserve">df_chunks.to_csv(OUTPUT_DIR </w:t>
      </w:r>
      <w:r>
        <w:rPr>
          <w:rStyle w:val="OperatorTok"/>
        </w:rPr>
        <w:t xml:space="preserve">/</w:t>
      </w:r>
      <w:r>
        <w:rPr>
          <w:rStyle w:val="NormalTok"/>
        </w:rPr>
        <w:t xml:space="preserve"> </w:t>
      </w:r>
      <w:r>
        <w:rPr>
          <w:rStyle w:val="StringTok"/>
        </w:rPr>
        <w:t xml:space="preserve">"sec_10k_2024_sentence_window_chunks.csv"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df_chunks.to_json(</w:t>
      </w:r>
      <w:r>
        <w:br/>
      </w:r>
      <w:r>
        <w:rPr>
          <w:rStyle w:val="NormalTok"/>
        </w:rPr>
        <w:t xml:space="preserve">    OUTPUT_DIR </w:t>
      </w:r>
      <w:r>
        <w:rPr>
          <w:rStyle w:val="OperatorTok"/>
        </w:rPr>
        <w:t xml:space="preserve">/</w:t>
      </w:r>
      <w:r>
        <w:rPr>
          <w:rStyle w:val="NormalTok"/>
        </w:rPr>
        <w:t xml:space="preserve"> </w:t>
      </w:r>
      <w:r>
        <w:rPr>
          <w:rStyle w:val="StringTok"/>
        </w:rPr>
        <w:t xml:space="preserve">"sec_10k_2024_sentence_window_chunks.json"</w:t>
      </w:r>
      <w:r>
        <w:rPr>
          <w:rStyle w:val="NormalTok"/>
        </w:rPr>
        <w:t xml:space="preserve">,</w:t>
      </w:r>
      <w:r>
        <w:br/>
      </w:r>
      <w:r>
        <w:rPr>
          <w:rStyle w:val="NormalTok"/>
        </w:rPr>
        <w:t xml:space="preserve">    orient</w:t>
      </w:r>
      <w:r>
        <w:rPr>
          <w:rStyle w:val="OperatorTok"/>
        </w:rPr>
        <w:t xml:space="preserve">=</w:t>
      </w:r>
      <w:r>
        <w:rPr>
          <w:rStyle w:val="StringTok"/>
        </w:rPr>
        <w:t xml:space="preserve">"records"</w:t>
      </w:r>
      <w:r>
        <w:rPr>
          <w:rStyle w:val="NormalTok"/>
        </w:rPr>
        <w:t xml:space="preserve">,</w:t>
      </w:r>
      <w:r>
        <w:br/>
      </w:r>
      <w:r>
        <w:rPr>
          <w:rStyle w:val="NormalTok"/>
        </w:rPr>
        <w:t xml:space="preserve">    force_ascii</w:t>
      </w:r>
      <w:r>
        <w:rPr>
          <w:rStyle w:val="OperatorTok"/>
        </w:rPr>
        <w:t xml:space="preserve">=</w:t>
      </w:r>
      <w:r>
        <w:rPr>
          <w:rStyle w:val="VariableTok"/>
        </w:rPr>
        <w:t xml:space="preserve">False</w:t>
      </w:r>
      <w:r>
        <w:rPr>
          <w:rStyle w:val="NormalTok"/>
        </w:rPr>
        <w:t xml:space="preserve">,</w:t>
      </w:r>
      <w:r>
        <w:br/>
      </w:r>
      <w:r>
        <w:rPr>
          <w:rStyle w:val="NormalTok"/>
        </w:rPr>
        <w:t xml:space="preserve">    indent</w:t>
      </w:r>
      <w:r>
        <w:rPr>
          <w:rStyle w:val="OperatorTok"/>
        </w:rPr>
        <w:t xml:space="preserve">=</w:t>
      </w:r>
      <w:r>
        <w:rPr>
          <w:rStyle w:val="DecValTok"/>
        </w:rPr>
        <w:t xml:space="preserve">2</w:t>
      </w:r>
      <w:r>
        <w:br/>
      </w:r>
      <w:r>
        <w:rPr>
          <w:rStyle w:val="NormalTok"/>
        </w:rPr>
        <w:t xml:space="preserve">)</w:t>
      </w:r>
      <w:r>
        <w:br/>
      </w:r>
      <w:r>
        <w:br/>
      </w:r>
      <w:r>
        <w:rPr>
          <w:rStyle w:val="BuiltInTok"/>
        </w:rPr>
        <w:t xml:space="preserve">print</w:t>
      </w:r>
      <w:r>
        <w:rPr>
          <w:rStyle w:val="NormalTok"/>
        </w:rPr>
        <w:t xml:space="preserve">(</w:t>
      </w:r>
      <w:r>
        <w:rPr>
          <w:rStyle w:val="StringTok"/>
        </w:rPr>
        <w:t xml:space="preserve">"Saved rolling chunk corpus."</w:t>
      </w:r>
      <w:r>
        <w:rPr>
          <w:rStyle w:val="NormalTok"/>
        </w:rPr>
        <w:t xml:space="preserve">)</w:t>
      </w:r>
    </w:p>
    <w:p>
      <w:pPr>
        <w:pStyle w:val="SourceCode"/>
      </w:pPr>
      <w:r>
        <w:rPr>
          <w:rStyle w:val="VerbatimChar"/>
        </w:rPr>
        <w:t xml:space="preserve">Saved rolling chunk corpus.</w:t>
      </w:r>
    </w:p>
    <w:bookmarkEnd w:id="55"/>
    <w:bookmarkEnd w:id="56"/>
    <w:bookmarkStart w:id="62" w:name="diagnostics-and-sample-exploration"/>
    <w:p>
      <w:pPr>
        <w:pStyle w:val="Heading1"/>
      </w:pPr>
      <w:r>
        <w:t xml:space="preserve">6. Diagnostics and sample exploration</w:t>
      </w:r>
    </w:p>
    <w:bookmarkStart w:id="57" w:name="diagnostics-chunks-by-section"/>
    <w:p>
      <w:pPr>
        <w:pStyle w:val="Heading2"/>
      </w:pPr>
      <w:r>
        <w:t xml:space="preserve">6.1 Diagnostics Chunks by section</w:t>
      </w:r>
    </w:p>
    <w:p>
      <w:pPr>
        <w:pStyle w:val="SourceCode"/>
      </w:pPr>
      <w:r>
        <w:rPr>
          <w:rStyle w:val="NormalTok"/>
        </w:rPr>
        <w:t xml:space="preserve">df_chunks[</w:t>
      </w:r>
      <w:r>
        <w:rPr>
          <w:rStyle w:val="StringTok"/>
        </w:rPr>
        <w:t xml:space="preserve">"section_name"</w:t>
      </w:r>
      <w:r>
        <w:rPr>
          <w:rStyle w:val="NormalTok"/>
        </w:rPr>
        <w:t xml:space="preserve">].value_counts()</w:t>
      </w:r>
    </w:p>
    <w:p>
      <w:pPr>
        <w:pStyle w:val="SourceCode"/>
      </w:pPr>
      <w:r>
        <w:rPr>
          <w:rStyle w:val="VerbatimChar"/>
        </w:rPr>
        <w:t xml:space="preserve">section_name</w:t>
      </w:r>
      <w:r>
        <w:br/>
      </w:r>
      <w:r>
        <w:rPr>
          <w:rStyle w:val="VerbatimChar"/>
        </w:rPr>
        <w:t xml:space="preserve">item_1a    1104</w:t>
      </w:r>
      <w:r>
        <w:br/>
      </w:r>
      <w:r>
        <w:rPr>
          <w:rStyle w:val="VerbatimChar"/>
        </w:rPr>
        <w:t xml:space="preserve">item_1      845</w:t>
      </w:r>
      <w:r>
        <w:br/>
      </w:r>
      <w:r>
        <w:rPr>
          <w:rStyle w:val="VerbatimChar"/>
        </w:rPr>
        <w:t xml:space="preserve">item_7      715</w:t>
      </w:r>
      <w:r>
        <w:br/>
      </w:r>
      <w:r>
        <w:rPr>
          <w:rStyle w:val="VerbatimChar"/>
        </w:rPr>
        <w:t xml:space="preserve">Name: count, dtype: int64</w:t>
      </w:r>
    </w:p>
    <w:bookmarkEnd w:id="57"/>
    <w:bookmarkStart w:id="58" w:name="token-count-summary"/>
    <w:p>
      <w:pPr>
        <w:pStyle w:val="Heading2"/>
      </w:pPr>
      <w:r>
        <w:t xml:space="preserve">6.2 Token count summary</w:t>
      </w:r>
    </w:p>
    <w:p>
      <w:pPr>
        <w:pStyle w:val="SourceCode"/>
      </w:pPr>
      <w:r>
        <w:rPr>
          <w:rStyle w:val="NormalTok"/>
        </w:rPr>
        <w:t xml:space="preserve">df_chunks[</w:t>
      </w:r>
      <w:r>
        <w:rPr>
          <w:rStyle w:val="StringTok"/>
        </w:rPr>
        <w:t xml:space="preserve">"approx_token_count"</w:t>
      </w:r>
      <w:r>
        <w:rPr>
          <w:rStyle w:val="NormalTok"/>
        </w:rPr>
        <w:t xml:space="preserve">].describe()</w:t>
      </w:r>
    </w:p>
    <w:p>
      <w:pPr>
        <w:pStyle w:val="SourceCode"/>
      </w:pPr>
      <w:r>
        <w:rPr>
          <w:rStyle w:val="VerbatimChar"/>
        </w:rPr>
        <w:t xml:space="preserve">count    2664.000000</w:t>
      </w:r>
      <w:r>
        <w:br/>
      </w:r>
      <w:r>
        <w:rPr>
          <w:rStyle w:val="VerbatimChar"/>
        </w:rPr>
        <w:t xml:space="preserve">mean      262.568318</w:t>
      </w:r>
      <w:r>
        <w:br/>
      </w:r>
      <w:r>
        <w:rPr>
          <w:rStyle w:val="VerbatimChar"/>
        </w:rPr>
        <w:t xml:space="preserve">std        40.479818</w:t>
      </w:r>
      <w:r>
        <w:br/>
      </w:r>
      <w:r>
        <w:rPr>
          <w:rStyle w:val="VerbatimChar"/>
        </w:rPr>
        <w:t xml:space="preserve">min        40.000000</w:t>
      </w:r>
      <w:r>
        <w:br/>
      </w:r>
      <w:r>
        <w:rPr>
          <w:rStyle w:val="VerbatimChar"/>
        </w:rPr>
        <w:t xml:space="preserve">25%       255.000000</w:t>
      </w:r>
      <w:r>
        <w:br/>
      </w:r>
      <w:r>
        <w:rPr>
          <w:rStyle w:val="VerbatimChar"/>
        </w:rPr>
        <w:t xml:space="preserve">50%       265.000000</w:t>
      </w:r>
      <w:r>
        <w:br/>
      </w:r>
      <w:r>
        <w:rPr>
          <w:rStyle w:val="VerbatimChar"/>
        </w:rPr>
        <w:t xml:space="preserve">75%       279.000000</w:t>
      </w:r>
      <w:r>
        <w:br/>
      </w:r>
      <w:r>
        <w:rPr>
          <w:rStyle w:val="VerbatimChar"/>
        </w:rPr>
        <w:t xml:space="preserve">max      1052.000000</w:t>
      </w:r>
      <w:r>
        <w:br/>
      </w:r>
      <w:r>
        <w:rPr>
          <w:rStyle w:val="VerbatimChar"/>
        </w:rPr>
        <w:t xml:space="preserve">Name: approx_token_count, dtype: float64</w:t>
      </w:r>
    </w:p>
    <w:bookmarkEnd w:id="58"/>
    <w:bookmarkStart w:id="59" w:name="sentences-per-chunk"/>
    <w:p>
      <w:pPr>
        <w:pStyle w:val="Heading2"/>
      </w:pPr>
      <w:r>
        <w:t xml:space="preserve">6.3 Sentences per chunk</w:t>
      </w:r>
    </w:p>
    <w:p>
      <w:pPr>
        <w:pStyle w:val="SourceCode"/>
      </w:pPr>
      <w:r>
        <w:rPr>
          <w:rStyle w:val="NormalTok"/>
        </w:rPr>
        <w:t xml:space="preserve">df_chunks[</w:t>
      </w:r>
      <w:r>
        <w:rPr>
          <w:rStyle w:val="StringTok"/>
        </w:rPr>
        <w:t xml:space="preserve">"n_sentences"</w:t>
      </w:r>
      <w:r>
        <w:rPr>
          <w:rStyle w:val="NormalTok"/>
        </w:rPr>
        <w:t xml:space="preserve">].describe()</w:t>
      </w:r>
    </w:p>
    <w:p>
      <w:pPr>
        <w:pStyle w:val="SourceCode"/>
      </w:pPr>
      <w:r>
        <w:rPr>
          <w:rStyle w:val="VerbatimChar"/>
        </w:rPr>
        <w:t xml:space="preserve">count    2664.000000</w:t>
      </w:r>
      <w:r>
        <w:br/>
      </w:r>
      <w:r>
        <w:rPr>
          <w:rStyle w:val="VerbatimChar"/>
        </w:rPr>
        <w:t xml:space="preserve">mean        6.962462</w:t>
      </w:r>
      <w:r>
        <w:br/>
      </w:r>
      <w:r>
        <w:rPr>
          <w:rStyle w:val="VerbatimChar"/>
        </w:rPr>
        <w:t xml:space="preserve">std         2.426095</w:t>
      </w:r>
      <w:r>
        <w:br/>
      </w:r>
      <w:r>
        <w:rPr>
          <w:rStyle w:val="VerbatimChar"/>
        </w:rPr>
        <w:t xml:space="preserve">min         1.000000</w:t>
      </w:r>
      <w:r>
        <w:br/>
      </w:r>
      <w:r>
        <w:rPr>
          <w:rStyle w:val="VerbatimChar"/>
        </w:rPr>
        <w:t xml:space="preserve">25%         5.000000</w:t>
      </w:r>
      <w:r>
        <w:br/>
      </w:r>
      <w:r>
        <w:rPr>
          <w:rStyle w:val="VerbatimChar"/>
        </w:rPr>
        <w:t xml:space="preserve">50%         7.000000</w:t>
      </w:r>
      <w:r>
        <w:br/>
      </w:r>
      <w:r>
        <w:rPr>
          <w:rStyle w:val="VerbatimChar"/>
        </w:rPr>
        <w:t xml:space="preserve">75%         9.000000</w:t>
      </w:r>
      <w:r>
        <w:br/>
      </w:r>
      <w:r>
        <w:rPr>
          <w:rStyle w:val="VerbatimChar"/>
        </w:rPr>
        <w:t xml:space="preserve">max        17.000000</w:t>
      </w:r>
      <w:r>
        <w:br/>
      </w:r>
      <w:r>
        <w:rPr>
          <w:rStyle w:val="VerbatimChar"/>
        </w:rPr>
        <w:t xml:space="preserve">Name: n_sentences, dtype: float64</w:t>
      </w:r>
    </w:p>
    <w:bookmarkEnd w:id="59"/>
    <w:bookmarkStart w:id="61" w:name="sample-chunks"/>
    <w:p>
      <w:pPr>
        <w:pStyle w:val="Heading2"/>
      </w:pPr>
      <w:r>
        <w:t xml:space="preserve">6.4 Sample chunks</w:t>
      </w:r>
    </w:p>
    <w:p>
      <w:pPr>
        <w:pStyle w:val="SourceCode"/>
      </w:pPr>
      <w:r>
        <w:rPr>
          <w:rStyle w:val="NormalTok"/>
        </w:rPr>
        <w:t xml:space="preserve">df_chunks.sample(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"file_name"</w:t>
      </w:r>
      <w:r>
        <w:rPr>
          <w:rStyle w:val="NormalTok"/>
        </w:rPr>
        <w:t xml:space="preserve">, </w:t>
      </w:r>
      <w:r>
        <w:rPr>
          <w:rStyle w:val="StringTok"/>
        </w:rPr>
        <w:t xml:space="preserve">"section_name"</w:t>
      </w:r>
      <w:r>
        <w:rPr>
          <w:rStyle w:val="NormalTok"/>
        </w:rPr>
        <w:t xml:space="preserve">, </w:t>
      </w:r>
      <w:r>
        <w:rPr>
          <w:rStyle w:val="StringTok"/>
        </w:rPr>
        <w:t xml:space="preserve">"start_sentence"</w:t>
      </w:r>
      <w:r>
        <w:rPr>
          <w:rStyle w:val="NormalTok"/>
        </w:rPr>
        <w:t xml:space="preserve">, </w:t>
      </w:r>
      <w:r>
        <w:rPr>
          <w:rStyle w:val="StringTok"/>
        </w:rPr>
        <w:t xml:space="preserve">"end_sentence"</w:t>
      </w:r>
      <w:r>
        <w:rPr>
          <w:rStyle w:val="NormalTok"/>
        </w:rPr>
        <w:t xml:space="preserve">, </w:t>
      </w:r>
      <w:r>
        <w:rPr>
          <w:rStyle w:val="StringTok"/>
        </w:rPr>
        <w:t xml:space="preserve">"approx_token_count"</w:t>
      </w:r>
      <w:r>
        <w:rPr>
          <w:rStyle w:val="NormalTok"/>
        </w:rPr>
        <w:t xml:space="preserve">, </w:t>
      </w:r>
      <w:r>
        <w:rPr>
          <w:rStyle w:val="StringTok"/>
        </w:rPr>
        <w:t xml:space="preserve">"chunk_text"</w:t>
      </w:r>
      <w:r>
        <w:rPr>
          <w:rStyle w:val="NormalTok"/>
        </w:rPr>
        <w:t xml:space="preserve">]</w:t>
      </w:r>
      <w:r>
        <w:br/>
      </w:r>
      <w:r>
        <w:rPr>
          <w:rStyle w:val="NormalTok"/>
        </w:rPr>
        <w:t xml:space="preserve">].style.hide(axis</w:t>
      </w:r>
      <w:r>
        <w:rPr>
          <w:rStyle w:val="OperatorTok"/>
        </w:rPr>
        <w:t xml:space="preserve">=</w:t>
      </w:r>
      <w:r>
        <w:rPr>
          <w:rStyle w:val="StringTok"/>
        </w:rPr>
        <w:t xml:space="preserve">"index"</w:t>
      </w:r>
      <w:r>
        <w:rPr>
          <w:rStyle w:val="NormalTok"/>
        </w:rPr>
        <w:t xml:space="preserve">)</w:t>
      </w:r>
    </w:p>
    <w:bookmarkStart w:id="60" w:name="T_12b5c"/>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file_name</w:t>
            </w:r>
          </w:p>
        </w:tc>
        <w:tc>
          <w:tcPr/>
          <w:p>
            <w:pPr>
              <w:pStyle w:val="Compact"/>
            </w:pPr>
            <w:r>
              <w:t xml:space="preserve">section_name</w:t>
            </w:r>
          </w:p>
        </w:tc>
        <w:tc>
          <w:tcPr/>
          <w:p>
            <w:pPr>
              <w:pStyle w:val="Compact"/>
            </w:pPr>
            <w:r>
              <w:t xml:space="preserve">start_sentence</w:t>
            </w:r>
          </w:p>
        </w:tc>
        <w:tc>
          <w:tcPr/>
          <w:p>
            <w:pPr>
              <w:pStyle w:val="Compact"/>
            </w:pPr>
            <w:r>
              <w:t xml:space="preserve">end_sentence</w:t>
            </w:r>
          </w:p>
        </w:tc>
        <w:tc>
          <w:tcPr/>
          <w:p>
            <w:pPr>
              <w:pStyle w:val="Compact"/>
            </w:pPr>
            <w:r>
              <w:t xml:space="preserve">approx_token_count</w:t>
            </w:r>
          </w:p>
        </w:tc>
        <w:tc>
          <w:tcPr/>
          <w:p>
            <w:pPr>
              <w:pStyle w:val="Compact"/>
            </w:pPr>
            <w:r>
              <w:t xml:space="preserve">chunk_text</w:t>
            </w:r>
          </w:p>
        </w:tc>
      </w:tr>
      <w:tr>
        <w:tc>
          <w:tcPr/>
          <w:p>
            <w:pPr>
              <w:pStyle w:val="Compact"/>
            </w:pPr>
            <w:r>
              <w:t xml:space="preserve">20240111_10-K_edgar_data_1963685_0001213900-24-003044.html</w:t>
            </w:r>
          </w:p>
        </w:tc>
        <w:tc>
          <w:tcPr/>
          <w:p>
            <w:pPr>
              <w:pStyle w:val="Compact"/>
            </w:pPr>
            <w:r>
              <w:t xml:space="preserve">item_1a</w:t>
            </w:r>
          </w:p>
        </w:tc>
        <w:tc>
          <w:tcPr/>
          <w:p>
            <w:pPr>
              <w:pStyle w:val="Compact"/>
            </w:pPr>
            <w:r>
              <w:t xml:space="preserve">353</w:t>
            </w:r>
          </w:p>
        </w:tc>
        <w:tc>
          <w:tcPr/>
          <w:p>
            <w:pPr>
              <w:pStyle w:val="Compact"/>
            </w:pPr>
            <w:r>
              <w:t xml:space="preserve">357</w:t>
            </w:r>
          </w:p>
        </w:tc>
        <w:tc>
          <w:tcPr/>
          <w:p>
            <w:pPr>
              <w:pStyle w:val="Compact"/>
            </w:pPr>
            <w:r>
              <w:t xml:space="preserve">281</w:t>
            </w:r>
          </w:p>
        </w:tc>
        <w:tc>
          <w:tcPr/>
          <w:p>
            <w:pPr>
              <w:pStyle w:val="Compact"/>
            </w:pPr>
            <w:r>
              <w:t xml:space="preserve">Our Class B common stock has one (1) vote per share, and our Class A common stock has ten (10) votes per share. Our issued and outstanding share capital consists of 44,353,846 shares of Class A common stock and 17,855,563 shares of Class B common stock. Our Chief Executive Officer and co-founder, Zhenwu Huang, and our Chief Financial Officer and co-founder, Zhenqiang Huang, beneficially own an aggregate of approximately 82.79% of the voting power of our outstanding shares of common stock as of the date of this Report, and as such, these stockholders, individually or together, may be able to significantly influence matters submitted to our stockholders for approval, including the election of directors, amendments of our articles of incorporation, as amended, and any merger or other major corporate transactions that require stockholder approval. See “Principal Stockholders” Our existing stockholders, including Zhenwu Huang and Zhenqiang Huang, individually or together, may vote in a way with which you disagree and which may be adverse to your interests. This concentrated voting power may, by changing the directors of the Company, have the ultimate effect of delaying, preventing or deterring a change in control of our Company, could deprive our stockholders of an opportunity to receive a premium for their shares of common stock as part of a sale of our company and might ultimately materially and adversely affect the market price of our Class B common stock.</w:t>
            </w:r>
          </w:p>
        </w:tc>
      </w:tr>
      <w:tr>
        <w:tc>
          <w:tcPr/>
          <w:p>
            <w:pPr>
              <w:pStyle w:val="Compact"/>
            </w:pPr>
            <w:r>
              <w:t xml:space="preserve">20240102_10-K_edgar_data_90168_0000090168-23-000083.html</w:t>
            </w:r>
          </w:p>
        </w:tc>
        <w:tc>
          <w:tcPr/>
          <w:p>
            <w:pPr>
              <w:pStyle w:val="Compact"/>
            </w:pPr>
            <w:r>
              <w:t xml:space="preserve">item_1a</w:t>
            </w:r>
          </w:p>
        </w:tc>
        <w:tc>
          <w:tcPr/>
          <w:p>
            <w:pPr>
              <w:pStyle w:val="Compact"/>
            </w:pPr>
            <w:r>
              <w:t xml:space="preserve">60</w:t>
            </w:r>
          </w:p>
        </w:tc>
        <w:tc>
          <w:tcPr/>
          <w:p>
            <w:pPr>
              <w:pStyle w:val="Compact"/>
            </w:pPr>
            <w:r>
              <w:t xml:space="preserve">65</w:t>
            </w:r>
          </w:p>
        </w:tc>
        <w:tc>
          <w:tcPr/>
          <w:p>
            <w:pPr>
              <w:pStyle w:val="Compact"/>
            </w:pPr>
            <w:r>
              <w:t xml:space="preserve">270</w:t>
            </w:r>
          </w:p>
        </w:tc>
        <w:tc>
          <w:tcPr/>
          <w:p>
            <w:pPr>
              <w:pStyle w:val="Compact"/>
            </w:pPr>
            <w:r>
              <w:t xml:space="preserve">We continue to provide for remote work for certain of our employees, which may increase our vulnerability to cyber and other information technology risks. In addition to existing risks, any adoption or deployment of new technologies via acquisitions or internal initiatives may increase our exposure to risks, breaches, or failures, which could materially adversely affect our results of operations or financial condition. Furthermore, the Company may have access to sensitive, confidential, or personal data or information that may be subject to privacy and security laws, regulations, or other contractually-imposed controls. Despite our use of reasonable and appropriate controls, material security breaches, theft, misplaced, lost or corrupted data, programming, or 9 Table of Contents employee errors and/or malfeasance could lead to the compromise or improper use of such sensitive, confidential, or personal data or information, resulting in possible negative consequences, such as fines, ransom demands, penalties, loss of reputation, competitiveness or customers, or other negative consequences resulting in adverse impacts to our results of operations or financial condition. SIFCO relies on our suppliers to meet the quality and delivery expectations of our customers. The ability to deliver SIFCO's products on schedule is dependent upon a variety of factors, including execution of internal performance plans, availability of raw materials, internal and supplier produced parts and structures, conversion of raw materials into parts and assemblies, and performance of suppliers and others.</w:t>
            </w:r>
          </w:p>
        </w:tc>
      </w:tr>
      <w:tr>
        <w:tc>
          <w:tcPr/>
          <w:p>
            <w:pPr>
              <w:pStyle w:val="Compact"/>
            </w:pPr>
            <w:r>
              <w:t xml:space="preserve">20240109_10-K_edgar_data_1823635_0001493152-24-001811.html</w:t>
            </w:r>
          </w:p>
        </w:tc>
        <w:tc>
          <w:tcPr/>
          <w:p>
            <w:pPr>
              <w:pStyle w:val="Compact"/>
            </w:pPr>
            <w:r>
              <w:t xml:space="preserve">item_1a</w:t>
            </w:r>
          </w:p>
        </w:tc>
        <w:tc>
          <w:tcPr/>
          <w:p>
            <w:pPr>
              <w:pStyle w:val="Compact"/>
            </w:pPr>
            <w:r>
              <w:t xml:space="preserve">45</w:t>
            </w:r>
          </w:p>
        </w:tc>
        <w:tc>
          <w:tcPr/>
          <w:p>
            <w:pPr>
              <w:pStyle w:val="Compact"/>
            </w:pPr>
            <w:r>
              <w:t xml:space="preserve">50</w:t>
            </w:r>
          </w:p>
        </w:tc>
        <w:tc>
          <w:tcPr/>
          <w:p>
            <w:pPr>
              <w:pStyle w:val="Compact"/>
            </w:pPr>
            <w:r>
              <w:t xml:space="preserve">259</w:t>
            </w:r>
          </w:p>
        </w:tc>
        <w:tc>
          <w:tcPr/>
          <w:p>
            <w:pPr>
              <w:pStyle w:val="Compact"/>
            </w:pPr>
            <w:r>
              <w:t xml:space="preserve">However, regulatory requirements on cybersecurity and data security in the PRC are constantly evolving and can be subject to varying interpretations or significant changes, which may result in uncertainties about the scope of our responsibilities in that regard. Failure to comply with the Individual Foreign Exchange Rules relating to the overseas direct investment or the engagement in the issuance or trading of securities overseas by our PRC resident stockholders may subject such stockholders to fines or other liabilities. Our ability to conduct foreign exchange activities in the PRC may be subject to the interpretation and enforcement of the Implementation Rules of the Administrative Measures for Individual Foreign Exchange promulgated by SAFE in January 2007 (as amended and supplemented, the “Individual Foreign Exchange Rules”). Under the Individual Foreign Exchange Rules, any PRC individual seeking to make a direct investment overseas or engage in the issuance or trading of negotiable securities or derivatives overseas must make the appropriate registrations in accordance with SAFE provisions. PRC individuals who fail to make such registrations may be subject to warnings, fines or other liabilities. SAFE promulgated the Notice on Relevant Issues Relating to Domestic Resident’s Investment and Financing and Roundtrip Investment through Special Purpose Vehicles, or Notice 37, in July 2014 that requires PRC residents or entities to register with SAFE or its local branch in connection with their establishment or control of an offshore entity established for the purpose of overseas investment or financing.</w:t>
            </w:r>
          </w:p>
        </w:tc>
      </w:tr>
      <w:tr>
        <w:tc>
          <w:tcPr/>
          <w:p>
            <w:pPr>
              <w:pStyle w:val="Compact"/>
            </w:pPr>
            <w:r>
              <w:t xml:space="preserve">20240116_10-K_edgar_data_1502557_0001493152-24-002378.html</w:t>
            </w:r>
          </w:p>
        </w:tc>
        <w:tc>
          <w:tcPr/>
          <w:p>
            <w:pPr>
              <w:pStyle w:val="Compact"/>
            </w:pPr>
            <w:r>
              <w:t xml:space="preserve">item_1a</w:t>
            </w:r>
          </w:p>
        </w:tc>
        <w:tc>
          <w:tcPr/>
          <w:p>
            <w:pPr>
              <w:pStyle w:val="Compact"/>
            </w:pPr>
            <w:r>
              <w:t xml:space="preserve">412</w:t>
            </w:r>
          </w:p>
        </w:tc>
        <w:tc>
          <w:tcPr/>
          <w:p>
            <w:pPr>
              <w:pStyle w:val="Compact"/>
            </w:pPr>
            <w:r>
              <w:t xml:space="preserve">420</w:t>
            </w:r>
          </w:p>
        </w:tc>
        <w:tc>
          <w:tcPr/>
          <w:p>
            <w:pPr>
              <w:pStyle w:val="Compact"/>
            </w:pPr>
            <w:r>
              <w:t xml:space="preserve">297</w:t>
            </w:r>
          </w:p>
        </w:tc>
        <w:tc>
          <w:tcPr/>
          <w:p>
            <w:pPr>
              <w:pStyle w:val="Compact"/>
            </w:pPr>
            <w:r>
              <w:t xml:space="preserve">Moreover, it is possible that in the future PRC authorities may lift restrictions on fluctuations in the RMB exchange rate and lessen intervention in the foreign exchange market. Very limited hedging transactions are available in China to reduce our exposure to exchange rate fluctuations. To date, we have not entered into any hedging transactions. While we may enter into hedging transactions in the future, the availability and effectiveness of these transactions may be limited, and we may not be able to successfully hedge our exposure at all. In addition, our foreign currency exchange losses may be magnified by PRC exchange control regulations that restrict our ability to convert RMB into foreign currencies. Restrictions under PRC law on our subsidiaries’ ability to make dividend payments and other distributions could materially and adversely affect our ability to grow, make investments or acquisitions that could benefit our business, pay dividends to you, and otherwise fund and conduct our business. Substantially all of our sales are earned by our VIE, which makes payments to King Eagle (China), one of our PRC subsidiaries, pursuant to the Consulting Service Agreement. As a holding company, we rely on dividends and other distributions on equity paid by our subsidiaries for our cash and financing requirements. However, to the extent that cash is in our Hong Kong or PRC subsidiaries, there is a possibility that the funds may not be available to fund our operations or for other uses outside of the PRC or Hong Kong due to interventions or the imposition of restrictions and limitations by the PRC or the Hong Kong government on the ability to transfer cash .</w:t>
            </w:r>
          </w:p>
        </w:tc>
      </w:tr>
      <w:tr>
        <w:tc>
          <w:tcPr/>
          <w:p>
            <w:pPr>
              <w:pStyle w:val="Compact"/>
            </w:pPr>
            <w:r>
              <w:t xml:space="preserve">20240111_10-K_edgar_data_1963685_0001213900-24-003044.html</w:t>
            </w:r>
          </w:p>
        </w:tc>
        <w:tc>
          <w:tcPr/>
          <w:p>
            <w:pPr>
              <w:pStyle w:val="Compact"/>
            </w:pPr>
            <w:r>
              <w:t xml:space="preserve">item_1</w:t>
            </w:r>
          </w:p>
        </w:tc>
        <w:tc>
          <w:tcPr/>
          <w:p>
            <w:pPr>
              <w:pStyle w:val="Compact"/>
            </w:pPr>
            <w:r>
              <w:t xml:space="preserve">109</w:t>
            </w:r>
          </w:p>
        </w:tc>
        <w:tc>
          <w:tcPr/>
          <w:p>
            <w:pPr>
              <w:pStyle w:val="Compact"/>
            </w:pPr>
            <w:r>
              <w:t xml:space="preserve">118</w:t>
            </w:r>
          </w:p>
        </w:tc>
        <w:tc>
          <w:tcPr/>
          <w:p>
            <w:pPr>
              <w:pStyle w:val="Compact"/>
            </w:pPr>
            <w:r>
              <w:t xml:space="preserve">270</w:t>
            </w:r>
          </w:p>
        </w:tc>
        <w:tc>
          <w:tcPr/>
          <w:p>
            <w:pPr>
              <w:pStyle w:val="Compact"/>
            </w:pPr>
            <w:r>
              <w:t xml:space="preserve">Data collected by the ACP provide clients with utilization metrics as well as a cleaning maps which show the path the robot took during its cleaning routine. The ACP is expected to provide reminders for routine replacement of consumable and renewable components, and preemptive maintenance alerts for all robots. 6 Food and Beverage Automation ADAM is our food and beverage automation robot. The core concept of ADAM is to develop a fully independent food and beverage business based entirely on robots and automation. The dual six-degree-of-freedom robotic arms are designed to provide the same level of flexibility as a human arm, allowing ADAM to easily emulate human movements. We designed ADAM to be friendly and approachable by giving it a white and round exterior, and designed it to look more like a robot than a human to avoid the “uncanny valley” effect. (The uncanny valley is a concept that suggests that humanoid objects that imperfectly resemble actual human beings provoke uncanny or strangely familiar feelings of uneasiness and revulsion in observers. “Valley” denotes a dip in the human observer’s affinity for the replica, a relation that otherwise increases with the replica’s human likeness.) Future features are expected to include adding natural language processing to allow customers to directly speak their orders to the robot as they would with an employee. ADAM is capable of making a wide variety of beverages including coffee, craft cocktails, and Boba tea autonomously.</w:t>
            </w:r>
          </w:p>
        </w:tc>
      </w:tr>
      <w:tr>
        <w:tc>
          <w:tcPr/>
          <w:p>
            <w:pPr>
              <w:pStyle w:val="Compact"/>
            </w:pPr>
            <w:r>
              <w:t xml:space="preserve">20240105_10-K_edgar_data_1440153_0001096906-24-000019.html</w:t>
            </w:r>
          </w:p>
        </w:tc>
        <w:tc>
          <w:tcPr/>
          <w:p>
            <w:pPr>
              <w:pStyle w:val="Compact"/>
            </w:pPr>
            <w:r>
              <w:t xml:space="preserve">item_1a</w:t>
            </w:r>
          </w:p>
        </w:tc>
        <w:tc>
          <w:tcPr/>
          <w:p>
            <w:pPr>
              <w:pStyle w:val="Compact"/>
            </w:pPr>
            <w:r>
              <w:t xml:space="preserve">270</w:t>
            </w:r>
          </w:p>
        </w:tc>
        <w:tc>
          <w:tcPr/>
          <w:p>
            <w:pPr>
              <w:pStyle w:val="Compact"/>
            </w:pPr>
            <w:r>
              <w:t xml:space="preserve">277</w:t>
            </w:r>
          </w:p>
        </w:tc>
        <w:tc>
          <w:tcPr/>
          <w:p>
            <w:pPr>
              <w:pStyle w:val="Compact"/>
            </w:pPr>
            <w:r>
              <w:t xml:space="preserve">294</w:t>
            </w:r>
          </w:p>
        </w:tc>
        <w:tc>
          <w:tcPr/>
          <w:p>
            <w:pPr>
              <w:pStyle w:val="Compact"/>
            </w:pPr>
            <w:r>
              <w:t xml:space="preserve">These costs and delays continue as we proceed with our engineering and commercialization efforts. The duration and magnitude of the impacts from the COVID-19 pandemic impacts on our business operations and overall financial performance are unknown at this time and will depend on numerous circumstances outside our control or the ability of anyone to predict accurately. The secondary and tertiary unpredictable adverse economic effects on our business and on the worldwide economy are proving to be ongoing and broad. There are high probabilities of reoccurring widespread or localized outbreaks of existing new virus strains that may continue for many months, that may result in further government-ordered vaccination mandates, lockdowns, stay-home or shelter-in-place orders, social distancing, restrictions on travel, and other extensive measures. Government-approved vaccines have not been accepted by some people and are not widely available in all countries. Effective treatments for those infected by the virus are not always reliable, may not be widely available, and may not be widely accepted. We cannot predict the effect of these circumstances on us and our vendors, suppliers, and potential commercial partners, the global economy and political conditions, and the health of our personnel, consultants, and their families, all of which will affect how quickly and to what extent normal economic and operating activities can resume. Even if the COVID-19 pandemic subsides, we may continue to experience an adverse effect on our business because of its global economic impact, labor shortages, and supply chain disruptions, as well as the prospect of inflation or a recession.</w:t>
            </w:r>
          </w:p>
        </w:tc>
      </w:tr>
      <w:tr>
        <w:tc>
          <w:tcPr/>
          <w:p>
            <w:pPr>
              <w:pStyle w:val="Compact"/>
            </w:pPr>
            <w:r>
              <w:t xml:space="preserve">20240112_10-K_edgar_data_1510518_0001213900-24-003308.html</w:t>
            </w:r>
          </w:p>
        </w:tc>
        <w:tc>
          <w:tcPr/>
          <w:p>
            <w:pPr>
              <w:pStyle w:val="Compact"/>
            </w:pPr>
            <w:r>
              <w:t xml:space="preserve">item_7</w:t>
            </w:r>
          </w:p>
        </w:tc>
        <w:tc>
          <w:tcPr/>
          <w:p>
            <w:pPr>
              <w:pStyle w:val="Compact"/>
            </w:pPr>
            <w:r>
              <w:t xml:space="preserve">39</w:t>
            </w:r>
          </w:p>
        </w:tc>
        <w:tc>
          <w:tcPr/>
          <w:p>
            <w:pPr>
              <w:pStyle w:val="Compact"/>
            </w:pPr>
            <w:r>
              <w:t xml:space="preserve">47</w:t>
            </w:r>
          </w:p>
        </w:tc>
        <w:tc>
          <w:tcPr/>
          <w:p>
            <w:pPr>
              <w:pStyle w:val="Compact"/>
            </w:pPr>
            <w:r>
              <w:t xml:space="preserve">276</w:t>
            </w:r>
          </w:p>
        </w:tc>
        <w:tc>
          <w:tcPr/>
          <w:p>
            <w:pPr>
              <w:pStyle w:val="Compact"/>
            </w:pPr>
            <w:r>
              <w:t xml:space="preserve">During the year ended September 30, 2023, we used $67,451 of cash investing activity in purchase of equipment. We received $350,000 in payment for the sale of 140,000 Hukui Shares during the year ended September 30, 2022. During the year ended September 30, 2023, we received $362,000, net of directly associated legal fees from private offering of our Common Stock. During the year ended September 30, 2022, we did not have any financing activity. There is substantial doubt that we can continue as an ongoing business for the next twelve months unless we obtain additional capital to pay our expenses as they become due. We do not anticipate any significant additional revenue until and unless we begin to execute our plan of operations involving the start of our new electric vehicle charging station business. There is no assurance that we will ever reach that stage. The consolidated financial statements presented herein do not include any adjustments relating to the recoverability and classification of recorded assets, or the amounts and classification of liabilities that might be necessary in the event that we cannot continue as a going concern. Our ability to continue as a going concern is dependent upon our ability to successfully execute our business plan and generate profitable operations in the future, and, until and unless we achieve that, to obtain the necessary financing to meet our obligations and repay our liabilities arising from normal business operation as and when they become due.</w:t>
            </w:r>
          </w:p>
        </w:tc>
      </w:tr>
      <w:tr>
        <w:tc>
          <w:tcPr/>
          <w:p>
            <w:pPr>
              <w:pStyle w:val="Compact"/>
            </w:pPr>
            <w:r>
              <w:t xml:space="preserve">20240116_10-K_edgar_data_1286459_0001477932-24-000212.html</w:t>
            </w:r>
          </w:p>
        </w:tc>
        <w:tc>
          <w:tcPr/>
          <w:p>
            <w:pPr>
              <w:pStyle w:val="Compact"/>
            </w:pPr>
            <w:r>
              <w:t xml:space="preserve">item_7</w:t>
            </w:r>
          </w:p>
        </w:tc>
        <w:tc>
          <w:tcPr/>
          <w:p>
            <w:pPr>
              <w:pStyle w:val="Compact"/>
            </w:pPr>
            <w:r>
              <w:t xml:space="preserve">5</w:t>
            </w:r>
          </w:p>
        </w:tc>
        <w:tc>
          <w:tcPr/>
          <w:p>
            <w:pPr>
              <w:pStyle w:val="Compact"/>
            </w:pPr>
            <w:r>
              <w:t xml:space="preserve">8</w:t>
            </w:r>
          </w:p>
        </w:tc>
        <w:tc>
          <w:tcPr/>
          <w:p>
            <w:pPr>
              <w:pStyle w:val="Compact"/>
            </w:pPr>
            <w:r>
              <w:t xml:space="preserve">258</w:t>
            </w:r>
          </w:p>
        </w:tc>
        <w:tc>
          <w:tcPr/>
          <w:p>
            <w:pPr>
              <w:pStyle w:val="Compact"/>
            </w:pPr>
            <w:r>
              <w:t xml:space="preserve">These statements may be found under “Management’s Discussion and Analysis of Financial Condition and Results of Operations” and “Description of Business,” as well as in this Report generally. Actual events or results may differ materially from those discussed in forward-looking statements as a result of various factors, including, without limitation, the following: economic, social and political conditions, global economic downturns resulting from extraordinary events such as the COVID-19 pandemic and other securities industry risks; interest rate risks; liquidity risks; credit risk with clients and counterparties; systems failures, delays and capacity constraints; network security risks; competition; reliance on external service providers; new laws and regulations affecting our business; net capital requirements; extensive regulation, regulatory uncertainties and legal matters; failure to maintain relationships with employees, customers, business partners or governmental entities; the inability to achieve synergies or to implement integration plans and other consequences associated with risks and uncertainties detailed in our filings with the SEC. We caution that the foregoing list of factors is not exclusive, and new factors may emerge, or changes to the foregoing factors may occur, that could impact our business. We undertake no obligation to publicly update or revise these statements, whether as a result of new information, future events or otherwise, except to the extent required by the federal securities laws.</w:t>
            </w:r>
          </w:p>
        </w:tc>
      </w:tr>
      <w:tr>
        <w:tc>
          <w:tcPr/>
          <w:p>
            <w:pPr>
              <w:pStyle w:val="Compact"/>
            </w:pPr>
            <w:r>
              <w:t xml:space="preserve">20240102_10-K_edgar_data_90168_0000090168-23-000083.html</w:t>
            </w:r>
          </w:p>
        </w:tc>
        <w:tc>
          <w:tcPr/>
          <w:p>
            <w:pPr>
              <w:pStyle w:val="Compact"/>
            </w:pPr>
            <w:r>
              <w:t xml:space="preserve">item_7</w:t>
            </w:r>
          </w:p>
        </w:tc>
        <w:tc>
          <w:tcPr/>
          <w:p>
            <w:pPr>
              <w:pStyle w:val="Compact"/>
            </w:pPr>
            <w:r>
              <w:t xml:space="preserve">55</w:t>
            </w:r>
          </w:p>
        </w:tc>
        <w:tc>
          <w:tcPr/>
          <w:p>
            <w:pPr>
              <w:pStyle w:val="Compact"/>
            </w:pPr>
            <w:r>
              <w:t xml:space="preserve">56</w:t>
            </w:r>
          </w:p>
        </w:tc>
        <w:tc>
          <w:tcPr/>
          <w:p>
            <w:pPr>
              <w:pStyle w:val="Compact"/>
            </w:pPr>
            <w:r>
              <w:t xml:space="preserve">254</w:t>
            </w:r>
          </w:p>
        </w:tc>
        <w:tc>
          <w:tcPr/>
          <w:p>
            <w:pPr>
              <w:pStyle w:val="Compact"/>
            </w:pPr>
            <w:r>
              <w:t xml:space="preserve">The Company’s calculation of EBITDA and Adjusted EBITDA may not be comparable to the calculation of similarly titled measures reported by other companies. 20 Table of Contents The following table sets forth a reconciliation of net loss to EBITDA and Adjusted EBITDA: (Dollars in thousands) Years Ended September 30, 2023 2022 Net loss $ (8,692) $ (9,640) Adjustments: Depreciation and amortization expense 6,404 6,348 Interest expense, net 1,348 646 Income tax expense (benefit) 159 (43) EBITDA (781) (2,689) Adjustments: Foreign currency exchange loss, net (1) 9 15 Other loss (income), net (2) 275 (149) Loss (gain) on disposal of assets (3) 1 (7) Gain on debt extinguishment (4) — (5,106) Equity compensation expense (5) 375 428 Pension settlement/curtailment benefit (6) 108 208 LIFO impact (7) (305) 729 IT incident costs, net (8) 1,275 — Strategic alternative expense (9) 86 — Adjusted EBITDA $ 1,043 $ (6,571) (1) Represents the gain or loss from changes in the exchange rates between the functional currency and the foreign currency in which the transaction is denominated.</w:t>
            </w:r>
          </w:p>
        </w:tc>
      </w:tr>
      <w:tr>
        <w:tc>
          <w:tcPr/>
          <w:p>
            <w:pPr>
              <w:pStyle w:val="Compact"/>
            </w:pPr>
            <w:r>
              <w:t xml:space="preserve">20240105_10-K_edgar_data_1362703_0001493152-24-001515.html</w:t>
            </w:r>
          </w:p>
        </w:tc>
        <w:tc>
          <w:tcPr/>
          <w:p>
            <w:pPr>
              <w:pStyle w:val="Compact"/>
            </w:pPr>
            <w:r>
              <w:t xml:space="preserve">item_1a</w:t>
            </w:r>
          </w:p>
        </w:tc>
        <w:tc>
          <w:tcPr/>
          <w:p>
            <w:pPr>
              <w:pStyle w:val="Compact"/>
            </w:pPr>
            <w:r>
              <w:t xml:space="preserve">84</w:t>
            </w:r>
          </w:p>
        </w:tc>
        <w:tc>
          <w:tcPr/>
          <w:p>
            <w:pPr>
              <w:pStyle w:val="Compact"/>
            </w:pPr>
            <w:r>
              <w:t xml:space="preserve">94</w:t>
            </w:r>
          </w:p>
        </w:tc>
        <w:tc>
          <w:tcPr/>
          <w:p>
            <w:pPr>
              <w:pStyle w:val="Compact"/>
            </w:pPr>
            <w:r>
              <w:t xml:space="preserve">279</w:t>
            </w:r>
          </w:p>
        </w:tc>
        <w:tc>
          <w:tcPr/>
          <w:p>
            <w:pPr>
              <w:pStyle w:val="Compact"/>
            </w:pPr>
            <w:r>
              <w:t xml:space="preserve">20 Risks Relating to Collaboration Arrangements and Reliance on Third Parties We must rely on relationships with third-party suppliers to supply necessary resources used in our technology. These relationships are not easy to replace. We rely upon others for resources used in the production of predictive biomarkers for the Theralink assay. Problems with any of our suppliers’ facilities or processes could result in failure to produce or a delay in production of adequate information used in the production of the Theralink assay. This could delay or reduce commercial sales and materially harm our business. Any prolonged interruption in the operations of our suppliers’ facilities could result in a shortfall in the information necessary to complete our assay. Risks Related to Regulations Theralink in clinical development may be limited in use if we do not maintain or gain required regulatory approvals . Our clinical business maybe subject to extensive regulation by numerous state and federal governmental authorities in the United States and potentially by foreign regulatory authorities, with regulations differing from country to country. Obtaining regulatory approval for marketing of a technology candidate in one country does not assure we will be able to obtain regulatory approval in other countries. However, a failure or delay in obtaining regulatory approval in one country may have a negative effect on the regulatory process in other countries. In general, the FDA and equivalent other country authorities require labeling, advertising and promotional materials to be truthful and not misleading and marketed only for the approved indications and in accordance with the provisions of the approved label.</w:t>
            </w:r>
          </w:p>
        </w:tc>
      </w:tr>
    </w:tbl>
    <w:bookmarkEnd w:id="60"/>
    <w:bookmarkEnd w:id="61"/>
    <w:bookmarkEnd w:id="62"/>
    <w:bookmarkStart w:id="63" w:name="defining-subject-matter"/>
    <w:p>
      <w:pPr>
        <w:pStyle w:val="Heading1"/>
      </w:pPr>
      <w:r>
        <w:t xml:space="preserve">7. Defining Subject Matter</w:t>
      </w:r>
    </w:p>
    <w:p>
      <w:pPr>
        <w:pStyle w:val="FirstParagraph"/>
      </w:pPr>
      <w:r>
        <w:t xml:space="preserve">Now that the corpus is in</w:t>
      </w:r>
      <w:r>
        <w:t xml:space="preserve"> </w:t>
      </w:r>
      <w:r>
        <w:rPr>
          <w:b/>
          <w:bCs/>
        </w:rPr>
        <w:t xml:space="preserve">rolling chunk format</w:t>
      </w:r>
      <w:r>
        <w:t xml:space="preserve">, the next two sections should do help us get closer to our target signal extraction by:</w:t>
      </w:r>
    </w:p>
    <w:p>
      <w:pPr>
        <w:pStyle w:val="Compact"/>
        <w:numPr>
          <w:ilvl w:val="0"/>
          <w:numId w:val="1035"/>
        </w:numPr>
      </w:pPr>
      <w:r>
        <w:rPr>
          <w:b/>
          <w:bCs/>
        </w:rPr>
        <w:t xml:space="preserve">defining one target signal clearly</w:t>
      </w:r>
    </w:p>
    <w:p>
      <w:pPr>
        <w:pStyle w:val="Compact"/>
        <w:numPr>
          <w:ilvl w:val="0"/>
          <w:numId w:val="1035"/>
        </w:numPr>
      </w:pPr>
      <w:r>
        <w:rPr>
          <w:b/>
          <w:bCs/>
        </w:rPr>
        <w:t xml:space="preserve">extracting candidate evidence programmatically from the chunk corpus</w:t>
      </w:r>
    </w:p>
    <w:p>
      <w:pPr>
        <w:pStyle w:val="FirstParagraph"/>
      </w:pPr>
      <w:r>
        <w:t xml:space="preserve">This should stay lightweight and reproducible. For this assignment, I recommend you choose</w:t>
      </w:r>
      <w:r>
        <w:t xml:space="preserve"> </w:t>
      </w:r>
      <w:r>
        <w:rPr>
          <w:b/>
          <w:bCs/>
        </w:rPr>
        <w:t xml:space="preserve">AI Investment</w:t>
      </w:r>
      <w:r>
        <w:t xml:space="preserve"> </w:t>
      </w:r>
      <w:r>
        <w:t xml:space="preserve">of these:</w:t>
      </w:r>
    </w:p>
    <w:p>
      <w:pPr>
        <w:pStyle w:val="Compact"/>
        <w:numPr>
          <w:ilvl w:val="0"/>
          <w:numId w:val="1036"/>
        </w:numPr>
      </w:pPr>
      <w:r>
        <w:t xml:space="preserve">AI investment</w:t>
      </w:r>
    </w:p>
    <w:p>
      <w:pPr>
        <w:pStyle w:val="Compact"/>
        <w:numPr>
          <w:ilvl w:val="0"/>
          <w:numId w:val="1036"/>
        </w:numPr>
      </w:pPr>
      <w:r>
        <w:t xml:space="preserve">technology infrastructure spending</w:t>
      </w:r>
    </w:p>
    <w:p>
      <w:pPr>
        <w:pStyle w:val="Compact"/>
        <w:numPr>
          <w:ilvl w:val="0"/>
          <w:numId w:val="1036"/>
        </w:numPr>
      </w:pPr>
      <w:r>
        <w:t xml:space="preserve">datacenter / compute infrastructure expansion</w:t>
      </w:r>
    </w:p>
    <w:p>
      <w:pPr>
        <w:pStyle w:val="Compact"/>
        <w:numPr>
          <w:ilvl w:val="0"/>
          <w:numId w:val="1036"/>
        </w:numPr>
      </w:pPr>
      <w:r>
        <w:t xml:space="preserve">digital transformation initiatives</w:t>
      </w:r>
    </w:p>
    <w:p>
      <w:pPr>
        <w:pStyle w:val="FirstParagraph"/>
      </w:pPr>
      <w:r>
        <w:t xml:space="preserve">The helper code below will build the section so that the code works for</w:t>
      </w:r>
      <w:r>
        <w:t xml:space="preserve"> </w:t>
      </w:r>
      <w:r>
        <w:rPr>
          <w:b/>
          <w:bCs/>
        </w:rPr>
        <w:t xml:space="preserve">any one chosen signal</w:t>
      </w:r>
      <w:r>
        <w:t xml:space="preserve">, with a clean dictionary-driven design.</w:t>
      </w:r>
    </w:p>
    <w:bookmarkEnd w:id="63"/>
    <w:bookmarkStart w:id="84" w:name="target-signal-definition"/>
    <w:p>
      <w:pPr>
        <w:pStyle w:val="Heading1"/>
      </w:pPr>
      <w:r>
        <w:t xml:space="preserve">8. Target Signal Definition</w:t>
      </w:r>
    </w:p>
    <w:p>
      <w:pPr>
        <w:pStyle w:val="FirstParagraph"/>
      </w:pPr>
      <w:r>
        <w:t xml:space="preserve">In general, the goal of this section is to take a high-level business concept and turn it into a clear set of signal definitions that can be operationalized in code. This involves:</w:t>
      </w:r>
    </w:p>
    <w:bookmarkStart w:id="64" w:name="load-the-rolling-chunk-corpus"/>
    <w:p>
      <w:pPr>
        <w:pStyle w:val="Heading2"/>
      </w:pPr>
      <w:r>
        <w:t xml:space="preserve">8.1 Load the rolling chunk corpus</w:t>
      </w:r>
    </w:p>
    <w:p>
      <w:pPr>
        <w:pStyle w:val="FirstParagraph"/>
      </w:pPr>
      <w:r>
        <w:t xml:space="preserve">We already have this built in the memory but in case it’s not, you can load it from the saved CSV file. This is the main dataset we will be working with for signal extraction in the next steps.</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re</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NormalTok"/>
        </w:rPr>
        <w:t xml:space="preserve">OUTPUT_DIR </w:t>
      </w:r>
      <w:r>
        <w:rPr>
          <w:rStyle w:val="OperatorTok"/>
        </w:rPr>
        <w:t xml:space="preserve">=</w:t>
      </w:r>
      <w:r>
        <w:rPr>
          <w:rStyle w:val="NormalTok"/>
        </w:rPr>
        <w:t xml:space="preserve"> Path(</w:t>
      </w:r>
      <w:r>
        <w:rPr>
          <w:rStyle w:val="StringTok"/>
        </w:rPr>
        <w:t xml:space="preserve">"./outputs/sec_10k_sections"</w:t>
      </w:r>
      <w:r>
        <w:rPr>
          <w:rStyle w:val="NormalTok"/>
        </w:rPr>
        <w:t xml:space="preserve">)</w:t>
      </w:r>
      <w:r>
        <w:br/>
      </w:r>
      <w:r>
        <w:rPr>
          <w:rStyle w:val="NormalTok"/>
        </w:rPr>
        <w:t xml:space="preserve">CHUNKS_FILE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tringTok"/>
        </w:rPr>
        <w:t xml:space="preserve">"sec_10k_2024_sentence_window_chunks.csv"</w:t>
      </w:r>
      <w:r>
        <w:br/>
      </w:r>
      <w:r>
        <w:br/>
      </w:r>
      <w:r>
        <w:rPr>
          <w:rStyle w:val="NormalTok"/>
        </w:rPr>
        <w:t xml:space="preserve">df_chunks </w:t>
      </w:r>
      <w:r>
        <w:rPr>
          <w:rStyle w:val="OperatorTok"/>
        </w:rPr>
        <w:t xml:space="preserve">=</w:t>
      </w:r>
      <w:r>
        <w:rPr>
          <w:rStyle w:val="NormalTok"/>
        </w:rPr>
        <w:t xml:space="preserve"> pd.read_csv(CHUNKS_FILE)</w:t>
      </w:r>
      <w:r>
        <w:br/>
      </w:r>
      <w:r>
        <w:rPr>
          <w:rStyle w:val="BuiltInTok"/>
        </w:rPr>
        <w:t xml:space="preserve">print</w:t>
      </w:r>
      <w:r>
        <w:rPr>
          <w:rStyle w:val="NormalTok"/>
        </w:rPr>
        <w:t xml:space="preserve">(df_chunks.shape)</w:t>
      </w:r>
      <w:r>
        <w:br/>
      </w:r>
      <w:r>
        <w:rPr>
          <w:rStyle w:val="NormalTok"/>
        </w:rPr>
        <w:t xml:space="preserve">df_chunks.head()</w:t>
      </w:r>
    </w:p>
    <w:bookmarkEnd w:id="64"/>
    <w:bookmarkStart w:id="65" w:name="choose-one-signal"/>
    <w:p>
      <w:pPr>
        <w:pStyle w:val="Heading2"/>
      </w:pPr>
      <w:r>
        <w:t xml:space="preserve">8.2 Choose one signal</w:t>
      </w:r>
    </w:p>
    <w:p>
      <w:pPr>
        <w:pStyle w:val="FirstParagraph"/>
      </w:pPr>
      <w:r>
        <w:t xml:space="preserve">For the assignment, choose one signal that you are interested in analyzing.</w:t>
      </w:r>
      <w:r>
        <w:t xml:space="preserve"> </w:t>
      </w:r>
      <w:r>
        <w:t xml:space="preserve">We can represent that as a variable. Comment and uncomment the one you want to work with. This will allow the rest of the code to be reusable for any of the defined signals.</w:t>
      </w:r>
    </w:p>
    <w:p>
      <w:pPr>
        <w:pStyle w:val="SourceCode"/>
      </w:pPr>
      <w:r>
        <w:rPr>
          <w:rStyle w:val="NormalTok"/>
        </w:rPr>
        <w:t xml:space="preserve">TARGET_SIGNAL </w:t>
      </w:r>
      <w:r>
        <w:rPr>
          <w:rStyle w:val="OperatorTok"/>
        </w:rPr>
        <w:t xml:space="preserve">=</w:t>
      </w:r>
      <w:r>
        <w:rPr>
          <w:rStyle w:val="NormalTok"/>
        </w:rPr>
        <w:t xml:space="preserve"> </w:t>
      </w:r>
      <w:r>
        <w:rPr>
          <w:rStyle w:val="StringTok"/>
        </w:rPr>
        <w:t xml:space="preserve">"ai_investment"</w:t>
      </w:r>
      <w:r>
        <w:br/>
      </w:r>
      <w:r>
        <w:rPr>
          <w:rStyle w:val="CommentTok"/>
        </w:rPr>
        <w:t xml:space="preserve"># TARGET_SIGNAL = "technology_infrastructure"</w:t>
      </w:r>
      <w:r>
        <w:br/>
      </w:r>
      <w:r>
        <w:rPr>
          <w:rStyle w:val="CommentTok"/>
        </w:rPr>
        <w:t xml:space="preserve"># TARGET_SIGNAL = "datacenter_compute"</w:t>
      </w:r>
      <w:r>
        <w:br/>
      </w:r>
      <w:r>
        <w:rPr>
          <w:rStyle w:val="CommentTok"/>
        </w:rPr>
        <w:t xml:space="preserve"># TARGET_SIGNAL = "digital_transformation"</w:t>
      </w:r>
    </w:p>
    <w:bookmarkEnd w:id="65"/>
    <w:bookmarkStart w:id="66" w:name="define-signal-dictionaries"/>
    <w:p>
      <w:pPr>
        <w:pStyle w:val="Heading2"/>
      </w:pPr>
      <w:r>
        <w:t xml:space="preserve">8.3 Define signal dictionaries</w:t>
      </w:r>
    </w:p>
    <w:p>
      <w:pPr>
        <w:pStyle w:val="FirstParagraph"/>
      </w:pPr>
      <w:r>
        <w:t xml:space="preserve">The cleanest design is to use a dictionary of dictionaries.</w:t>
      </w:r>
    </w:p>
    <w:p>
      <w:pPr>
        <w:pStyle w:val="BodyText"/>
      </w:pPr>
      <w:r>
        <w:t xml:space="preserve">Each signal can have:</w:t>
      </w:r>
    </w:p>
    <w:p>
      <w:pPr>
        <w:pStyle w:val="Compact"/>
        <w:numPr>
          <w:ilvl w:val="0"/>
          <w:numId w:val="1037"/>
        </w:numPr>
      </w:pPr>
      <w:r>
        <w:rPr>
          <w:rStyle w:val="VerbatimChar"/>
        </w:rPr>
        <w:t xml:space="preserve">core_terms</w:t>
      </w:r>
      <w:r>
        <w:t xml:space="preserve">: direct signal words</w:t>
      </w:r>
    </w:p>
    <w:p>
      <w:pPr>
        <w:pStyle w:val="Compact"/>
        <w:numPr>
          <w:ilvl w:val="0"/>
          <w:numId w:val="1037"/>
        </w:numPr>
      </w:pPr>
      <w:r>
        <w:rPr>
          <w:rStyle w:val="VerbatimChar"/>
        </w:rPr>
        <w:t xml:space="preserve">support_terms</w:t>
      </w:r>
      <w:r>
        <w:t xml:space="preserve">: contextual words that strengthen interpretation</w:t>
      </w:r>
    </w:p>
    <w:p>
      <w:pPr>
        <w:pStyle w:val="Compact"/>
        <w:numPr>
          <w:ilvl w:val="0"/>
          <w:numId w:val="1037"/>
        </w:numPr>
      </w:pPr>
      <w:r>
        <w:rPr>
          <w:rStyle w:val="VerbatimChar"/>
        </w:rPr>
        <w:t xml:space="preserve">exclude_terms</w:t>
      </w:r>
      <w:r>
        <w:t xml:space="preserve">: words that may create false positives</w:t>
      </w:r>
    </w:p>
    <w:p>
      <w:pPr>
        <w:pStyle w:val="SourceCode"/>
      </w:pPr>
      <w:r>
        <w:rPr>
          <w:rStyle w:val="NormalTok"/>
        </w:rPr>
        <w:t xml:space="preserve">SIGNAL_DEFINITIONS </w:t>
      </w:r>
      <w:r>
        <w:rPr>
          <w:rStyle w:val="OperatorTok"/>
        </w:rPr>
        <w:t xml:space="preserve">=</w:t>
      </w:r>
      <w:r>
        <w:rPr>
          <w:rStyle w:val="NormalTok"/>
        </w:rPr>
        <w:t xml:space="preserve"> {</w:t>
      </w:r>
      <w:r>
        <w:br/>
      </w:r>
      <w:r>
        <w:rPr>
          <w:rStyle w:val="NormalTok"/>
        </w:rPr>
        <w:t xml:space="preserve">    </w:t>
      </w:r>
      <w:r>
        <w:rPr>
          <w:rStyle w:val="StringTok"/>
        </w:rPr>
        <w:t xml:space="preserve">"ai_investment"</w:t>
      </w:r>
      <w:r>
        <w:rPr>
          <w:rStyle w:val="NormalTok"/>
        </w:rPr>
        <w:t xml:space="preserve">: {</w:t>
      </w:r>
      <w:r>
        <w:br/>
      </w:r>
      <w:r>
        <w:rPr>
          <w:rStyle w:val="NormalTok"/>
        </w:rPr>
        <w:t xml:space="preserve">        </w:t>
      </w:r>
      <w:r>
        <w:rPr>
          <w:rStyle w:val="StringTok"/>
        </w:rPr>
        <w:t xml:space="preserve">"label"</w:t>
      </w:r>
      <w:r>
        <w:rPr>
          <w:rStyle w:val="NormalTok"/>
        </w:rPr>
        <w:t xml:space="preserve">: </w:t>
      </w:r>
      <w:r>
        <w:rPr>
          <w:rStyle w:val="StringTok"/>
        </w:rPr>
        <w:t xml:space="preserve">"Artificial Intelligence Investment"</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"Language indicating spending, deployment, development, or strategic investment related to AI, machine learning, generative AI, or related systems."</w:t>
      </w:r>
      <w:r>
        <w:rPr>
          <w:rStyle w:val="NormalTok"/>
        </w:rPr>
        <w:t xml:space="preserve">,</w:t>
      </w:r>
      <w:r>
        <w:br/>
      </w:r>
      <w:r>
        <w:rPr>
          <w:rStyle w:val="NormalTok"/>
        </w:rPr>
        <w:t xml:space="preserve">        </w:t>
      </w:r>
      <w:r>
        <w:rPr>
          <w:rStyle w:val="StringTok"/>
        </w:rPr>
        <w:t xml:space="preserve">"core_terms"</w:t>
      </w:r>
      <w:r>
        <w:rPr>
          <w:rStyle w:val="NormalTok"/>
        </w:rPr>
        <w:t xml:space="preserve">: [</w:t>
      </w:r>
      <w:r>
        <w:br/>
      </w:r>
      <w:r>
        <w:rPr>
          <w:rStyle w:val="NormalTok"/>
        </w:rPr>
        <w:t xml:space="preserve">            </w:t>
      </w:r>
      <w:r>
        <w:rPr>
          <w:rStyle w:val="StringTok"/>
        </w:rPr>
        <w:t xml:space="preserve">"artificial intelligence"</w:t>
      </w:r>
      <w:r>
        <w:rPr>
          <w:rStyle w:val="NormalTok"/>
        </w:rPr>
        <w:t xml:space="preserve">,</w:t>
      </w:r>
      <w:r>
        <w:br/>
      </w:r>
      <w:r>
        <w:rPr>
          <w:rStyle w:val="NormalTok"/>
        </w:rPr>
        <w:t xml:space="preserve">            </w:t>
      </w:r>
      <w:r>
        <w:rPr>
          <w:rStyle w:val="StringTok"/>
        </w:rPr>
        <w:t xml:space="preserve">"machine learning"</w:t>
      </w:r>
      <w:r>
        <w:rPr>
          <w:rStyle w:val="NormalTok"/>
        </w:rPr>
        <w:t xml:space="preserve">,</w:t>
      </w:r>
      <w:r>
        <w:br/>
      </w:r>
      <w:r>
        <w:rPr>
          <w:rStyle w:val="NormalTok"/>
        </w:rPr>
        <w:t xml:space="preserve">            </w:t>
      </w:r>
      <w:r>
        <w:rPr>
          <w:rStyle w:val="StringTok"/>
        </w:rPr>
        <w:t xml:space="preserve">"generative ai"</w:t>
      </w:r>
      <w:r>
        <w:rPr>
          <w:rStyle w:val="NormalTok"/>
        </w:rPr>
        <w:t xml:space="preserve">,</w:t>
      </w:r>
      <w:r>
        <w:br/>
      </w:r>
      <w:r>
        <w:rPr>
          <w:rStyle w:val="NormalTok"/>
        </w:rPr>
        <w:t xml:space="preserve">            </w:t>
      </w:r>
      <w:r>
        <w:rPr>
          <w:rStyle w:val="StringTok"/>
        </w:rPr>
        <w:t xml:space="preserve">"genai"</w:t>
      </w:r>
      <w:r>
        <w:rPr>
          <w:rStyle w:val="NormalTok"/>
        </w:rPr>
        <w:t xml:space="preserve">,</w:t>
      </w:r>
      <w:r>
        <w:br/>
      </w:r>
      <w:r>
        <w:rPr>
          <w:rStyle w:val="NormalTok"/>
        </w:rPr>
        <w:t xml:space="preserve">            </w:t>
      </w:r>
      <w:r>
        <w:rPr>
          <w:rStyle w:val="StringTok"/>
        </w:rPr>
        <w:t xml:space="preserve">"foundation model"</w:t>
      </w:r>
      <w:r>
        <w:rPr>
          <w:rStyle w:val="NormalTok"/>
        </w:rPr>
        <w:t xml:space="preserve">,</w:t>
      </w:r>
      <w:r>
        <w:br/>
      </w:r>
      <w:r>
        <w:rPr>
          <w:rStyle w:val="NormalTok"/>
        </w:rPr>
        <w:t xml:space="preserve">            </w:t>
      </w:r>
      <w:r>
        <w:rPr>
          <w:rStyle w:val="StringTok"/>
        </w:rPr>
        <w:t xml:space="preserve">"large language model"</w:t>
      </w:r>
      <w:r>
        <w:rPr>
          <w:rStyle w:val="NormalTok"/>
        </w:rPr>
        <w:t xml:space="preserve">,</w:t>
      </w:r>
      <w:r>
        <w:br/>
      </w:r>
      <w:r>
        <w:rPr>
          <w:rStyle w:val="NormalTok"/>
        </w:rPr>
        <w:t xml:space="preserve">            </w:t>
      </w:r>
      <w:r>
        <w:rPr>
          <w:rStyle w:val="StringTok"/>
        </w:rPr>
        <w:t xml:space="preserve">"llm"</w:t>
      </w:r>
      <w:r>
        <w:rPr>
          <w:rStyle w:val="NormalTok"/>
        </w:rPr>
        <w:t xml:space="preserve">,</w:t>
      </w:r>
      <w:r>
        <w:br/>
      </w:r>
      <w:r>
        <w:rPr>
          <w:rStyle w:val="NormalTok"/>
        </w:rPr>
        <w:t xml:space="preserve">            </w:t>
      </w:r>
      <w:r>
        <w:rPr>
          <w:rStyle w:val="StringTok"/>
        </w:rPr>
        <w:t xml:space="preserve">"ai model"</w:t>
      </w:r>
      <w:r>
        <w:rPr>
          <w:rStyle w:val="NormalTok"/>
        </w:rPr>
        <w:t xml:space="preserve">,</w:t>
      </w:r>
      <w:r>
        <w:br/>
      </w:r>
      <w:r>
        <w:rPr>
          <w:rStyle w:val="NormalTok"/>
        </w:rPr>
        <w:t xml:space="preserve">            </w:t>
      </w:r>
      <w:r>
        <w:rPr>
          <w:rStyle w:val="StringTok"/>
        </w:rPr>
        <w:t xml:space="preserve">"ai capability"</w:t>
      </w:r>
      <w:r>
        <w:rPr>
          <w:rStyle w:val="NormalTok"/>
        </w:rPr>
        <w:t xml:space="preserve">,</w:t>
      </w:r>
      <w:r>
        <w:br/>
      </w:r>
      <w:r>
        <w:rPr>
          <w:rStyle w:val="NormalTok"/>
        </w:rPr>
        <w:t xml:space="preserve">            </w:t>
      </w:r>
      <w:r>
        <w:rPr>
          <w:rStyle w:val="StringTok"/>
        </w:rPr>
        <w:t xml:space="preserve">"ai system"</w:t>
      </w:r>
      <w:r>
        <w:rPr>
          <w:rStyle w:val="NormalTok"/>
        </w:rPr>
        <w:t xml:space="preserve">,</w:t>
      </w:r>
      <w:r>
        <w:br/>
      </w:r>
      <w:r>
        <w:rPr>
          <w:rStyle w:val="NormalTok"/>
        </w:rPr>
        <w:t xml:space="preserve">            </w:t>
      </w:r>
      <w:r>
        <w:rPr>
          <w:rStyle w:val="StringTok"/>
        </w:rPr>
        <w:t xml:space="preserve">"automated decision"</w:t>
      </w:r>
      <w:r>
        <w:rPr>
          <w:rStyle w:val="NormalTok"/>
        </w:rPr>
        <w:t xml:space="preserve">,</w:t>
      </w:r>
      <w:r>
        <w:br/>
      </w:r>
      <w:r>
        <w:rPr>
          <w:rStyle w:val="NormalTok"/>
        </w:rPr>
        <w:t xml:space="preserve">            </w:t>
      </w:r>
      <w:r>
        <w:rPr>
          <w:rStyle w:val="StringTok"/>
        </w:rPr>
        <w:t xml:space="preserve">"intelligent automation"</w:t>
      </w:r>
      <w:r>
        <w:br/>
      </w:r>
      <w:r>
        <w:rPr>
          <w:rStyle w:val="NormalTok"/>
        </w:rPr>
        <w:t xml:space="preserve">        ],</w:t>
      </w:r>
      <w:r>
        <w:br/>
      </w:r>
      <w:r>
        <w:rPr>
          <w:rStyle w:val="NormalTok"/>
        </w:rPr>
        <w:t xml:space="preserve">        </w:t>
      </w:r>
      <w:r>
        <w:rPr>
          <w:rStyle w:val="StringTok"/>
        </w:rPr>
        <w:t xml:space="preserve">"support_terms"</w:t>
      </w:r>
      <w:r>
        <w:rPr>
          <w:rStyle w:val="NormalTok"/>
        </w:rPr>
        <w:t xml:space="preserve">: [</w:t>
      </w:r>
      <w:r>
        <w:br/>
      </w:r>
      <w:r>
        <w:rPr>
          <w:rStyle w:val="NormalTok"/>
        </w:rPr>
        <w:t xml:space="preserve">            </w:t>
      </w:r>
      <w:r>
        <w:rPr>
          <w:rStyle w:val="StringTok"/>
        </w:rPr>
        <w:t xml:space="preserve">"investment"</w:t>
      </w:r>
      <w:r>
        <w:rPr>
          <w:rStyle w:val="NormalTok"/>
        </w:rPr>
        <w:t xml:space="preserve">,</w:t>
      </w:r>
      <w:r>
        <w:br/>
      </w:r>
      <w:r>
        <w:rPr>
          <w:rStyle w:val="NormalTok"/>
        </w:rPr>
        <w:t xml:space="preserve">            </w:t>
      </w:r>
      <w:r>
        <w:rPr>
          <w:rStyle w:val="StringTok"/>
        </w:rPr>
        <w:t xml:space="preserve">"spending"</w:t>
      </w:r>
      <w:r>
        <w:rPr>
          <w:rStyle w:val="NormalTok"/>
        </w:rPr>
        <w:t xml:space="preserve">,</w:t>
      </w:r>
      <w:r>
        <w:br/>
      </w:r>
      <w:r>
        <w:rPr>
          <w:rStyle w:val="NormalTok"/>
        </w:rPr>
        <w:t xml:space="preserve">            </w:t>
      </w:r>
      <w:r>
        <w:rPr>
          <w:rStyle w:val="StringTok"/>
        </w:rPr>
        <w:t xml:space="preserve">"expense"</w:t>
      </w:r>
      <w:r>
        <w:rPr>
          <w:rStyle w:val="NormalTok"/>
        </w:rPr>
        <w:t xml:space="preserve">,</w:t>
      </w:r>
      <w:r>
        <w:br/>
      </w:r>
      <w:r>
        <w:rPr>
          <w:rStyle w:val="NormalTok"/>
        </w:rPr>
        <w:t xml:space="preserve">            </w:t>
      </w:r>
      <w:r>
        <w:rPr>
          <w:rStyle w:val="StringTok"/>
        </w:rPr>
        <w:t xml:space="preserve">"capital expenditure"</w:t>
      </w:r>
      <w:r>
        <w:rPr>
          <w:rStyle w:val="NormalTok"/>
        </w:rPr>
        <w:t xml:space="preserve">,</w:t>
      </w:r>
      <w:r>
        <w:br/>
      </w:r>
      <w:r>
        <w:rPr>
          <w:rStyle w:val="NormalTok"/>
        </w:rPr>
        <w:t xml:space="preserve">            </w:t>
      </w:r>
      <w:r>
        <w:rPr>
          <w:rStyle w:val="StringTok"/>
        </w:rPr>
        <w:t xml:space="preserve">"capex"</w:t>
      </w:r>
      <w:r>
        <w:rPr>
          <w:rStyle w:val="NormalTok"/>
        </w:rPr>
        <w:t xml:space="preserve">,</w:t>
      </w:r>
      <w:r>
        <w:br/>
      </w:r>
      <w:r>
        <w:rPr>
          <w:rStyle w:val="NormalTok"/>
        </w:rPr>
        <w:t xml:space="preserve">            </w:t>
      </w:r>
      <w:r>
        <w:rPr>
          <w:rStyle w:val="StringTok"/>
        </w:rPr>
        <w:t xml:space="preserve">"infrastructure"</w:t>
      </w:r>
      <w:r>
        <w:rPr>
          <w:rStyle w:val="NormalTok"/>
        </w:rPr>
        <w:t xml:space="preserve">,</w:t>
      </w:r>
      <w:r>
        <w:br/>
      </w:r>
      <w:r>
        <w:rPr>
          <w:rStyle w:val="NormalTok"/>
        </w:rPr>
        <w:t xml:space="preserve">            </w:t>
      </w:r>
      <w:r>
        <w:rPr>
          <w:rStyle w:val="StringTok"/>
        </w:rPr>
        <w:t xml:space="preserve">"platform"</w:t>
      </w:r>
      <w:r>
        <w:rPr>
          <w:rStyle w:val="NormalTok"/>
        </w:rPr>
        <w:t xml:space="preserve">,</w:t>
      </w:r>
      <w:r>
        <w:br/>
      </w:r>
      <w:r>
        <w:rPr>
          <w:rStyle w:val="NormalTok"/>
        </w:rPr>
        <w:t xml:space="preserve">            </w:t>
      </w:r>
      <w:r>
        <w:rPr>
          <w:rStyle w:val="StringTok"/>
        </w:rPr>
        <w:t xml:space="preserve">"development"</w:t>
      </w:r>
      <w:r>
        <w:rPr>
          <w:rStyle w:val="NormalTok"/>
        </w:rPr>
        <w:t xml:space="preserve">,</w:t>
      </w:r>
      <w:r>
        <w:br/>
      </w:r>
      <w:r>
        <w:rPr>
          <w:rStyle w:val="NormalTok"/>
        </w:rPr>
        <w:t xml:space="preserve">            </w:t>
      </w:r>
      <w:r>
        <w:rPr>
          <w:rStyle w:val="StringTok"/>
        </w:rPr>
        <w:t xml:space="preserve">"deployment"</w:t>
      </w:r>
      <w:r>
        <w:rPr>
          <w:rStyle w:val="NormalTok"/>
        </w:rPr>
        <w:t xml:space="preserve">,</w:t>
      </w:r>
      <w:r>
        <w:br/>
      </w:r>
      <w:r>
        <w:rPr>
          <w:rStyle w:val="NormalTok"/>
        </w:rPr>
        <w:t xml:space="preserve">            </w:t>
      </w:r>
      <w:r>
        <w:rPr>
          <w:rStyle w:val="StringTok"/>
        </w:rPr>
        <w:t xml:space="preserve">"training"</w:t>
      </w:r>
      <w:r>
        <w:rPr>
          <w:rStyle w:val="NormalTok"/>
        </w:rPr>
        <w:t xml:space="preserve">,</w:t>
      </w:r>
      <w:r>
        <w:br/>
      </w:r>
      <w:r>
        <w:rPr>
          <w:rStyle w:val="NormalTok"/>
        </w:rPr>
        <w:t xml:space="preserve">            </w:t>
      </w:r>
      <w:r>
        <w:rPr>
          <w:rStyle w:val="StringTok"/>
        </w:rPr>
        <w:t xml:space="preserve">"compute"</w:t>
      </w:r>
      <w:r>
        <w:rPr>
          <w:rStyle w:val="NormalTok"/>
        </w:rPr>
        <w:t xml:space="preserve">,</w:t>
      </w:r>
      <w:r>
        <w:br/>
      </w:r>
      <w:r>
        <w:rPr>
          <w:rStyle w:val="NormalTok"/>
        </w:rPr>
        <w:t xml:space="preserve">            </w:t>
      </w:r>
      <w:r>
        <w:rPr>
          <w:rStyle w:val="StringTok"/>
        </w:rPr>
        <w:t xml:space="preserve">"data center"</w:t>
      </w:r>
      <w:r>
        <w:rPr>
          <w:rStyle w:val="NormalTok"/>
        </w:rPr>
        <w:t xml:space="preserve">,</w:t>
      </w:r>
      <w:r>
        <w:br/>
      </w:r>
      <w:r>
        <w:rPr>
          <w:rStyle w:val="NormalTok"/>
        </w:rPr>
        <w:t xml:space="preserve">            </w:t>
      </w:r>
      <w:r>
        <w:rPr>
          <w:rStyle w:val="StringTok"/>
        </w:rPr>
        <w:t xml:space="preserve">"datacenter"</w:t>
      </w:r>
      <w:r>
        <w:rPr>
          <w:rStyle w:val="NormalTok"/>
        </w:rPr>
        <w:t xml:space="preserve">,</w:t>
      </w:r>
      <w:r>
        <w:br/>
      </w:r>
      <w:r>
        <w:rPr>
          <w:rStyle w:val="NormalTok"/>
        </w:rPr>
        <w:t xml:space="preserve">            </w:t>
      </w:r>
      <w:r>
        <w:rPr>
          <w:rStyle w:val="StringTok"/>
        </w:rPr>
        <w:t xml:space="preserve">"cloud"</w:t>
      </w:r>
      <w:r>
        <w:rPr>
          <w:rStyle w:val="NormalTok"/>
        </w:rPr>
        <w:t xml:space="preserve">,</w:t>
      </w:r>
      <w:r>
        <w:br/>
      </w:r>
      <w:r>
        <w:rPr>
          <w:rStyle w:val="NormalTok"/>
        </w:rPr>
        <w:t xml:space="preserve">            </w:t>
      </w:r>
      <w:r>
        <w:rPr>
          <w:rStyle w:val="StringTok"/>
        </w:rPr>
        <w:t xml:space="preserve">"model development"</w:t>
      </w:r>
      <w:r>
        <w:rPr>
          <w:rStyle w:val="NormalTok"/>
        </w:rPr>
        <w:t xml:space="preserve">,</w:t>
      </w:r>
      <w:r>
        <w:br/>
      </w:r>
      <w:r>
        <w:rPr>
          <w:rStyle w:val="NormalTok"/>
        </w:rPr>
        <w:t xml:space="preserve">            </w:t>
      </w:r>
      <w:r>
        <w:rPr>
          <w:rStyle w:val="StringTok"/>
        </w:rPr>
        <w:t xml:space="preserve">"technology investment"</w:t>
      </w:r>
      <w:r>
        <w:br/>
      </w:r>
      <w:r>
        <w:rPr>
          <w:rStyle w:val="NormalTok"/>
        </w:rPr>
        <w:t xml:space="preserve">        ],</w:t>
      </w:r>
      <w:r>
        <w:br/>
      </w:r>
      <w:r>
        <w:rPr>
          <w:rStyle w:val="NormalTok"/>
        </w:rPr>
        <w:t xml:space="preserve">        </w:t>
      </w:r>
      <w:r>
        <w:rPr>
          <w:rStyle w:val="StringTok"/>
        </w:rPr>
        <w:t xml:space="preserve">"exclude_terms"</w:t>
      </w:r>
      <w:r>
        <w:rPr>
          <w:rStyle w:val="NormalTok"/>
        </w:rPr>
        <w:t xml:space="preserve">: [</w:t>
      </w:r>
      <w:r>
        <w:br/>
      </w:r>
      <w:r>
        <w:rPr>
          <w:rStyle w:val="NormalTok"/>
        </w:rPr>
        <w:t xml:space="preserve">            </w:t>
      </w:r>
      <w:r>
        <w:rPr>
          <w:rStyle w:val="StringTok"/>
        </w:rPr>
        <w:t xml:space="preserve">"artificial flavors"</w:t>
      </w:r>
      <w:r>
        <w:rPr>
          <w:rStyle w:val="NormalTok"/>
        </w:rPr>
        <w:t xml:space="preserve">,</w:t>
      </w:r>
      <w:r>
        <w:br/>
      </w:r>
      <w:r>
        <w:rPr>
          <w:rStyle w:val="NormalTok"/>
        </w:rPr>
        <w:t xml:space="preserve">            </w:t>
      </w:r>
      <w:r>
        <w:rPr>
          <w:rStyle w:val="StringTok"/>
        </w:rPr>
        <w:t xml:space="preserve">"machine shop"</w:t>
      </w:r>
      <w:r>
        <w:br/>
      </w:r>
      <w:r>
        <w:rPr>
          <w:rStyle w:val="NormalTok"/>
        </w:rPr>
        <w:t xml:space="preserve">        ]</w:t>
      </w:r>
      <w:r>
        <w:br/>
      </w:r>
      <w:r>
        <w:rPr>
          <w:rStyle w:val="NormalTok"/>
        </w:rPr>
        <w:t xml:space="preserve">    },</w:t>
      </w:r>
      <w:r>
        <w:br/>
      </w:r>
      <w:r>
        <w:br/>
      </w:r>
      <w:r>
        <w:rPr>
          <w:rStyle w:val="NormalTok"/>
        </w:rPr>
        <w:t xml:space="preserve">    </w:t>
      </w:r>
      <w:r>
        <w:rPr>
          <w:rStyle w:val="StringTok"/>
        </w:rPr>
        <w:t xml:space="preserve">"technology_infrastructure"</w:t>
      </w:r>
      <w:r>
        <w:rPr>
          <w:rStyle w:val="NormalTok"/>
        </w:rPr>
        <w:t xml:space="preserve">: {</w:t>
      </w:r>
      <w:r>
        <w:br/>
      </w:r>
      <w:r>
        <w:rPr>
          <w:rStyle w:val="NormalTok"/>
        </w:rPr>
        <w:t xml:space="preserve">        </w:t>
      </w:r>
      <w:r>
        <w:rPr>
          <w:rStyle w:val="StringTok"/>
        </w:rPr>
        <w:t xml:space="preserve">"label"</w:t>
      </w:r>
      <w:r>
        <w:rPr>
          <w:rStyle w:val="NormalTok"/>
        </w:rPr>
        <w:t xml:space="preserve">: </w:t>
      </w:r>
      <w:r>
        <w:rPr>
          <w:rStyle w:val="StringTok"/>
        </w:rPr>
        <w:t xml:space="preserve">"Technology Infrastructure Spending"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"Language describing spending or strategic allocation toward enterprise systems, cloud, platforms, networks, compute, storage, or other digital infrastructure."</w:t>
      </w:r>
      <w:r>
        <w:rPr>
          <w:rStyle w:val="NormalTok"/>
        </w:rPr>
        <w:t xml:space="preserve">,</w:t>
      </w:r>
      <w:r>
        <w:br/>
      </w:r>
      <w:r>
        <w:rPr>
          <w:rStyle w:val="NormalTok"/>
        </w:rPr>
        <w:t xml:space="preserve">        </w:t>
      </w:r>
      <w:r>
        <w:rPr>
          <w:rStyle w:val="StringTok"/>
        </w:rPr>
        <w:t xml:space="preserve">"core_terms"</w:t>
      </w:r>
      <w:r>
        <w:rPr>
          <w:rStyle w:val="NormalTok"/>
        </w:rPr>
        <w:t xml:space="preserve">: [</w:t>
      </w:r>
      <w:r>
        <w:br/>
      </w:r>
      <w:r>
        <w:rPr>
          <w:rStyle w:val="NormalTok"/>
        </w:rPr>
        <w:t xml:space="preserve">            </w:t>
      </w:r>
      <w:r>
        <w:rPr>
          <w:rStyle w:val="StringTok"/>
        </w:rPr>
        <w:t xml:space="preserve">"technology infrastructure"</w:t>
      </w:r>
      <w:r>
        <w:rPr>
          <w:rStyle w:val="NormalTok"/>
        </w:rPr>
        <w:t xml:space="preserve">,</w:t>
      </w:r>
      <w:r>
        <w:br/>
      </w:r>
      <w:r>
        <w:rPr>
          <w:rStyle w:val="NormalTok"/>
        </w:rPr>
        <w:t xml:space="preserve">            </w:t>
      </w:r>
      <w:r>
        <w:rPr>
          <w:rStyle w:val="StringTok"/>
        </w:rPr>
        <w:t xml:space="preserve">"information technology infrastructure"</w:t>
      </w:r>
      <w:r>
        <w:rPr>
          <w:rStyle w:val="NormalTok"/>
        </w:rPr>
        <w:t xml:space="preserve">,</w:t>
      </w:r>
      <w:r>
        <w:br/>
      </w:r>
      <w:r>
        <w:rPr>
          <w:rStyle w:val="NormalTok"/>
        </w:rPr>
        <w:t xml:space="preserve">            </w:t>
      </w:r>
      <w:r>
        <w:rPr>
          <w:rStyle w:val="StringTok"/>
        </w:rPr>
        <w:t xml:space="preserve">"cloud infrastructure"</w:t>
      </w:r>
      <w:r>
        <w:rPr>
          <w:rStyle w:val="NormalTok"/>
        </w:rPr>
        <w:t xml:space="preserve">,</w:t>
      </w:r>
      <w:r>
        <w:br/>
      </w:r>
      <w:r>
        <w:rPr>
          <w:rStyle w:val="NormalTok"/>
        </w:rPr>
        <w:t xml:space="preserve">            </w:t>
      </w:r>
      <w:r>
        <w:rPr>
          <w:rStyle w:val="StringTok"/>
        </w:rPr>
        <w:t xml:space="preserve">"platform infrastructure"</w:t>
      </w:r>
      <w:r>
        <w:rPr>
          <w:rStyle w:val="NormalTok"/>
        </w:rPr>
        <w:t xml:space="preserve">,</w:t>
      </w:r>
      <w:r>
        <w:br/>
      </w:r>
      <w:r>
        <w:rPr>
          <w:rStyle w:val="NormalTok"/>
        </w:rPr>
        <w:t xml:space="preserve">            </w:t>
      </w:r>
      <w:r>
        <w:rPr>
          <w:rStyle w:val="StringTok"/>
        </w:rPr>
        <w:t xml:space="preserve">"network infrastructure"</w:t>
      </w:r>
      <w:r>
        <w:rPr>
          <w:rStyle w:val="NormalTok"/>
        </w:rPr>
        <w:t xml:space="preserve">,</w:t>
      </w:r>
      <w:r>
        <w:br/>
      </w:r>
      <w:r>
        <w:rPr>
          <w:rStyle w:val="NormalTok"/>
        </w:rPr>
        <w:t xml:space="preserve">            </w:t>
      </w:r>
      <w:r>
        <w:rPr>
          <w:rStyle w:val="StringTok"/>
        </w:rPr>
        <w:t xml:space="preserve">"compute infrastructure"</w:t>
      </w:r>
      <w:r>
        <w:rPr>
          <w:rStyle w:val="NormalTok"/>
        </w:rPr>
        <w:t xml:space="preserve">,</w:t>
      </w:r>
      <w:r>
        <w:br/>
      </w:r>
      <w:r>
        <w:rPr>
          <w:rStyle w:val="NormalTok"/>
        </w:rPr>
        <w:t xml:space="preserve">            </w:t>
      </w:r>
      <w:r>
        <w:rPr>
          <w:rStyle w:val="StringTok"/>
        </w:rPr>
        <w:t xml:space="preserve">"digital infrastructure"</w:t>
      </w:r>
      <w:r>
        <w:rPr>
          <w:rStyle w:val="NormalTok"/>
        </w:rPr>
        <w:t xml:space="preserve">,</w:t>
      </w:r>
      <w:r>
        <w:br/>
      </w:r>
      <w:r>
        <w:rPr>
          <w:rStyle w:val="NormalTok"/>
        </w:rPr>
        <w:t xml:space="preserve">            </w:t>
      </w:r>
      <w:r>
        <w:rPr>
          <w:rStyle w:val="StringTok"/>
        </w:rPr>
        <w:t xml:space="preserve">"technology platform"</w:t>
      </w:r>
      <w:r>
        <w:rPr>
          <w:rStyle w:val="NormalTok"/>
        </w:rPr>
        <w:t xml:space="preserve">,</w:t>
      </w:r>
      <w:r>
        <w:br/>
      </w:r>
      <w:r>
        <w:rPr>
          <w:rStyle w:val="NormalTok"/>
        </w:rPr>
        <w:t xml:space="preserve">            </w:t>
      </w:r>
      <w:r>
        <w:rPr>
          <w:rStyle w:val="StringTok"/>
        </w:rPr>
        <w:t xml:space="preserve">"enterprise platform"</w:t>
      </w:r>
      <w:r>
        <w:br/>
      </w:r>
      <w:r>
        <w:rPr>
          <w:rStyle w:val="NormalTok"/>
        </w:rPr>
        <w:t xml:space="preserve">        ],</w:t>
      </w:r>
      <w:r>
        <w:br/>
      </w:r>
      <w:r>
        <w:rPr>
          <w:rStyle w:val="NormalTok"/>
        </w:rPr>
        <w:t xml:space="preserve">        </w:t>
      </w:r>
      <w:r>
        <w:rPr>
          <w:rStyle w:val="StringTok"/>
        </w:rPr>
        <w:t xml:space="preserve">"support_terms"</w:t>
      </w:r>
      <w:r>
        <w:rPr>
          <w:rStyle w:val="NormalTok"/>
        </w:rPr>
        <w:t xml:space="preserve">: [</w:t>
      </w:r>
      <w:r>
        <w:br/>
      </w:r>
      <w:r>
        <w:rPr>
          <w:rStyle w:val="NormalTok"/>
        </w:rPr>
        <w:t xml:space="preserve">            </w:t>
      </w:r>
      <w:r>
        <w:rPr>
          <w:rStyle w:val="StringTok"/>
        </w:rPr>
        <w:t xml:space="preserve">"investment"</w:t>
      </w:r>
      <w:r>
        <w:rPr>
          <w:rStyle w:val="NormalTok"/>
        </w:rPr>
        <w:t xml:space="preserve">,</w:t>
      </w:r>
      <w:r>
        <w:br/>
      </w:r>
      <w:r>
        <w:rPr>
          <w:rStyle w:val="NormalTok"/>
        </w:rPr>
        <w:t xml:space="preserve">            </w:t>
      </w:r>
      <w:r>
        <w:rPr>
          <w:rStyle w:val="StringTok"/>
        </w:rPr>
        <w:t xml:space="preserve">"spending"</w:t>
      </w:r>
      <w:r>
        <w:rPr>
          <w:rStyle w:val="NormalTok"/>
        </w:rPr>
        <w:t xml:space="preserve">,</w:t>
      </w:r>
      <w:r>
        <w:br/>
      </w:r>
      <w:r>
        <w:rPr>
          <w:rStyle w:val="NormalTok"/>
        </w:rPr>
        <w:t xml:space="preserve">            </w:t>
      </w:r>
      <w:r>
        <w:rPr>
          <w:rStyle w:val="StringTok"/>
        </w:rPr>
        <w:t xml:space="preserve">"expense"</w:t>
      </w:r>
      <w:r>
        <w:rPr>
          <w:rStyle w:val="NormalTok"/>
        </w:rPr>
        <w:t xml:space="preserve">,</w:t>
      </w:r>
      <w:r>
        <w:br/>
      </w:r>
      <w:r>
        <w:rPr>
          <w:rStyle w:val="NormalTok"/>
        </w:rPr>
        <w:t xml:space="preserve">            </w:t>
      </w:r>
      <w:r>
        <w:rPr>
          <w:rStyle w:val="StringTok"/>
        </w:rPr>
        <w:t xml:space="preserve">"capital expenditure"</w:t>
      </w:r>
      <w:r>
        <w:rPr>
          <w:rStyle w:val="NormalTok"/>
        </w:rPr>
        <w:t xml:space="preserve">,</w:t>
      </w:r>
      <w:r>
        <w:br/>
      </w:r>
      <w:r>
        <w:rPr>
          <w:rStyle w:val="NormalTok"/>
        </w:rPr>
        <w:t xml:space="preserve">            </w:t>
      </w:r>
      <w:r>
        <w:rPr>
          <w:rStyle w:val="StringTok"/>
        </w:rPr>
        <w:t xml:space="preserve">"capex"</w:t>
      </w:r>
      <w:r>
        <w:rPr>
          <w:rStyle w:val="NormalTok"/>
        </w:rPr>
        <w:t xml:space="preserve">,</w:t>
      </w:r>
      <w:r>
        <w:br/>
      </w:r>
      <w:r>
        <w:rPr>
          <w:rStyle w:val="NormalTok"/>
        </w:rPr>
        <w:t xml:space="preserve">            </w:t>
      </w:r>
      <w:r>
        <w:rPr>
          <w:rStyle w:val="StringTok"/>
        </w:rPr>
        <w:t xml:space="preserve">"upgrade"</w:t>
      </w:r>
      <w:r>
        <w:rPr>
          <w:rStyle w:val="NormalTok"/>
        </w:rPr>
        <w:t xml:space="preserve">,</w:t>
      </w:r>
      <w:r>
        <w:br/>
      </w:r>
      <w:r>
        <w:rPr>
          <w:rStyle w:val="NormalTok"/>
        </w:rPr>
        <w:t xml:space="preserve">            </w:t>
      </w:r>
      <w:r>
        <w:rPr>
          <w:rStyle w:val="StringTok"/>
        </w:rPr>
        <w:t xml:space="preserve">"expansion"</w:t>
      </w:r>
      <w:r>
        <w:rPr>
          <w:rStyle w:val="NormalTok"/>
        </w:rPr>
        <w:t xml:space="preserve">,</w:t>
      </w:r>
      <w:r>
        <w:br/>
      </w:r>
      <w:r>
        <w:rPr>
          <w:rStyle w:val="NormalTok"/>
        </w:rPr>
        <w:t xml:space="preserve">            </w:t>
      </w:r>
      <w:r>
        <w:rPr>
          <w:rStyle w:val="StringTok"/>
        </w:rPr>
        <w:t xml:space="preserve">"modernization"</w:t>
      </w:r>
      <w:r>
        <w:rPr>
          <w:rStyle w:val="NormalTok"/>
        </w:rPr>
        <w:t xml:space="preserve">,</w:t>
      </w:r>
      <w:r>
        <w:br/>
      </w:r>
      <w:r>
        <w:rPr>
          <w:rStyle w:val="NormalTok"/>
        </w:rPr>
        <w:t xml:space="preserve">            </w:t>
      </w:r>
      <w:r>
        <w:rPr>
          <w:rStyle w:val="StringTok"/>
        </w:rPr>
        <w:t xml:space="preserve">"migration"</w:t>
      </w:r>
      <w:r>
        <w:rPr>
          <w:rStyle w:val="NormalTok"/>
        </w:rPr>
        <w:t xml:space="preserve">,</w:t>
      </w:r>
      <w:r>
        <w:br/>
      </w:r>
      <w:r>
        <w:rPr>
          <w:rStyle w:val="NormalTok"/>
        </w:rPr>
        <w:t xml:space="preserve">            </w:t>
      </w:r>
      <w:r>
        <w:rPr>
          <w:rStyle w:val="StringTok"/>
        </w:rPr>
        <w:t xml:space="preserve">"implementation"</w:t>
      </w:r>
      <w:r>
        <w:rPr>
          <w:rStyle w:val="NormalTok"/>
        </w:rPr>
        <w:t xml:space="preserve">,</w:t>
      </w:r>
      <w:r>
        <w:br/>
      </w:r>
      <w:r>
        <w:rPr>
          <w:rStyle w:val="NormalTok"/>
        </w:rPr>
        <w:t xml:space="preserve">            </w:t>
      </w:r>
      <w:r>
        <w:rPr>
          <w:rStyle w:val="StringTok"/>
        </w:rPr>
        <w:t xml:space="preserve">"deployment"</w:t>
      </w:r>
      <w:r>
        <w:rPr>
          <w:rStyle w:val="NormalTok"/>
        </w:rPr>
        <w:t xml:space="preserve">,</w:t>
      </w:r>
      <w:r>
        <w:br/>
      </w:r>
      <w:r>
        <w:rPr>
          <w:rStyle w:val="NormalTok"/>
        </w:rPr>
        <w:t xml:space="preserve">            </w:t>
      </w:r>
      <w:r>
        <w:rPr>
          <w:rStyle w:val="StringTok"/>
        </w:rPr>
        <w:t xml:space="preserve">"storage"</w:t>
      </w:r>
      <w:r>
        <w:rPr>
          <w:rStyle w:val="NormalTok"/>
        </w:rPr>
        <w:t xml:space="preserve">,</w:t>
      </w:r>
      <w:r>
        <w:br/>
      </w:r>
      <w:r>
        <w:rPr>
          <w:rStyle w:val="NormalTok"/>
        </w:rPr>
        <w:t xml:space="preserve">            </w:t>
      </w:r>
      <w:r>
        <w:rPr>
          <w:rStyle w:val="StringTok"/>
        </w:rPr>
        <w:t xml:space="preserve">"servers"</w:t>
      </w:r>
      <w:r>
        <w:rPr>
          <w:rStyle w:val="NormalTok"/>
        </w:rPr>
        <w:t xml:space="preserve">,</w:t>
      </w:r>
      <w:r>
        <w:br/>
      </w:r>
      <w:r>
        <w:rPr>
          <w:rStyle w:val="NormalTok"/>
        </w:rPr>
        <w:t xml:space="preserve">            </w:t>
      </w:r>
      <w:r>
        <w:rPr>
          <w:rStyle w:val="StringTok"/>
        </w:rPr>
        <w:t xml:space="preserve">"compute"</w:t>
      </w:r>
      <w:r>
        <w:rPr>
          <w:rStyle w:val="NormalTok"/>
        </w:rPr>
        <w:t xml:space="preserve">,</w:t>
      </w:r>
      <w:r>
        <w:br/>
      </w:r>
      <w:r>
        <w:rPr>
          <w:rStyle w:val="NormalTok"/>
        </w:rPr>
        <w:t xml:space="preserve">            </w:t>
      </w:r>
      <w:r>
        <w:rPr>
          <w:rStyle w:val="StringTok"/>
        </w:rPr>
        <w:t xml:space="preserve">"systems"</w:t>
      </w:r>
      <w:r>
        <w:br/>
      </w:r>
      <w:r>
        <w:rPr>
          <w:rStyle w:val="NormalTok"/>
        </w:rPr>
        <w:t xml:space="preserve">        ],</w:t>
      </w:r>
      <w:r>
        <w:br/>
      </w:r>
      <w:r>
        <w:rPr>
          <w:rStyle w:val="NormalTok"/>
        </w:rPr>
        <w:t xml:space="preserve">        </w:t>
      </w:r>
      <w:r>
        <w:rPr>
          <w:rStyle w:val="StringTok"/>
        </w:rPr>
        <w:t xml:space="preserve">"exclude_terms"</w:t>
      </w:r>
      <w:r>
        <w:rPr>
          <w:rStyle w:val="NormalTok"/>
        </w:rPr>
        <w:t xml:space="preserve">: []</w:t>
      </w:r>
      <w:r>
        <w:br/>
      </w:r>
      <w:r>
        <w:rPr>
          <w:rStyle w:val="NormalTok"/>
        </w:rPr>
        <w:t xml:space="preserve">    },</w:t>
      </w:r>
      <w:r>
        <w:br/>
      </w:r>
      <w:r>
        <w:br/>
      </w:r>
      <w:r>
        <w:rPr>
          <w:rStyle w:val="NormalTok"/>
        </w:rPr>
        <w:t xml:space="preserve">    </w:t>
      </w:r>
      <w:r>
        <w:rPr>
          <w:rStyle w:val="StringTok"/>
        </w:rPr>
        <w:t xml:space="preserve">"datacenter_compute"</w:t>
      </w:r>
      <w:r>
        <w:rPr>
          <w:rStyle w:val="NormalTok"/>
        </w:rPr>
        <w:t xml:space="preserve">: {</w:t>
      </w:r>
      <w:r>
        <w:br/>
      </w:r>
      <w:r>
        <w:rPr>
          <w:rStyle w:val="NormalTok"/>
        </w:rPr>
        <w:t xml:space="preserve">        </w:t>
      </w:r>
      <w:r>
        <w:rPr>
          <w:rStyle w:val="StringTok"/>
        </w:rPr>
        <w:t xml:space="preserve">"label"</w:t>
      </w:r>
      <w:r>
        <w:rPr>
          <w:rStyle w:val="NormalTok"/>
        </w:rPr>
        <w:t xml:space="preserve">: </w:t>
      </w:r>
      <w:r>
        <w:rPr>
          <w:rStyle w:val="StringTok"/>
        </w:rPr>
        <w:t xml:space="preserve">"Datacenter / Compute Infrastructure Expansion"</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"Language related to datacenter growth, compute capacity, server expansion, storage systems, and related infrastructure buildout."</w:t>
      </w:r>
      <w:r>
        <w:rPr>
          <w:rStyle w:val="NormalTok"/>
        </w:rPr>
        <w:t xml:space="preserve">,</w:t>
      </w:r>
      <w:r>
        <w:br/>
      </w:r>
      <w:r>
        <w:rPr>
          <w:rStyle w:val="NormalTok"/>
        </w:rPr>
        <w:t xml:space="preserve">        </w:t>
      </w:r>
      <w:r>
        <w:rPr>
          <w:rStyle w:val="StringTok"/>
        </w:rPr>
        <w:t xml:space="preserve">"core_terms"</w:t>
      </w:r>
      <w:r>
        <w:rPr>
          <w:rStyle w:val="NormalTok"/>
        </w:rPr>
        <w:t xml:space="preserve">: [</w:t>
      </w:r>
      <w:r>
        <w:br/>
      </w:r>
      <w:r>
        <w:rPr>
          <w:rStyle w:val="NormalTok"/>
        </w:rPr>
        <w:t xml:space="preserve">            </w:t>
      </w:r>
      <w:r>
        <w:rPr>
          <w:rStyle w:val="StringTok"/>
        </w:rPr>
        <w:t xml:space="preserve">"data center"</w:t>
      </w:r>
      <w:r>
        <w:rPr>
          <w:rStyle w:val="NormalTok"/>
        </w:rPr>
        <w:t xml:space="preserve">,</w:t>
      </w:r>
      <w:r>
        <w:br/>
      </w:r>
      <w:r>
        <w:rPr>
          <w:rStyle w:val="NormalTok"/>
        </w:rPr>
        <w:t xml:space="preserve">            </w:t>
      </w:r>
      <w:r>
        <w:rPr>
          <w:rStyle w:val="StringTok"/>
        </w:rPr>
        <w:t xml:space="preserve">"datacenter"</w:t>
      </w:r>
      <w:r>
        <w:rPr>
          <w:rStyle w:val="NormalTok"/>
        </w:rPr>
        <w:t xml:space="preserve">,</w:t>
      </w:r>
      <w:r>
        <w:br/>
      </w:r>
      <w:r>
        <w:rPr>
          <w:rStyle w:val="NormalTok"/>
        </w:rPr>
        <w:t xml:space="preserve">            </w:t>
      </w:r>
      <w:r>
        <w:rPr>
          <w:rStyle w:val="StringTok"/>
        </w:rPr>
        <w:t xml:space="preserve">"compute capacity"</w:t>
      </w:r>
      <w:r>
        <w:rPr>
          <w:rStyle w:val="NormalTok"/>
        </w:rPr>
        <w:t xml:space="preserve">,</w:t>
      </w:r>
      <w:r>
        <w:br/>
      </w:r>
      <w:r>
        <w:rPr>
          <w:rStyle w:val="NormalTok"/>
        </w:rPr>
        <w:t xml:space="preserve">            </w:t>
      </w:r>
      <w:r>
        <w:rPr>
          <w:rStyle w:val="StringTok"/>
        </w:rPr>
        <w:t xml:space="preserve">"compute infrastructure"</w:t>
      </w:r>
      <w:r>
        <w:rPr>
          <w:rStyle w:val="NormalTok"/>
        </w:rPr>
        <w:t xml:space="preserve">,</w:t>
      </w:r>
      <w:r>
        <w:br/>
      </w:r>
      <w:r>
        <w:rPr>
          <w:rStyle w:val="NormalTok"/>
        </w:rPr>
        <w:t xml:space="preserve">            </w:t>
      </w:r>
      <w:r>
        <w:rPr>
          <w:rStyle w:val="StringTok"/>
        </w:rPr>
        <w:t xml:space="preserve">"server capacity"</w:t>
      </w:r>
      <w:r>
        <w:rPr>
          <w:rStyle w:val="NormalTok"/>
        </w:rPr>
        <w:t xml:space="preserve">,</w:t>
      </w:r>
      <w:r>
        <w:br/>
      </w:r>
      <w:r>
        <w:rPr>
          <w:rStyle w:val="NormalTok"/>
        </w:rPr>
        <w:t xml:space="preserve">            </w:t>
      </w:r>
      <w:r>
        <w:rPr>
          <w:rStyle w:val="StringTok"/>
        </w:rPr>
        <w:t xml:space="preserve">"gpu"</w:t>
      </w:r>
      <w:r>
        <w:rPr>
          <w:rStyle w:val="NormalTok"/>
        </w:rPr>
        <w:t xml:space="preserve">,</w:t>
      </w:r>
      <w:r>
        <w:br/>
      </w:r>
      <w:r>
        <w:rPr>
          <w:rStyle w:val="NormalTok"/>
        </w:rPr>
        <w:t xml:space="preserve">            </w:t>
      </w:r>
      <w:r>
        <w:rPr>
          <w:rStyle w:val="StringTok"/>
        </w:rPr>
        <w:t xml:space="preserve">"processing capacity"</w:t>
      </w:r>
      <w:r>
        <w:rPr>
          <w:rStyle w:val="NormalTok"/>
        </w:rPr>
        <w:t xml:space="preserve">,</w:t>
      </w:r>
      <w:r>
        <w:br/>
      </w:r>
      <w:r>
        <w:rPr>
          <w:rStyle w:val="NormalTok"/>
        </w:rPr>
        <w:t xml:space="preserve">            </w:t>
      </w:r>
      <w:r>
        <w:rPr>
          <w:rStyle w:val="StringTok"/>
        </w:rPr>
        <w:t xml:space="preserve">"storage infrastructure"</w:t>
      </w:r>
      <w:r>
        <w:rPr>
          <w:rStyle w:val="NormalTok"/>
        </w:rPr>
        <w:t xml:space="preserve">,</w:t>
      </w:r>
      <w:r>
        <w:br/>
      </w:r>
      <w:r>
        <w:rPr>
          <w:rStyle w:val="NormalTok"/>
        </w:rPr>
        <w:t xml:space="preserve">            </w:t>
      </w:r>
      <w:r>
        <w:rPr>
          <w:rStyle w:val="StringTok"/>
        </w:rPr>
        <w:t xml:space="preserve">"server infrastructure"</w:t>
      </w:r>
      <w:r>
        <w:rPr>
          <w:rStyle w:val="NormalTok"/>
        </w:rPr>
        <w:t xml:space="preserve">,</w:t>
      </w:r>
      <w:r>
        <w:br/>
      </w:r>
      <w:r>
        <w:rPr>
          <w:rStyle w:val="NormalTok"/>
        </w:rPr>
        <w:t xml:space="preserve">            </w:t>
      </w:r>
      <w:r>
        <w:rPr>
          <w:rStyle w:val="StringTok"/>
        </w:rPr>
        <w:t xml:space="preserve">"compute cluster"</w:t>
      </w:r>
      <w:r>
        <w:br/>
      </w:r>
      <w:r>
        <w:rPr>
          <w:rStyle w:val="NormalTok"/>
        </w:rPr>
        <w:t xml:space="preserve">        ],</w:t>
      </w:r>
      <w:r>
        <w:br/>
      </w:r>
      <w:r>
        <w:rPr>
          <w:rStyle w:val="NormalTok"/>
        </w:rPr>
        <w:t xml:space="preserve">        </w:t>
      </w:r>
      <w:r>
        <w:rPr>
          <w:rStyle w:val="StringTok"/>
        </w:rPr>
        <w:t xml:space="preserve">"support_terms"</w:t>
      </w:r>
      <w:r>
        <w:rPr>
          <w:rStyle w:val="NormalTok"/>
        </w:rPr>
        <w:t xml:space="preserve">: [</w:t>
      </w:r>
      <w:r>
        <w:br/>
      </w:r>
      <w:r>
        <w:rPr>
          <w:rStyle w:val="NormalTok"/>
        </w:rPr>
        <w:t xml:space="preserve">            </w:t>
      </w:r>
      <w:r>
        <w:rPr>
          <w:rStyle w:val="StringTok"/>
        </w:rPr>
        <w:t xml:space="preserve">"investment"</w:t>
      </w:r>
      <w:r>
        <w:rPr>
          <w:rStyle w:val="NormalTok"/>
        </w:rPr>
        <w:t xml:space="preserve">,</w:t>
      </w:r>
      <w:r>
        <w:br/>
      </w:r>
      <w:r>
        <w:rPr>
          <w:rStyle w:val="NormalTok"/>
        </w:rPr>
        <w:t xml:space="preserve">            </w:t>
      </w:r>
      <w:r>
        <w:rPr>
          <w:rStyle w:val="StringTok"/>
        </w:rPr>
        <w:t xml:space="preserve">"spending"</w:t>
      </w:r>
      <w:r>
        <w:rPr>
          <w:rStyle w:val="NormalTok"/>
        </w:rPr>
        <w:t xml:space="preserve">,</w:t>
      </w:r>
      <w:r>
        <w:br/>
      </w:r>
      <w:r>
        <w:rPr>
          <w:rStyle w:val="NormalTok"/>
        </w:rPr>
        <w:t xml:space="preserve">            </w:t>
      </w:r>
      <w:r>
        <w:rPr>
          <w:rStyle w:val="StringTok"/>
        </w:rPr>
        <w:t xml:space="preserve">"expense"</w:t>
      </w:r>
      <w:r>
        <w:rPr>
          <w:rStyle w:val="NormalTok"/>
        </w:rPr>
        <w:t xml:space="preserve">,</w:t>
      </w:r>
      <w:r>
        <w:br/>
      </w:r>
      <w:r>
        <w:rPr>
          <w:rStyle w:val="NormalTok"/>
        </w:rPr>
        <w:t xml:space="preserve">            </w:t>
      </w:r>
      <w:r>
        <w:rPr>
          <w:rStyle w:val="StringTok"/>
        </w:rPr>
        <w:t xml:space="preserve">"capital expenditure"</w:t>
      </w:r>
      <w:r>
        <w:rPr>
          <w:rStyle w:val="NormalTok"/>
        </w:rPr>
        <w:t xml:space="preserve">,</w:t>
      </w:r>
      <w:r>
        <w:br/>
      </w:r>
      <w:r>
        <w:rPr>
          <w:rStyle w:val="NormalTok"/>
        </w:rPr>
        <w:t xml:space="preserve">            </w:t>
      </w:r>
      <w:r>
        <w:rPr>
          <w:rStyle w:val="StringTok"/>
        </w:rPr>
        <w:t xml:space="preserve">"capex"</w:t>
      </w:r>
      <w:r>
        <w:rPr>
          <w:rStyle w:val="NormalTok"/>
        </w:rPr>
        <w:t xml:space="preserve">,</w:t>
      </w:r>
      <w:r>
        <w:br/>
      </w:r>
      <w:r>
        <w:rPr>
          <w:rStyle w:val="NormalTok"/>
        </w:rPr>
        <w:t xml:space="preserve">            </w:t>
      </w:r>
      <w:r>
        <w:rPr>
          <w:rStyle w:val="StringTok"/>
        </w:rPr>
        <w:t xml:space="preserve">"expansion"</w:t>
      </w:r>
      <w:r>
        <w:rPr>
          <w:rStyle w:val="NormalTok"/>
        </w:rPr>
        <w:t xml:space="preserve">,</w:t>
      </w:r>
      <w:r>
        <w:br/>
      </w:r>
      <w:r>
        <w:rPr>
          <w:rStyle w:val="NormalTok"/>
        </w:rPr>
        <w:t xml:space="preserve">            </w:t>
      </w:r>
      <w:r>
        <w:rPr>
          <w:rStyle w:val="StringTok"/>
        </w:rPr>
        <w:t xml:space="preserve">"construction"</w:t>
      </w:r>
      <w:r>
        <w:rPr>
          <w:rStyle w:val="NormalTok"/>
        </w:rPr>
        <w:t xml:space="preserve">,</w:t>
      </w:r>
      <w:r>
        <w:br/>
      </w:r>
      <w:r>
        <w:rPr>
          <w:rStyle w:val="NormalTok"/>
        </w:rPr>
        <w:t xml:space="preserve">            </w:t>
      </w:r>
      <w:r>
        <w:rPr>
          <w:rStyle w:val="StringTok"/>
        </w:rPr>
        <w:t xml:space="preserve">"lease"</w:t>
      </w:r>
      <w:r>
        <w:rPr>
          <w:rStyle w:val="NormalTok"/>
        </w:rPr>
        <w:t xml:space="preserve">,</w:t>
      </w:r>
      <w:r>
        <w:br/>
      </w:r>
      <w:r>
        <w:rPr>
          <w:rStyle w:val="NormalTok"/>
        </w:rPr>
        <w:t xml:space="preserve">            </w:t>
      </w:r>
      <w:r>
        <w:rPr>
          <w:rStyle w:val="StringTok"/>
        </w:rPr>
        <w:t xml:space="preserve">"facility"</w:t>
      </w:r>
      <w:r>
        <w:rPr>
          <w:rStyle w:val="NormalTok"/>
        </w:rPr>
        <w:t xml:space="preserve">,</w:t>
      </w:r>
      <w:r>
        <w:br/>
      </w:r>
      <w:r>
        <w:rPr>
          <w:rStyle w:val="NormalTok"/>
        </w:rPr>
        <w:t xml:space="preserve">            </w:t>
      </w:r>
      <w:r>
        <w:rPr>
          <w:rStyle w:val="StringTok"/>
        </w:rPr>
        <w:t xml:space="preserve">"capacity"</w:t>
      </w:r>
      <w:r>
        <w:rPr>
          <w:rStyle w:val="NormalTok"/>
        </w:rPr>
        <w:t xml:space="preserve">,</w:t>
      </w:r>
      <w:r>
        <w:br/>
      </w:r>
      <w:r>
        <w:rPr>
          <w:rStyle w:val="NormalTok"/>
        </w:rPr>
        <w:t xml:space="preserve">            </w:t>
      </w:r>
      <w:r>
        <w:rPr>
          <w:rStyle w:val="StringTok"/>
        </w:rPr>
        <w:t xml:space="preserve">"hardware"</w:t>
      </w:r>
      <w:r>
        <w:rPr>
          <w:rStyle w:val="NormalTok"/>
        </w:rPr>
        <w:t xml:space="preserve">,</w:t>
      </w:r>
      <w:r>
        <w:br/>
      </w:r>
      <w:r>
        <w:rPr>
          <w:rStyle w:val="NormalTok"/>
        </w:rPr>
        <w:t xml:space="preserve">            </w:t>
      </w:r>
      <w:r>
        <w:rPr>
          <w:rStyle w:val="StringTok"/>
        </w:rPr>
        <w:t xml:space="preserve">"cloud"</w:t>
      </w:r>
      <w:r>
        <w:rPr>
          <w:rStyle w:val="NormalTok"/>
        </w:rPr>
        <w:t xml:space="preserve">,</w:t>
      </w:r>
      <w:r>
        <w:br/>
      </w:r>
      <w:r>
        <w:rPr>
          <w:rStyle w:val="NormalTok"/>
        </w:rPr>
        <w:t xml:space="preserve">            </w:t>
      </w:r>
      <w:r>
        <w:rPr>
          <w:rStyle w:val="StringTok"/>
        </w:rPr>
        <w:t xml:space="preserve">"power"</w:t>
      </w:r>
      <w:r>
        <w:rPr>
          <w:rStyle w:val="NormalTok"/>
        </w:rPr>
        <w:t xml:space="preserve">,</w:t>
      </w:r>
      <w:r>
        <w:br/>
      </w:r>
      <w:r>
        <w:rPr>
          <w:rStyle w:val="NormalTok"/>
        </w:rPr>
        <w:t xml:space="preserve">            </w:t>
      </w:r>
      <w:r>
        <w:rPr>
          <w:rStyle w:val="StringTok"/>
        </w:rPr>
        <w:t xml:space="preserve">"cooling"</w:t>
      </w:r>
      <w:r>
        <w:br/>
      </w:r>
      <w:r>
        <w:rPr>
          <w:rStyle w:val="NormalTok"/>
        </w:rPr>
        <w:t xml:space="preserve">        ],</w:t>
      </w:r>
      <w:r>
        <w:br/>
      </w:r>
      <w:r>
        <w:rPr>
          <w:rStyle w:val="NormalTok"/>
        </w:rPr>
        <w:t xml:space="preserve">        </w:t>
      </w:r>
      <w:r>
        <w:rPr>
          <w:rStyle w:val="StringTok"/>
        </w:rPr>
        <w:t xml:space="preserve">"exclude_terms"</w:t>
      </w:r>
      <w:r>
        <w:rPr>
          <w:rStyle w:val="NormalTok"/>
        </w:rPr>
        <w:t xml:space="preserve">: []</w:t>
      </w:r>
      <w:r>
        <w:br/>
      </w:r>
      <w:r>
        <w:rPr>
          <w:rStyle w:val="NormalTok"/>
        </w:rPr>
        <w:t xml:space="preserve">    },</w:t>
      </w:r>
      <w:r>
        <w:br/>
      </w:r>
      <w:r>
        <w:br/>
      </w:r>
      <w:r>
        <w:rPr>
          <w:rStyle w:val="NormalTok"/>
        </w:rPr>
        <w:t xml:space="preserve">    </w:t>
      </w:r>
      <w:r>
        <w:rPr>
          <w:rStyle w:val="StringTok"/>
        </w:rPr>
        <w:t xml:space="preserve">"digital_transformation"</w:t>
      </w:r>
      <w:r>
        <w:rPr>
          <w:rStyle w:val="NormalTok"/>
        </w:rPr>
        <w:t xml:space="preserve">: {</w:t>
      </w:r>
      <w:r>
        <w:br/>
      </w:r>
      <w:r>
        <w:rPr>
          <w:rStyle w:val="NormalTok"/>
        </w:rPr>
        <w:t xml:space="preserve">        </w:t>
      </w:r>
      <w:r>
        <w:rPr>
          <w:rStyle w:val="StringTok"/>
        </w:rPr>
        <w:t xml:space="preserve">"label"</w:t>
      </w:r>
      <w:r>
        <w:rPr>
          <w:rStyle w:val="NormalTok"/>
        </w:rPr>
        <w:t xml:space="preserve">: </w:t>
      </w:r>
      <w:r>
        <w:rPr>
          <w:rStyle w:val="StringTok"/>
        </w:rPr>
        <w:t xml:space="preserve">"Digital Transformation Initiatives"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"Language describing digital modernization, enterprise transformation, platform change, automation, or technology-enabled business process redesign."</w:t>
      </w:r>
      <w:r>
        <w:rPr>
          <w:rStyle w:val="NormalTok"/>
        </w:rPr>
        <w:t xml:space="preserve">,</w:t>
      </w:r>
      <w:r>
        <w:br/>
      </w:r>
      <w:r>
        <w:rPr>
          <w:rStyle w:val="NormalTok"/>
        </w:rPr>
        <w:t xml:space="preserve">        </w:t>
      </w:r>
      <w:r>
        <w:rPr>
          <w:rStyle w:val="StringTok"/>
        </w:rPr>
        <w:t xml:space="preserve">"core_terms"</w:t>
      </w:r>
      <w:r>
        <w:rPr>
          <w:rStyle w:val="NormalTok"/>
        </w:rPr>
        <w:t xml:space="preserve">: [</w:t>
      </w:r>
      <w:r>
        <w:br/>
      </w:r>
      <w:r>
        <w:rPr>
          <w:rStyle w:val="NormalTok"/>
        </w:rPr>
        <w:t xml:space="preserve">            </w:t>
      </w:r>
      <w:r>
        <w:rPr>
          <w:rStyle w:val="StringTok"/>
        </w:rPr>
        <w:t xml:space="preserve">"digital transformation"</w:t>
      </w:r>
      <w:r>
        <w:rPr>
          <w:rStyle w:val="NormalTok"/>
        </w:rPr>
        <w:t xml:space="preserve">,</w:t>
      </w:r>
      <w:r>
        <w:br/>
      </w:r>
      <w:r>
        <w:rPr>
          <w:rStyle w:val="NormalTok"/>
        </w:rPr>
        <w:t xml:space="preserve">            </w:t>
      </w:r>
      <w:r>
        <w:rPr>
          <w:rStyle w:val="StringTok"/>
        </w:rPr>
        <w:t xml:space="preserve">"technology transformation"</w:t>
      </w:r>
      <w:r>
        <w:rPr>
          <w:rStyle w:val="NormalTok"/>
        </w:rPr>
        <w:t xml:space="preserve">,</w:t>
      </w:r>
      <w:r>
        <w:br/>
      </w:r>
      <w:r>
        <w:rPr>
          <w:rStyle w:val="NormalTok"/>
        </w:rPr>
        <w:t xml:space="preserve">            </w:t>
      </w:r>
      <w:r>
        <w:rPr>
          <w:rStyle w:val="StringTok"/>
        </w:rPr>
        <w:t xml:space="preserve">"business transformation"</w:t>
      </w:r>
      <w:r>
        <w:rPr>
          <w:rStyle w:val="NormalTok"/>
        </w:rPr>
        <w:t xml:space="preserve">,</w:t>
      </w:r>
      <w:r>
        <w:br/>
      </w:r>
      <w:r>
        <w:rPr>
          <w:rStyle w:val="NormalTok"/>
        </w:rPr>
        <w:t xml:space="preserve">            </w:t>
      </w:r>
      <w:r>
        <w:rPr>
          <w:rStyle w:val="StringTok"/>
        </w:rPr>
        <w:t xml:space="preserve">"platform modernization"</w:t>
      </w:r>
      <w:r>
        <w:rPr>
          <w:rStyle w:val="NormalTok"/>
        </w:rPr>
        <w:t xml:space="preserve">,</w:t>
      </w:r>
      <w:r>
        <w:br/>
      </w:r>
      <w:r>
        <w:rPr>
          <w:rStyle w:val="NormalTok"/>
        </w:rPr>
        <w:t xml:space="preserve">            </w:t>
      </w:r>
      <w:r>
        <w:rPr>
          <w:rStyle w:val="StringTok"/>
        </w:rPr>
        <w:t xml:space="preserve">"enterprise modernization"</w:t>
      </w:r>
      <w:r>
        <w:rPr>
          <w:rStyle w:val="NormalTok"/>
        </w:rPr>
        <w:t xml:space="preserve">,</w:t>
      </w:r>
      <w:r>
        <w:br/>
      </w:r>
      <w:r>
        <w:rPr>
          <w:rStyle w:val="NormalTok"/>
        </w:rPr>
        <w:t xml:space="preserve">            </w:t>
      </w:r>
      <w:r>
        <w:rPr>
          <w:rStyle w:val="StringTok"/>
        </w:rPr>
        <w:t xml:space="preserve">"digital platform"</w:t>
      </w:r>
      <w:r>
        <w:rPr>
          <w:rStyle w:val="NormalTok"/>
        </w:rPr>
        <w:t xml:space="preserve">,</w:t>
      </w:r>
      <w:r>
        <w:br/>
      </w:r>
      <w:r>
        <w:rPr>
          <w:rStyle w:val="NormalTok"/>
        </w:rPr>
        <w:t xml:space="preserve">            </w:t>
      </w:r>
      <w:r>
        <w:rPr>
          <w:rStyle w:val="StringTok"/>
        </w:rPr>
        <w:t xml:space="preserve">"automation initiative"</w:t>
      </w:r>
      <w:r>
        <w:rPr>
          <w:rStyle w:val="NormalTok"/>
        </w:rPr>
        <w:t xml:space="preserve">,</w:t>
      </w:r>
      <w:r>
        <w:br/>
      </w:r>
      <w:r>
        <w:rPr>
          <w:rStyle w:val="NormalTok"/>
        </w:rPr>
        <w:t xml:space="preserve">            </w:t>
      </w:r>
      <w:r>
        <w:rPr>
          <w:rStyle w:val="StringTok"/>
        </w:rPr>
        <w:t xml:space="preserve">"systems modernization"</w:t>
      </w:r>
      <w:r>
        <w:br/>
      </w:r>
      <w:r>
        <w:rPr>
          <w:rStyle w:val="NormalTok"/>
        </w:rPr>
        <w:t xml:space="preserve">        ],</w:t>
      </w:r>
      <w:r>
        <w:br/>
      </w:r>
      <w:r>
        <w:rPr>
          <w:rStyle w:val="NormalTok"/>
        </w:rPr>
        <w:t xml:space="preserve">        </w:t>
      </w:r>
      <w:r>
        <w:rPr>
          <w:rStyle w:val="StringTok"/>
        </w:rPr>
        <w:t xml:space="preserve">"support_terms"</w:t>
      </w:r>
      <w:r>
        <w:rPr>
          <w:rStyle w:val="NormalTok"/>
        </w:rPr>
        <w:t xml:space="preserve">: [</w:t>
      </w:r>
      <w:r>
        <w:br/>
      </w:r>
      <w:r>
        <w:rPr>
          <w:rStyle w:val="NormalTok"/>
        </w:rPr>
        <w:t xml:space="preserve">            </w:t>
      </w:r>
      <w:r>
        <w:rPr>
          <w:rStyle w:val="StringTok"/>
        </w:rPr>
        <w:t xml:space="preserve">"investment"</w:t>
      </w:r>
      <w:r>
        <w:rPr>
          <w:rStyle w:val="NormalTok"/>
        </w:rPr>
        <w:t xml:space="preserve">,</w:t>
      </w:r>
      <w:r>
        <w:br/>
      </w:r>
      <w:r>
        <w:rPr>
          <w:rStyle w:val="NormalTok"/>
        </w:rPr>
        <w:t xml:space="preserve">            </w:t>
      </w:r>
      <w:r>
        <w:rPr>
          <w:rStyle w:val="StringTok"/>
        </w:rPr>
        <w:t xml:space="preserve">"spending"</w:t>
      </w:r>
      <w:r>
        <w:rPr>
          <w:rStyle w:val="NormalTok"/>
        </w:rPr>
        <w:t xml:space="preserve">,</w:t>
      </w:r>
      <w:r>
        <w:br/>
      </w:r>
      <w:r>
        <w:rPr>
          <w:rStyle w:val="NormalTok"/>
        </w:rPr>
        <w:t xml:space="preserve">            </w:t>
      </w:r>
      <w:r>
        <w:rPr>
          <w:rStyle w:val="StringTok"/>
        </w:rPr>
        <w:t xml:space="preserve">"initiative"</w:t>
      </w:r>
      <w:r>
        <w:rPr>
          <w:rStyle w:val="NormalTok"/>
        </w:rPr>
        <w:t xml:space="preserve">,</w:t>
      </w:r>
      <w:r>
        <w:br/>
      </w:r>
      <w:r>
        <w:rPr>
          <w:rStyle w:val="NormalTok"/>
        </w:rPr>
        <w:t xml:space="preserve">            </w:t>
      </w:r>
      <w:r>
        <w:rPr>
          <w:rStyle w:val="StringTok"/>
        </w:rPr>
        <w:t xml:space="preserve">"program"</w:t>
      </w:r>
      <w:r>
        <w:rPr>
          <w:rStyle w:val="NormalTok"/>
        </w:rPr>
        <w:t xml:space="preserve">,</w:t>
      </w:r>
      <w:r>
        <w:br/>
      </w:r>
      <w:r>
        <w:rPr>
          <w:rStyle w:val="NormalTok"/>
        </w:rPr>
        <w:t xml:space="preserve">            </w:t>
      </w:r>
      <w:r>
        <w:rPr>
          <w:rStyle w:val="StringTok"/>
        </w:rPr>
        <w:t xml:space="preserve">"implementation"</w:t>
      </w:r>
      <w:r>
        <w:rPr>
          <w:rStyle w:val="NormalTok"/>
        </w:rPr>
        <w:t xml:space="preserve">,</w:t>
      </w:r>
      <w:r>
        <w:br/>
      </w:r>
      <w:r>
        <w:rPr>
          <w:rStyle w:val="NormalTok"/>
        </w:rPr>
        <w:t xml:space="preserve">            </w:t>
      </w:r>
      <w:r>
        <w:rPr>
          <w:rStyle w:val="StringTok"/>
        </w:rPr>
        <w:t xml:space="preserve">"deployment"</w:t>
      </w:r>
      <w:r>
        <w:rPr>
          <w:rStyle w:val="NormalTok"/>
        </w:rPr>
        <w:t xml:space="preserve">,</w:t>
      </w:r>
      <w:r>
        <w:br/>
      </w:r>
      <w:r>
        <w:rPr>
          <w:rStyle w:val="NormalTok"/>
        </w:rPr>
        <w:t xml:space="preserve">            </w:t>
      </w:r>
      <w:r>
        <w:rPr>
          <w:rStyle w:val="StringTok"/>
        </w:rPr>
        <w:t xml:space="preserve">"upgrade"</w:t>
      </w:r>
      <w:r>
        <w:rPr>
          <w:rStyle w:val="NormalTok"/>
        </w:rPr>
        <w:t xml:space="preserve">,</w:t>
      </w:r>
      <w:r>
        <w:br/>
      </w:r>
      <w:r>
        <w:rPr>
          <w:rStyle w:val="NormalTok"/>
        </w:rPr>
        <w:t xml:space="preserve">            </w:t>
      </w:r>
      <w:r>
        <w:rPr>
          <w:rStyle w:val="StringTok"/>
        </w:rPr>
        <w:t xml:space="preserve">"migration"</w:t>
      </w:r>
      <w:r>
        <w:rPr>
          <w:rStyle w:val="NormalTok"/>
        </w:rPr>
        <w:t xml:space="preserve">,</w:t>
      </w:r>
      <w:r>
        <w:br/>
      </w:r>
      <w:r>
        <w:rPr>
          <w:rStyle w:val="NormalTok"/>
        </w:rPr>
        <w:t xml:space="preserve">            </w:t>
      </w:r>
      <w:r>
        <w:rPr>
          <w:rStyle w:val="StringTok"/>
        </w:rPr>
        <w:t xml:space="preserve">"modernization"</w:t>
      </w:r>
      <w:r>
        <w:rPr>
          <w:rStyle w:val="NormalTok"/>
        </w:rPr>
        <w:t xml:space="preserve">,</w:t>
      </w:r>
      <w:r>
        <w:br/>
      </w:r>
      <w:r>
        <w:rPr>
          <w:rStyle w:val="NormalTok"/>
        </w:rPr>
        <w:t xml:space="preserve">            </w:t>
      </w:r>
      <w:r>
        <w:rPr>
          <w:rStyle w:val="StringTok"/>
        </w:rPr>
        <w:t xml:space="preserve">"efficiency"</w:t>
      </w:r>
      <w:r>
        <w:rPr>
          <w:rStyle w:val="NormalTok"/>
        </w:rPr>
        <w:t xml:space="preserve">,</w:t>
      </w:r>
      <w:r>
        <w:br/>
      </w:r>
      <w:r>
        <w:rPr>
          <w:rStyle w:val="NormalTok"/>
        </w:rPr>
        <w:t xml:space="preserve">            </w:t>
      </w:r>
      <w:r>
        <w:rPr>
          <w:rStyle w:val="StringTok"/>
        </w:rPr>
        <w:t xml:space="preserve">"transformation"</w:t>
      </w:r>
      <w:r>
        <w:br/>
      </w:r>
      <w:r>
        <w:rPr>
          <w:rStyle w:val="NormalTok"/>
        </w:rPr>
        <w:t xml:space="preserve">        ],</w:t>
      </w:r>
      <w:r>
        <w:br/>
      </w:r>
      <w:r>
        <w:rPr>
          <w:rStyle w:val="NormalTok"/>
        </w:rPr>
        <w:t xml:space="preserve">        </w:t>
      </w:r>
      <w:r>
        <w:rPr>
          <w:rStyle w:val="StringTok"/>
        </w:rPr>
        <w:t xml:space="preserve">"exclude_terms"</w:t>
      </w:r>
      <w:r>
        <w:rPr>
          <w:rStyle w:val="NormalTok"/>
        </w:rPr>
        <w:t xml:space="preserve">: []</w:t>
      </w:r>
      <w:r>
        <w:br/>
      </w:r>
      <w:r>
        <w:rPr>
          <w:rStyle w:val="NormalTok"/>
        </w:rPr>
        <w:t xml:space="preserve">    }</w:t>
      </w:r>
      <w:r>
        <w:br/>
      </w:r>
      <w:r>
        <w:rPr>
          <w:rStyle w:val="NormalTok"/>
        </w:rPr>
        <w:t xml:space="preserve">}</w:t>
      </w:r>
    </w:p>
    <w:bookmarkEnd w:id="66"/>
    <w:bookmarkStart w:id="67" w:name="inspect-the-chosen-signal-definition"/>
    <w:p>
      <w:pPr>
        <w:pStyle w:val="Heading2"/>
      </w:pPr>
      <w:r>
        <w:t xml:space="preserve">8.4 Inspect the chosen signal definition</w:t>
      </w:r>
    </w:p>
    <w:p>
      <w:pPr>
        <w:pStyle w:val="SourceCode"/>
      </w:pPr>
      <w:r>
        <w:rPr>
          <w:rStyle w:val="NormalTok"/>
        </w:rPr>
        <w:t xml:space="preserve">signal_config </w:t>
      </w:r>
      <w:r>
        <w:rPr>
          <w:rStyle w:val="OperatorTok"/>
        </w:rPr>
        <w:t xml:space="preserve">=</w:t>
      </w:r>
      <w:r>
        <w:rPr>
          <w:rStyle w:val="NormalTok"/>
        </w:rPr>
        <w:t xml:space="preserve"> SIGNAL_DEFINITIONS[TARGET_SIGNAL]</w:t>
      </w:r>
      <w:r>
        <w:br/>
      </w:r>
      <w:r>
        <w:br/>
      </w:r>
      <w:r>
        <w:rPr>
          <w:rStyle w:val="BuiltInTok"/>
        </w:rPr>
        <w:t xml:space="preserve">print</w:t>
      </w:r>
      <w:r>
        <w:rPr>
          <w:rStyle w:val="NormalTok"/>
        </w:rPr>
        <w:t xml:space="preserve">(</w:t>
      </w:r>
      <w:r>
        <w:rPr>
          <w:rStyle w:val="StringTok"/>
        </w:rPr>
        <w:t xml:space="preserve">"Target signal:"</w:t>
      </w:r>
      <w:r>
        <w:rPr>
          <w:rStyle w:val="NormalTok"/>
        </w:rPr>
        <w:t xml:space="preserve">, TARGET_SIGNAL)</w:t>
      </w:r>
      <w:r>
        <w:br/>
      </w:r>
      <w:r>
        <w:rPr>
          <w:rStyle w:val="BuiltInTok"/>
        </w:rPr>
        <w:t xml:space="preserve">print</w:t>
      </w:r>
      <w:r>
        <w:rPr>
          <w:rStyle w:val="NormalTok"/>
        </w:rPr>
        <w:t xml:space="preserve">(</w:t>
      </w:r>
      <w:r>
        <w:rPr>
          <w:rStyle w:val="StringTok"/>
        </w:rPr>
        <w:t xml:space="preserve">"Label:"</w:t>
      </w:r>
      <w:r>
        <w:rPr>
          <w:rStyle w:val="NormalTok"/>
        </w:rPr>
        <w:t xml:space="preserve">, signal_config[</w:t>
      </w:r>
      <w:r>
        <w:rPr>
          <w:rStyle w:val="StringTok"/>
        </w:rPr>
        <w:t xml:space="preserve">"label"</w:t>
      </w:r>
      <w:r>
        <w:rPr>
          <w:rStyle w:val="NormalTok"/>
        </w:rPr>
        <w:t xml:space="preserve">])</w:t>
      </w:r>
      <w:r>
        <w:br/>
      </w:r>
      <w:r>
        <w:rPr>
          <w:rStyle w:val="BuiltInTok"/>
        </w:rPr>
        <w:t xml:space="preserve">print</w:t>
      </w:r>
      <w:r>
        <w:rPr>
          <w:rStyle w:val="NormalTok"/>
        </w:rPr>
        <w:t xml:space="preserve">(</w:t>
      </w:r>
      <w:r>
        <w:rPr>
          <w:rStyle w:val="StringTok"/>
        </w:rPr>
        <w:t xml:space="preserve">"Description:"</w:t>
      </w:r>
      <w:r>
        <w:rPr>
          <w:rStyle w:val="NormalTok"/>
        </w:rPr>
        <w:t xml:space="preserve">, signal_config[</w:t>
      </w:r>
      <w:r>
        <w:rPr>
          <w:rStyle w:val="StringTok"/>
        </w:rPr>
        <w:t xml:space="preserve">"description"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Core terms:"</w:t>
      </w:r>
      <w:r>
        <w:rPr>
          <w:rStyle w:val="NormalTok"/>
        </w:rPr>
        <w:t xml:space="preserve">)</w:t>
      </w:r>
      <w:r>
        <w:br/>
      </w:r>
      <w:r>
        <w:rPr>
          <w:rStyle w:val="BuiltInTok"/>
        </w:rPr>
        <w:t xml:space="preserve">print</w:t>
      </w:r>
      <w:r>
        <w:rPr>
          <w:rStyle w:val="NormalTok"/>
        </w:rPr>
        <w:t xml:space="preserve">(signal_config[</w:t>
      </w:r>
      <w:r>
        <w:rPr>
          <w:rStyle w:val="StringTok"/>
        </w:rPr>
        <w:t xml:space="preserve">"core_terms"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Support terms:"</w:t>
      </w:r>
      <w:r>
        <w:rPr>
          <w:rStyle w:val="NormalTok"/>
        </w:rPr>
        <w:t xml:space="preserve">)</w:t>
      </w:r>
      <w:r>
        <w:br/>
      </w:r>
      <w:r>
        <w:rPr>
          <w:rStyle w:val="BuiltInTok"/>
        </w:rPr>
        <w:t xml:space="preserve">print</w:t>
      </w:r>
      <w:r>
        <w:rPr>
          <w:rStyle w:val="NormalTok"/>
        </w:rPr>
        <w:t xml:space="preserve">(signal_config[</w:t>
      </w:r>
      <w:r>
        <w:rPr>
          <w:rStyle w:val="StringTok"/>
        </w:rPr>
        <w:t xml:space="preserve">"support_terms"</w:t>
      </w:r>
      <w:r>
        <w:rPr>
          <w:rStyle w:val="NormalTok"/>
        </w:rPr>
        <w:t xml:space="preserve">])</w:t>
      </w:r>
    </w:p>
    <w:p>
      <w:pPr>
        <w:pStyle w:val="SourceCode"/>
      </w:pPr>
      <w:r>
        <w:rPr>
          <w:rStyle w:val="VerbatimChar"/>
        </w:rPr>
        <w:t xml:space="preserve">Target signal: ai_investment</w:t>
      </w:r>
      <w:r>
        <w:br/>
      </w:r>
      <w:r>
        <w:rPr>
          <w:rStyle w:val="VerbatimChar"/>
        </w:rPr>
        <w:t xml:space="preserve">Label: Artificial Intelligence Investment</w:t>
      </w:r>
      <w:r>
        <w:br/>
      </w:r>
      <w:r>
        <w:rPr>
          <w:rStyle w:val="VerbatimChar"/>
        </w:rPr>
        <w:t xml:space="preserve">Description: Language indicating spending, deployment, development, or strategic investment related to AI, machine learning, generative AI, or related systems.</w:t>
      </w:r>
      <w:r>
        <w:br/>
      </w:r>
      <w:r>
        <w:br/>
      </w:r>
      <w:r>
        <w:rPr>
          <w:rStyle w:val="VerbatimChar"/>
        </w:rPr>
        <w:t xml:space="preserve">Core terms:</w:t>
      </w:r>
      <w:r>
        <w:br/>
      </w:r>
      <w:r>
        <w:rPr>
          <w:rStyle w:val="VerbatimChar"/>
        </w:rPr>
        <w:t xml:space="preserve">['artificial intelligence', 'machine learning', 'generative ai', 'genai', 'foundation model', 'large language model', 'llm', 'ai model', 'ai capability', 'ai system', 'automated decision', 'intelligent automation']</w:t>
      </w:r>
      <w:r>
        <w:br/>
      </w:r>
      <w:r>
        <w:br/>
      </w:r>
      <w:r>
        <w:rPr>
          <w:rStyle w:val="VerbatimChar"/>
        </w:rPr>
        <w:t xml:space="preserve">Support terms:</w:t>
      </w:r>
      <w:r>
        <w:br/>
      </w:r>
      <w:r>
        <w:rPr>
          <w:rStyle w:val="VerbatimChar"/>
        </w:rPr>
        <w:t xml:space="preserve">['investment', 'spending', 'expense', 'capital expenditure', 'capex', 'infrastructure', 'platform', 'development', 'deployment', 'training', 'compute', 'data center', 'datacenter', 'cloud', 'model development', 'technology investment']</w:t>
      </w:r>
    </w:p>
    <w:bookmarkEnd w:id="67"/>
    <w:bookmarkStart w:id="68" w:name="create-regex-patterns"/>
    <w:p>
      <w:pPr>
        <w:pStyle w:val="Heading2"/>
      </w:pPr>
      <w:r>
        <w:t xml:space="preserve">8.5 Create regex patterns</w:t>
      </w:r>
    </w:p>
    <w:p>
      <w:pPr>
        <w:pStyle w:val="FirstParagraph"/>
      </w:pPr>
      <w:r>
        <w:t xml:space="preserve">We will compile patterns once and reuse them.</w:t>
      </w:r>
    </w:p>
    <w:p>
      <w:pPr>
        <w:pStyle w:val="SourceCode"/>
      </w:pPr>
      <w:r>
        <w:rPr>
          <w:rStyle w:val="KeywordTok"/>
        </w:rPr>
        <w:t xml:space="preserve">def</w:t>
      </w:r>
      <w:r>
        <w:rPr>
          <w:rStyle w:val="NormalTok"/>
        </w:rPr>
        <w:t xml:space="preserve"> build_phrase_pattern(terms):</w:t>
      </w:r>
      <w:r>
        <w:br/>
      </w:r>
      <w:r>
        <w:rPr>
          <w:rStyle w:val="NormalTok"/>
        </w:rPr>
        <w:t xml:space="preserve">    </w:t>
      </w:r>
      <w:r>
        <w:rPr>
          <w:rStyle w:val="CommentTok"/>
        </w:rPr>
        <w:t xml:space="preserve">"""</w:t>
      </w:r>
      <w:r>
        <w:br/>
      </w:r>
      <w:r>
        <w:rPr>
          <w:rStyle w:val="CommentTok"/>
        </w:rPr>
        <w:t xml:space="preserve">    Build a case-insensitive regex pattern from a list of phrases.</w:t>
      </w:r>
      <w:r>
        <w:br/>
      </w:r>
      <w:r>
        <w:rPr>
          <w:rStyle w:val="CommentTok"/>
        </w:rPr>
        <w:t xml:space="preserve">    """</w:t>
      </w:r>
      <w:r>
        <w:br/>
      </w:r>
      <w:r>
        <w:rPr>
          <w:rStyle w:val="NormalTok"/>
        </w:rPr>
        <w:t xml:space="preserve">    escaped_terms </w:t>
      </w:r>
      <w:r>
        <w:rPr>
          <w:rStyle w:val="OperatorTok"/>
        </w:rPr>
        <w:t xml:space="preserve">=</w:t>
      </w:r>
      <w:r>
        <w:rPr>
          <w:rStyle w:val="NormalTok"/>
        </w:rPr>
        <w:t xml:space="preserve"> [re.escape(term) </w:t>
      </w:r>
      <w:r>
        <w:rPr>
          <w:rStyle w:val="ControlFlowTok"/>
        </w:rPr>
        <w:t xml:space="preserve">for</w:t>
      </w:r>
      <w:r>
        <w:rPr>
          <w:rStyle w:val="NormalTok"/>
        </w:rPr>
        <w:t xml:space="preserve"> term </w:t>
      </w:r>
      <w:r>
        <w:rPr>
          <w:rStyle w:val="KeywordTok"/>
        </w:rPr>
        <w:t xml:space="preserve">in</w:t>
      </w:r>
      <w:r>
        <w:rPr>
          <w:rStyle w:val="NormalTok"/>
        </w:rPr>
        <w:t xml:space="preserve"> terms]</w:t>
      </w:r>
      <w:r>
        <w:br/>
      </w:r>
      <w:r>
        <w:rPr>
          <w:rStyle w:val="NormalTok"/>
        </w:rPr>
        <w:t xml:space="preserve">    pattern </w:t>
      </w:r>
      <w:r>
        <w:rPr>
          <w:rStyle w:val="OperatorTok"/>
        </w:rPr>
        <w:t xml:space="preserve">=</w:t>
      </w:r>
      <w:r>
        <w:rPr>
          <w:rStyle w:val="NormalTok"/>
        </w:rPr>
        <w:t xml:space="preserve"> </w:t>
      </w:r>
      <w:r>
        <w:rPr>
          <w:rStyle w:val="VerbatimStringTok"/>
        </w:rPr>
        <w:t xml:space="preserve">r"</w:t>
      </w:r>
      <w:r>
        <w:rPr>
          <w:rStyle w:val="DecValTok"/>
        </w:rPr>
        <w:t xml:space="preserve">\b</w:t>
      </w:r>
      <w:r>
        <w:rPr>
          <w:rStyle w:val="NormalTok"/>
        </w:rPr>
        <w:t xml:space="preserve">(?:</w:t>
      </w:r>
      <w:r>
        <w:rPr>
          <w:rStyle w:val="VerbatimStringTok"/>
        </w:rPr>
        <w:t xml:space="preserve">%s</w:t>
      </w:r>
      <w:r>
        <w:rPr>
          <w:rStyle w:val="NormalTok"/>
        </w:rPr>
        <w:t xml:space="preserve">)</w:t>
      </w:r>
      <w:r>
        <w:rPr>
          <w:rStyle w:val="DecValTok"/>
        </w:rPr>
        <w:t xml:space="preserve">\b</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.join(escaped_terms)</w:t>
      </w:r>
      <w:r>
        <w:br/>
      </w:r>
      <w:r>
        <w:rPr>
          <w:rStyle w:val="NormalTok"/>
        </w:rPr>
        <w:t xml:space="preserve">    </w:t>
      </w:r>
      <w:r>
        <w:rPr>
          <w:rStyle w:val="ControlFlowTok"/>
        </w:rPr>
        <w:t xml:space="preserve">return</w:t>
      </w:r>
      <w:r>
        <w:rPr>
          <w:rStyle w:val="NormalTok"/>
        </w:rPr>
        <w:t xml:space="preserve"> re.</w:t>
      </w:r>
      <w:r>
        <w:rPr>
          <w:rStyle w:val="BuiltInTok"/>
        </w:rPr>
        <w:t xml:space="preserve">compile</w:t>
      </w:r>
      <w:r>
        <w:rPr>
          <w:rStyle w:val="NormalTok"/>
        </w:rPr>
        <w:t xml:space="preserve">(pattern, flags</w:t>
      </w:r>
      <w:r>
        <w:rPr>
          <w:rStyle w:val="OperatorTok"/>
        </w:rPr>
        <w:t xml:space="preserve">=</w:t>
      </w:r>
      <w:r>
        <w:rPr>
          <w:rStyle w:val="NormalTok"/>
        </w:rPr>
        <w:t xml:space="preserve">re.IGNORECASE)</w:t>
      </w:r>
    </w:p>
    <w:p>
      <w:pPr>
        <w:pStyle w:val="SourceCode"/>
      </w:pPr>
      <w:r>
        <w:rPr>
          <w:rStyle w:val="NormalTok"/>
        </w:rPr>
        <w:t xml:space="preserve">core_pattern </w:t>
      </w:r>
      <w:r>
        <w:rPr>
          <w:rStyle w:val="OperatorTok"/>
        </w:rPr>
        <w:t xml:space="preserve">=</w:t>
      </w:r>
      <w:r>
        <w:rPr>
          <w:rStyle w:val="NormalTok"/>
        </w:rPr>
        <w:t xml:space="preserve"> build_phrase_pattern(signal_config[</w:t>
      </w:r>
      <w:r>
        <w:rPr>
          <w:rStyle w:val="StringTok"/>
        </w:rPr>
        <w:t xml:space="preserve">"core_terms"</w:t>
      </w:r>
      <w:r>
        <w:rPr>
          <w:rStyle w:val="NormalTok"/>
        </w:rPr>
        <w:t xml:space="preserve">])</w:t>
      </w:r>
      <w:r>
        <w:br/>
      </w:r>
      <w:r>
        <w:rPr>
          <w:rStyle w:val="NormalTok"/>
        </w:rPr>
        <w:t xml:space="preserve">support_pattern </w:t>
      </w:r>
      <w:r>
        <w:rPr>
          <w:rStyle w:val="OperatorTok"/>
        </w:rPr>
        <w:t xml:space="preserve">=</w:t>
      </w:r>
      <w:r>
        <w:rPr>
          <w:rStyle w:val="NormalTok"/>
        </w:rPr>
        <w:t xml:space="preserve"> build_phrase_pattern(signal_config[</w:t>
      </w:r>
      <w:r>
        <w:rPr>
          <w:rStyle w:val="StringTok"/>
        </w:rPr>
        <w:t xml:space="preserve">"support_terms"</w:t>
      </w:r>
      <w:r>
        <w:rPr>
          <w:rStyle w:val="NormalTok"/>
        </w:rPr>
        <w:t xml:space="preserve">])</w:t>
      </w:r>
      <w:r>
        <w:br/>
      </w:r>
      <w:r>
        <w:br/>
      </w:r>
      <w:r>
        <w:rPr>
          <w:rStyle w:val="NormalTok"/>
        </w:rPr>
        <w:t xml:space="preserve">exclude_terms </w:t>
      </w:r>
      <w:r>
        <w:rPr>
          <w:rStyle w:val="OperatorTok"/>
        </w:rPr>
        <w:t xml:space="preserve">=</w:t>
      </w:r>
      <w:r>
        <w:rPr>
          <w:rStyle w:val="NormalTok"/>
        </w:rPr>
        <w:t xml:space="preserve"> signal_config.get(</w:t>
      </w:r>
      <w:r>
        <w:rPr>
          <w:rStyle w:val="StringTok"/>
        </w:rPr>
        <w:t xml:space="preserve">"exclude_terms"</w:t>
      </w:r>
      <w:r>
        <w:rPr>
          <w:rStyle w:val="NormalTok"/>
        </w:rPr>
        <w:t xml:space="preserve">, [])</w:t>
      </w:r>
      <w:r>
        <w:br/>
      </w:r>
      <w:r>
        <w:rPr>
          <w:rStyle w:val="NormalTok"/>
        </w:rPr>
        <w:t xml:space="preserve">exclude_pattern </w:t>
      </w:r>
      <w:r>
        <w:rPr>
          <w:rStyle w:val="OperatorTok"/>
        </w:rPr>
        <w:t xml:space="preserve">=</w:t>
      </w:r>
      <w:r>
        <w:rPr>
          <w:rStyle w:val="NormalTok"/>
        </w:rPr>
        <w:t xml:space="preserve"> build_phrase_pattern(exclude_terms) </w:t>
      </w:r>
      <w:r>
        <w:rPr>
          <w:rStyle w:val="ControlFlowTok"/>
        </w:rPr>
        <w:t xml:space="preserve">if</w:t>
      </w:r>
      <w:r>
        <w:rPr>
          <w:rStyle w:val="NormalTok"/>
        </w:rPr>
        <w:t xml:space="preserve"> exclude_terms </w:t>
      </w:r>
      <w:r>
        <w:rPr>
          <w:rStyle w:val="ControlFlowTok"/>
        </w:rPr>
        <w:t xml:space="preserve">else</w:t>
      </w:r>
      <w:r>
        <w:rPr>
          <w:rStyle w:val="NormalTok"/>
        </w:rPr>
        <w:t xml:space="preserve"> </w:t>
      </w:r>
      <w:r>
        <w:rPr>
          <w:rStyle w:val="VariableTok"/>
        </w:rPr>
        <w:t xml:space="preserve">None</w:t>
      </w:r>
    </w:p>
    <w:bookmarkEnd w:id="68"/>
    <w:bookmarkStart w:id="69" w:name="programmatic-extraction"/>
    <w:p>
      <w:pPr>
        <w:pStyle w:val="Heading2"/>
      </w:pPr>
      <w:r>
        <w:t xml:space="preserve">8.6 Programmatic Extraction</w:t>
      </w:r>
    </w:p>
    <w:p>
      <w:pPr>
        <w:pStyle w:val="FirstParagraph"/>
      </w:pPr>
      <w:r>
        <w:t xml:space="preserve">Now we move from definition to actual extraction on the chunk corpus.</w:t>
      </w:r>
    </w:p>
    <w:p>
      <w:pPr>
        <w:pStyle w:val="BodyText"/>
      </w:pPr>
      <w:r>
        <w:t xml:space="preserve">The design below is intentionally simple and transparent:</w:t>
      </w:r>
    </w:p>
    <w:p>
      <w:pPr>
        <w:pStyle w:val="Compact"/>
        <w:numPr>
          <w:ilvl w:val="0"/>
          <w:numId w:val="1038"/>
        </w:numPr>
      </w:pPr>
      <w:r>
        <w:t xml:space="preserve">flag chunks with at least one core term</w:t>
      </w:r>
    </w:p>
    <w:p>
      <w:pPr>
        <w:pStyle w:val="Compact"/>
        <w:numPr>
          <w:ilvl w:val="0"/>
          <w:numId w:val="1038"/>
        </w:numPr>
      </w:pPr>
      <w:r>
        <w:t xml:space="preserve">count support terms</w:t>
      </w:r>
    </w:p>
    <w:p>
      <w:pPr>
        <w:pStyle w:val="Compact"/>
        <w:numPr>
          <w:ilvl w:val="0"/>
          <w:numId w:val="1038"/>
        </w:numPr>
      </w:pPr>
      <w:r>
        <w:t xml:space="preserve">filter excluded cases</w:t>
      </w:r>
    </w:p>
    <w:p>
      <w:pPr>
        <w:pStyle w:val="Compact"/>
        <w:numPr>
          <w:ilvl w:val="0"/>
          <w:numId w:val="1038"/>
        </w:numPr>
      </w:pPr>
      <w:r>
        <w:t xml:space="preserve">generate a lightweight confidence tier</w:t>
      </w:r>
    </w:p>
    <w:p>
      <w:pPr>
        <w:pStyle w:val="FirstParagraph"/>
      </w:pPr>
      <w:r>
        <w:t xml:space="preserve">This gives you a clean weak-labeling pipeline before later RAG.</w:t>
      </w:r>
    </w:p>
    <w:bookmarkEnd w:id="69"/>
    <w:bookmarkStart w:id="70" w:name="match-helper-functions"/>
    <w:p>
      <w:pPr>
        <w:pStyle w:val="Heading2"/>
      </w:pPr>
      <w:r>
        <w:t xml:space="preserve">8.7 Match helper functions</w:t>
      </w:r>
    </w:p>
    <w:p>
      <w:pPr>
        <w:pStyle w:val="SourceCode"/>
      </w:pPr>
      <w:r>
        <w:rPr>
          <w:rStyle w:val="KeywordTok"/>
        </w:rPr>
        <w:t xml:space="preserve">def</w:t>
      </w:r>
      <w:r>
        <w:rPr>
          <w:rStyle w:val="NormalTok"/>
        </w:rPr>
        <w:t xml:space="preserve"> find_matches(pattern, text):</w:t>
      </w:r>
      <w:r>
        <w:br/>
      </w:r>
      <w:r>
        <w:rPr>
          <w:rStyle w:val="NormalTok"/>
        </w:rPr>
        <w:t xml:space="preserve">    </w:t>
      </w:r>
      <w:r>
        <w:rPr>
          <w:rStyle w:val="CommentTok"/>
        </w:rPr>
        <w:t xml:space="preserve">"""</w:t>
      </w:r>
      <w:r>
        <w:br/>
      </w:r>
      <w:r>
        <w:rPr>
          <w:rStyle w:val="CommentTok"/>
        </w:rPr>
        <w:t xml:space="preserve">    Return all matched phrases for a compiled regex pattern.</w:t>
      </w:r>
      <w:r>
        <w:br/>
      </w:r>
      <w:r>
        <w:rPr>
          <w:rStyle w:val="CommentTok"/>
        </w:rPr>
        <w:t xml:space="preserve">    """</w:t>
      </w:r>
      <w:r>
        <w:br/>
      </w:r>
      <w:r>
        <w:rPr>
          <w:rStyle w:val="NormalTok"/>
        </w:rPr>
        <w:t xml:space="preserve">    </w:t>
      </w:r>
      <w:r>
        <w:rPr>
          <w:rStyle w:val="ControlFlowTok"/>
        </w:rPr>
        <w:t xml:space="preserve">if</w:t>
      </w:r>
      <w:r>
        <w:rPr>
          <w:rStyle w:val="NormalTok"/>
        </w:rPr>
        <w:t xml:space="preserve"> pattern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ntrolFlowTok"/>
        </w:rPr>
        <w:t xml:space="preserve">return</w:t>
      </w:r>
      <w:r>
        <w:rPr>
          <w:rStyle w:val="NormalTok"/>
        </w:rPr>
        <w:t xml:space="preserve"> pattern.findall(</w:t>
      </w:r>
      <w:r>
        <w:rPr>
          <w:rStyle w:val="BuiltInTok"/>
        </w:rPr>
        <w:t xml:space="preserve">str</w:t>
      </w:r>
      <w:r>
        <w:rPr>
          <w:rStyle w:val="NormalTok"/>
        </w:rPr>
        <w:t xml:space="preserve">(text))</w:t>
      </w:r>
    </w:p>
    <w:p>
      <w:pPr>
        <w:pStyle w:val="SourceCode"/>
      </w:pPr>
      <w:r>
        <w:rPr>
          <w:rStyle w:val="KeywordTok"/>
        </w:rPr>
        <w:t xml:space="preserve">def</w:t>
      </w:r>
      <w:r>
        <w:rPr>
          <w:rStyle w:val="NormalTok"/>
        </w:rPr>
        <w:t xml:space="preserve"> unique_lower(items):</w:t>
      </w:r>
      <w:r>
        <w:br/>
      </w:r>
      <w:r>
        <w:rPr>
          <w:rStyle w:val="NormalTok"/>
        </w:rPr>
        <w:t xml:space="preserve">    </w:t>
      </w:r>
      <w:r>
        <w:rPr>
          <w:rStyle w:val="CommentTok"/>
        </w:rPr>
        <w:t xml:space="preserve">"""</w:t>
      </w:r>
      <w:r>
        <w:br/>
      </w:r>
      <w:r>
        <w:rPr>
          <w:rStyle w:val="CommentTok"/>
        </w:rPr>
        <w:t xml:space="preserve">    Normalize matched items to lowercase unique values while preserving order.</w:t>
      </w:r>
      <w:r>
        <w:br/>
      </w:r>
      <w:r>
        <w:rPr>
          <w:rStyle w:val="CommentTok"/>
        </w:rPr>
        <w:t xml:space="preserve">    """</w:t>
      </w:r>
      <w:r>
        <w:br/>
      </w:r>
      <w:r>
        <w:rPr>
          <w:rStyle w:val="NormalTok"/>
        </w:rPr>
        <w:t xml:space="preserve">    seen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item_l </w:t>
      </w:r>
      <w:r>
        <w:rPr>
          <w:rStyle w:val="OperatorTok"/>
        </w:rPr>
        <w:t xml:space="preserve">=</w:t>
      </w:r>
      <w:r>
        <w:rPr>
          <w:rStyle w:val="NormalTok"/>
        </w:rPr>
        <w:t xml:space="preserve"> </w:t>
      </w:r>
      <w:r>
        <w:rPr>
          <w:rStyle w:val="BuiltInTok"/>
        </w:rPr>
        <w:t xml:space="preserve">str</w:t>
      </w:r>
      <w:r>
        <w:rPr>
          <w:rStyle w:val="NormalTok"/>
        </w:rPr>
        <w:t xml:space="preserve">(item).lower().strip()</w:t>
      </w:r>
      <w:r>
        <w:br/>
      </w:r>
      <w:r>
        <w:rPr>
          <w:rStyle w:val="NormalTok"/>
        </w:rPr>
        <w:t xml:space="preserve">        </w:t>
      </w:r>
      <w:r>
        <w:rPr>
          <w:rStyle w:val="ControlFlowTok"/>
        </w:rPr>
        <w:t xml:space="preserve">if</w:t>
      </w:r>
      <w:r>
        <w:rPr>
          <w:rStyle w:val="NormalTok"/>
        </w:rPr>
        <w:t xml:space="preserve"> item_l </w:t>
      </w:r>
      <w:r>
        <w:rPr>
          <w:rStyle w:val="KeywordTok"/>
        </w:rPr>
        <w:t xml:space="preserve">not</w:t>
      </w:r>
      <w:r>
        <w:rPr>
          <w:rStyle w:val="NormalTok"/>
        </w:rPr>
        <w:t xml:space="preserve"> </w:t>
      </w:r>
      <w:r>
        <w:rPr>
          <w:rStyle w:val="KeywordTok"/>
        </w:rPr>
        <w:t xml:space="preserve">in</w:t>
      </w:r>
      <w:r>
        <w:rPr>
          <w:rStyle w:val="NormalTok"/>
        </w:rPr>
        <w:t xml:space="preserve"> seen:</w:t>
      </w:r>
      <w:r>
        <w:br/>
      </w:r>
      <w:r>
        <w:rPr>
          <w:rStyle w:val="NormalTok"/>
        </w:rPr>
        <w:t xml:space="preserve">            seen.add(item_l)</w:t>
      </w:r>
      <w:r>
        <w:br/>
      </w:r>
      <w:r>
        <w:rPr>
          <w:rStyle w:val="NormalTok"/>
        </w:rPr>
        <w:t xml:space="preserve">            result.append(item_l)</w:t>
      </w:r>
      <w:r>
        <w:br/>
      </w:r>
      <w:r>
        <w:rPr>
          <w:rStyle w:val="NormalTok"/>
        </w:rPr>
        <w:t xml:space="preserve">    </w:t>
      </w:r>
      <w:r>
        <w:rPr>
          <w:rStyle w:val="ControlFlowTok"/>
        </w:rPr>
        <w:t xml:space="preserve">return</w:t>
      </w:r>
      <w:r>
        <w:rPr>
          <w:rStyle w:val="NormalTok"/>
        </w:rPr>
        <w:t xml:space="preserve"> result</w:t>
      </w:r>
    </w:p>
    <w:bookmarkEnd w:id="70"/>
    <w:bookmarkStart w:id="71" w:name="Xd9f50c2bf68ae7ee78f3eb31ca5d8d34a7daf8e"/>
    <w:p>
      <w:pPr>
        <w:pStyle w:val="Heading2"/>
      </w:pPr>
      <w:r>
        <w:t xml:space="preserve">8.8 Score each chunk against the target signal</w:t>
      </w:r>
    </w:p>
    <w:p>
      <w:pPr>
        <w:pStyle w:val="SourceCode"/>
      </w:pPr>
      <w:r>
        <w:rPr>
          <w:rStyle w:val="KeywordTok"/>
        </w:rPr>
        <w:t xml:space="preserve">def</w:t>
      </w:r>
      <w:r>
        <w:rPr>
          <w:rStyle w:val="NormalTok"/>
        </w:rPr>
        <w:t xml:space="preserve"> score_chunk_for_signal(text, core_pattern, support_pattern, exclude_pattern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Compute weak-label signal features for a single chunk.</w:t>
      </w:r>
      <w:r>
        <w:br/>
      </w:r>
      <w:r>
        <w:rPr>
          <w:rStyle w:val="CommentTok"/>
        </w:rPr>
        <w:t xml:space="preserve">    """</w:t>
      </w:r>
      <w:r>
        <w:br/>
      </w:r>
      <w:r>
        <w:rPr>
          <w:rStyle w:val="NormalTok"/>
        </w:rPr>
        <w:t xml:space="preserve">    text </w:t>
      </w:r>
      <w:r>
        <w:rPr>
          <w:rStyle w:val="OperatorTok"/>
        </w:rPr>
        <w:t xml:space="preserve">=</w:t>
      </w:r>
      <w:r>
        <w:rPr>
          <w:rStyle w:val="NormalTok"/>
        </w:rPr>
        <w:t xml:space="preserve"> </w:t>
      </w:r>
      <w:r>
        <w:rPr>
          <w:rStyle w:val="BuiltInTok"/>
        </w:rPr>
        <w:t xml:space="preserve">str</w:t>
      </w:r>
      <w:r>
        <w:rPr>
          <w:rStyle w:val="NormalTok"/>
        </w:rPr>
        <w:t xml:space="preserve">(text)</w:t>
      </w:r>
      <w:r>
        <w:br/>
      </w:r>
      <w:r>
        <w:br/>
      </w:r>
      <w:r>
        <w:rPr>
          <w:rStyle w:val="NormalTok"/>
        </w:rPr>
        <w:t xml:space="preserve">    core_matches </w:t>
      </w:r>
      <w:r>
        <w:rPr>
          <w:rStyle w:val="OperatorTok"/>
        </w:rPr>
        <w:t xml:space="preserve">=</w:t>
      </w:r>
      <w:r>
        <w:rPr>
          <w:rStyle w:val="NormalTok"/>
        </w:rPr>
        <w:t xml:space="preserve"> unique_lower(find_matches(core_pattern, text))</w:t>
      </w:r>
      <w:r>
        <w:br/>
      </w:r>
      <w:r>
        <w:rPr>
          <w:rStyle w:val="NormalTok"/>
        </w:rPr>
        <w:t xml:space="preserve">    support_matches </w:t>
      </w:r>
      <w:r>
        <w:rPr>
          <w:rStyle w:val="OperatorTok"/>
        </w:rPr>
        <w:t xml:space="preserve">=</w:t>
      </w:r>
      <w:r>
        <w:rPr>
          <w:rStyle w:val="NormalTok"/>
        </w:rPr>
        <w:t xml:space="preserve"> unique_lower(find_matches(support_pattern, text))</w:t>
      </w:r>
      <w:r>
        <w:br/>
      </w:r>
      <w:r>
        <w:rPr>
          <w:rStyle w:val="NormalTok"/>
        </w:rPr>
        <w:t xml:space="preserve">    exclude_matches </w:t>
      </w:r>
      <w:r>
        <w:rPr>
          <w:rStyle w:val="OperatorTok"/>
        </w:rPr>
        <w:t xml:space="preserve">=</w:t>
      </w:r>
      <w:r>
        <w:rPr>
          <w:rStyle w:val="NormalTok"/>
        </w:rPr>
        <w:t xml:space="preserve"> unique_lower(find_matches(exclude_pattern, text)) </w:t>
      </w:r>
      <w:r>
        <w:rPr>
          <w:rStyle w:val="ControlFlowTok"/>
        </w:rPr>
        <w:t xml:space="preserve">if</w:t>
      </w:r>
      <w:r>
        <w:rPr>
          <w:rStyle w:val="NormalTok"/>
        </w:rPr>
        <w:t xml:space="preserve"> exclude_pattern </w:t>
      </w:r>
      <w:r>
        <w:rPr>
          <w:rStyle w:val="ControlFlowTok"/>
        </w:rPr>
        <w:t xml:space="preserve">else</w:t>
      </w:r>
      <w:r>
        <w:rPr>
          <w:rStyle w:val="NormalTok"/>
        </w:rPr>
        <w:t xml:space="preserve"> []</w:t>
      </w:r>
      <w:r>
        <w:br/>
      </w:r>
      <w:r>
        <w:br/>
      </w:r>
      <w:r>
        <w:rPr>
          <w:rStyle w:val="NormalTok"/>
        </w:rPr>
        <w:t xml:space="preserve">    n_core </w:t>
      </w:r>
      <w:r>
        <w:rPr>
          <w:rStyle w:val="OperatorTok"/>
        </w:rPr>
        <w:t xml:space="preserve">=</w:t>
      </w:r>
      <w:r>
        <w:rPr>
          <w:rStyle w:val="NormalTok"/>
        </w:rPr>
        <w:t xml:space="preserve"> </w:t>
      </w:r>
      <w:r>
        <w:rPr>
          <w:rStyle w:val="BuiltInTok"/>
        </w:rPr>
        <w:t xml:space="preserve">len</w:t>
      </w:r>
      <w:r>
        <w:rPr>
          <w:rStyle w:val="NormalTok"/>
        </w:rPr>
        <w:t xml:space="preserve">(core_matches)</w:t>
      </w:r>
      <w:r>
        <w:br/>
      </w:r>
      <w:r>
        <w:rPr>
          <w:rStyle w:val="NormalTok"/>
        </w:rPr>
        <w:t xml:space="preserve">    n_support </w:t>
      </w:r>
      <w:r>
        <w:rPr>
          <w:rStyle w:val="OperatorTok"/>
        </w:rPr>
        <w:t xml:space="preserve">=</w:t>
      </w:r>
      <w:r>
        <w:rPr>
          <w:rStyle w:val="NormalTok"/>
        </w:rPr>
        <w:t xml:space="preserve"> </w:t>
      </w:r>
      <w:r>
        <w:rPr>
          <w:rStyle w:val="BuiltInTok"/>
        </w:rPr>
        <w:t xml:space="preserve">len</w:t>
      </w:r>
      <w:r>
        <w:rPr>
          <w:rStyle w:val="NormalTok"/>
        </w:rPr>
        <w:t xml:space="preserve">(support_matches)</w:t>
      </w:r>
      <w:r>
        <w:br/>
      </w:r>
      <w:r>
        <w:rPr>
          <w:rStyle w:val="NormalTok"/>
        </w:rPr>
        <w:t xml:space="preserve">    n_exclude </w:t>
      </w:r>
      <w:r>
        <w:rPr>
          <w:rStyle w:val="OperatorTok"/>
        </w:rPr>
        <w:t xml:space="preserve">=</w:t>
      </w:r>
      <w:r>
        <w:rPr>
          <w:rStyle w:val="NormalTok"/>
        </w:rPr>
        <w:t xml:space="preserve"> </w:t>
      </w:r>
      <w:r>
        <w:rPr>
          <w:rStyle w:val="BuiltInTok"/>
        </w:rPr>
        <w:t xml:space="preserve">len</w:t>
      </w:r>
      <w:r>
        <w:rPr>
          <w:rStyle w:val="NormalTok"/>
        </w:rPr>
        <w:t xml:space="preserve">(exclude_matches)</w:t>
      </w:r>
      <w:r>
        <w:br/>
      </w:r>
      <w:r>
        <w:br/>
      </w:r>
      <w:r>
        <w:rPr>
          <w:rStyle w:val="NormalTok"/>
        </w:rPr>
        <w:t xml:space="preserve">    has_signal </w:t>
      </w:r>
      <w:r>
        <w:rPr>
          <w:rStyle w:val="OperatorTok"/>
        </w:rPr>
        <w:t xml:space="preserve">=</w:t>
      </w:r>
      <w:r>
        <w:rPr>
          <w:rStyle w:val="NormalTok"/>
        </w:rPr>
        <w:t xml:space="preserve"> n_core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n_exclude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simple confidence heuristic</w:t>
      </w:r>
      <w:r>
        <w:br/>
      </w:r>
      <w:r>
        <w:rPr>
          <w:rStyle w:val="NormalTok"/>
        </w:rPr>
        <w:t xml:space="preserve">    </w:t>
      </w:r>
      <w:r>
        <w:rPr>
          <w:rStyle w:val="ControlFlowTok"/>
        </w:rPr>
        <w:t xml:space="preserve">if</w:t>
      </w:r>
      <w:r>
        <w:rPr>
          <w:rStyle w:val="NormalTok"/>
        </w:rPr>
        <w:t xml:space="preserve"> has_signal </w:t>
      </w:r>
      <w:r>
        <w:rPr>
          <w:rStyle w:val="KeywordTok"/>
        </w:rPr>
        <w:t xml:space="preserve">and</w:t>
      </w:r>
      <w:r>
        <w:rPr>
          <w:rStyle w:val="NormalTok"/>
        </w:rPr>
        <w:t xml:space="preserve"> n_core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n_support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confidence </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ControlFlowTok"/>
        </w:rPr>
        <w:t xml:space="preserve">elif</w:t>
      </w:r>
      <w:r>
        <w:rPr>
          <w:rStyle w:val="NormalTok"/>
        </w:rPr>
        <w:t xml:space="preserve"> has_signal </w:t>
      </w:r>
      <w:r>
        <w:rPr>
          <w:rStyle w:val="KeywordTok"/>
        </w:rPr>
        <w:t xml:space="preserve">and</w:t>
      </w:r>
      <w:r>
        <w:rPr>
          <w:rStyle w:val="NormalTok"/>
        </w:rPr>
        <w:t xml:space="preserve"> n_core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n_support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confidence </w:t>
      </w:r>
      <w:r>
        <w:rPr>
          <w:rStyle w:val="OperatorTok"/>
        </w:rPr>
        <w:t xml:space="preserve">=</w:t>
      </w:r>
      <w:r>
        <w:rPr>
          <w:rStyle w:val="NormalTok"/>
        </w:rPr>
        <w:t xml:space="preserve"> </w:t>
      </w:r>
      <w:r>
        <w:rPr>
          <w:rStyle w:val="StringTok"/>
        </w:rPr>
        <w:t xml:space="preserve">"medium"</w:t>
      </w:r>
      <w:r>
        <w:br/>
      </w:r>
      <w:r>
        <w:rPr>
          <w:rStyle w:val="NormalTok"/>
        </w:rPr>
        <w:t xml:space="preserve">    </w:t>
      </w:r>
      <w:r>
        <w:rPr>
          <w:rStyle w:val="ControlFlowTok"/>
        </w:rPr>
        <w:t xml:space="preserve">elif</w:t>
      </w:r>
      <w:r>
        <w:rPr>
          <w:rStyle w:val="NormalTok"/>
        </w:rPr>
        <w:t xml:space="preserve"> has_signal:</w:t>
      </w:r>
      <w:r>
        <w:br/>
      </w:r>
      <w:r>
        <w:rPr>
          <w:rStyle w:val="NormalTok"/>
        </w:rPr>
        <w:t xml:space="preserve">        confidence </w:t>
      </w:r>
      <w:r>
        <w:rPr>
          <w:rStyle w:val="OperatorTok"/>
        </w:rPr>
        <w:t xml:space="preserve">=</w:t>
      </w:r>
      <w:r>
        <w:rPr>
          <w:rStyle w:val="NormalTok"/>
        </w:rPr>
        <w:t xml:space="preserve"> </w:t>
      </w:r>
      <w:r>
        <w:rPr>
          <w:rStyle w:val="StringTok"/>
        </w:rPr>
        <w:t xml:space="preserve">"low"</w:t>
      </w:r>
      <w:r>
        <w:br/>
      </w:r>
      <w:r>
        <w:rPr>
          <w:rStyle w:val="NormalTok"/>
        </w:rPr>
        <w:t xml:space="preserve">    </w:t>
      </w:r>
      <w:r>
        <w:rPr>
          <w:rStyle w:val="ControlFlowTok"/>
        </w:rPr>
        <w:t xml:space="preserve">else</w:t>
      </w:r>
      <w:r>
        <w:rPr>
          <w:rStyle w:val="NormalTok"/>
        </w:rPr>
        <w:t xml:space="preserve">:</w:t>
      </w:r>
      <w:r>
        <w:br/>
      </w:r>
      <w:r>
        <w:rPr>
          <w:rStyle w:val="NormalTok"/>
        </w:rPr>
        <w:t xml:space="preserve">        confidence </w:t>
      </w:r>
      <w:r>
        <w:rPr>
          <w:rStyle w:val="OperatorTok"/>
        </w:rPr>
        <w:t xml:space="preserve">=</w:t>
      </w:r>
      <w:r>
        <w:rPr>
          <w:rStyle w:val="NormalTok"/>
        </w:rPr>
        <w:t xml:space="preserve"> </w:t>
      </w:r>
      <w:r>
        <w:rPr>
          <w:rStyle w:val="StringTok"/>
        </w:rPr>
        <w:t xml:space="preserve">"none"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"has_signal"</w:t>
      </w:r>
      <w:r>
        <w:rPr>
          <w:rStyle w:val="NormalTok"/>
        </w:rPr>
        <w:t xml:space="preserve">: has_signal,</w:t>
      </w:r>
      <w:r>
        <w:br/>
      </w:r>
      <w:r>
        <w:rPr>
          <w:rStyle w:val="NormalTok"/>
        </w:rPr>
        <w:t xml:space="preserve">        </w:t>
      </w:r>
      <w:r>
        <w:rPr>
          <w:rStyle w:val="StringTok"/>
        </w:rPr>
        <w:t xml:space="preserve">"core_matches"</w:t>
      </w:r>
      <w:r>
        <w:rPr>
          <w:rStyle w:val="NormalTok"/>
        </w:rPr>
        <w:t xml:space="preserve">: core_matches,</w:t>
      </w:r>
      <w:r>
        <w:br/>
      </w:r>
      <w:r>
        <w:rPr>
          <w:rStyle w:val="NormalTok"/>
        </w:rPr>
        <w:t xml:space="preserve">        </w:t>
      </w:r>
      <w:r>
        <w:rPr>
          <w:rStyle w:val="StringTok"/>
        </w:rPr>
        <w:t xml:space="preserve">"support_matches"</w:t>
      </w:r>
      <w:r>
        <w:rPr>
          <w:rStyle w:val="NormalTok"/>
        </w:rPr>
        <w:t xml:space="preserve">: support_matches,</w:t>
      </w:r>
      <w:r>
        <w:br/>
      </w:r>
      <w:r>
        <w:rPr>
          <w:rStyle w:val="NormalTok"/>
        </w:rPr>
        <w:t xml:space="preserve">        </w:t>
      </w:r>
      <w:r>
        <w:rPr>
          <w:rStyle w:val="StringTok"/>
        </w:rPr>
        <w:t xml:space="preserve">"exclude_matches"</w:t>
      </w:r>
      <w:r>
        <w:rPr>
          <w:rStyle w:val="NormalTok"/>
        </w:rPr>
        <w:t xml:space="preserve">: exclude_matches,</w:t>
      </w:r>
      <w:r>
        <w:br/>
      </w:r>
      <w:r>
        <w:rPr>
          <w:rStyle w:val="NormalTok"/>
        </w:rPr>
        <w:t xml:space="preserve">        </w:t>
      </w:r>
      <w:r>
        <w:rPr>
          <w:rStyle w:val="StringTok"/>
        </w:rPr>
        <w:t xml:space="preserve">"n_core_matches"</w:t>
      </w:r>
      <w:r>
        <w:rPr>
          <w:rStyle w:val="NormalTok"/>
        </w:rPr>
        <w:t xml:space="preserve">: n_core,</w:t>
      </w:r>
      <w:r>
        <w:br/>
      </w:r>
      <w:r>
        <w:rPr>
          <w:rStyle w:val="NormalTok"/>
        </w:rPr>
        <w:t xml:space="preserve">        </w:t>
      </w:r>
      <w:r>
        <w:rPr>
          <w:rStyle w:val="StringTok"/>
        </w:rPr>
        <w:t xml:space="preserve">"n_support_matches"</w:t>
      </w:r>
      <w:r>
        <w:rPr>
          <w:rStyle w:val="NormalTok"/>
        </w:rPr>
        <w:t xml:space="preserve">: n_support,</w:t>
      </w:r>
      <w:r>
        <w:br/>
      </w:r>
      <w:r>
        <w:rPr>
          <w:rStyle w:val="NormalTok"/>
        </w:rPr>
        <w:t xml:space="preserve">        </w:t>
      </w:r>
      <w:r>
        <w:rPr>
          <w:rStyle w:val="StringTok"/>
        </w:rPr>
        <w:t xml:space="preserve">"n_exclude_matches"</w:t>
      </w:r>
      <w:r>
        <w:rPr>
          <w:rStyle w:val="NormalTok"/>
        </w:rPr>
        <w:t xml:space="preserve">: n_exclude,</w:t>
      </w:r>
      <w:r>
        <w:br/>
      </w:r>
      <w:r>
        <w:rPr>
          <w:rStyle w:val="NormalTok"/>
        </w:rPr>
        <w:t xml:space="preserve">        </w:t>
      </w:r>
      <w:r>
        <w:rPr>
          <w:rStyle w:val="StringTok"/>
        </w:rPr>
        <w:t xml:space="preserve">"signal_confidence"</w:t>
      </w:r>
      <w:r>
        <w:rPr>
          <w:rStyle w:val="NormalTok"/>
        </w:rPr>
        <w:t xml:space="preserve">: confidence</w:t>
      </w:r>
      <w:r>
        <w:br/>
      </w:r>
      <w:r>
        <w:rPr>
          <w:rStyle w:val="NormalTok"/>
        </w:rPr>
        <w:t xml:space="preserve">    }</w:t>
      </w:r>
    </w:p>
    <w:bookmarkEnd w:id="71"/>
    <w:bookmarkStart w:id="73" w:name="apply-the-scoring-function-to-all-chunks"/>
    <w:p>
      <w:pPr>
        <w:pStyle w:val="Heading2"/>
      </w:pPr>
      <w:r>
        <w:t xml:space="preserve">8.9 Apply the scoring function to all chunks</w:t>
      </w:r>
    </w:p>
    <w:p>
      <w:pPr>
        <w:pStyle w:val="FirstParagraph"/>
      </w:pPr>
      <w:r>
        <w:t xml:space="preserve">You will need to define</w:t>
      </w:r>
      <w:r>
        <w:t xml:space="preserve"> </w:t>
      </w:r>
      <w:r>
        <w:rPr>
          <w:b/>
          <w:bCs/>
        </w:rPr>
        <w:t xml:space="preserve">all parameters</w:t>
      </w:r>
      <w:r>
        <w:t xml:space="preserve"> </w:t>
      </w:r>
      <w:r>
        <w:t xml:space="preserve">for this step of the pipeline — the part where they score each chunk using</w:t>
      </w:r>
      <w:r>
        <w:t xml:space="preserve"> </w:t>
      </w:r>
      <w:r>
        <w:rPr>
          <w:rStyle w:val="VerbatimChar"/>
        </w:rPr>
        <w:t xml:space="preserve">score_chunk_for_signal()</w:t>
      </w:r>
      <w:r>
        <w:t xml:space="preserve">. You will need to understand</w:t>
      </w:r>
      <w:r>
        <w:t xml:space="preserve"> </w:t>
      </w:r>
      <w:r>
        <w:rPr>
          <w:b/>
          <w:bCs/>
        </w:rPr>
        <w:t xml:space="preserve">two groups</w:t>
      </w:r>
      <w:r>
        <w:t xml:space="preserve"> </w:t>
      </w:r>
      <w:r>
        <w:t xml:space="preserve">of parameters:</w:t>
      </w:r>
    </w:p>
    <w:p>
      <w:pPr>
        <w:pStyle w:val="Compact"/>
        <w:numPr>
          <w:ilvl w:val="0"/>
          <w:numId w:val="1039"/>
        </w:numPr>
      </w:pPr>
      <w:r>
        <w:rPr>
          <w:b/>
          <w:bCs/>
        </w:rPr>
        <w:t xml:space="preserve">Inputs coming from</w:t>
      </w:r>
      <w:r>
        <w:rPr>
          <w:b/>
          <w:bCs/>
        </w:rPr>
        <w:t xml:space="preserve"> </w:t>
      </w:r>
      <w:r>
        <w:rPr>
          <w:rStyle w:val="VerbatimChar"/>
          <w:b/>
          <w:bCs/>
        </w:rPr>
        <w:t xml:space="preserve">df_chunks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Meaning</w:t>
            </w:r>
          </w:p>
        </w:tc>
      </w:tr>
      <w:tr>
        <w:tc>
          <w:tcPr/>
          <w:p>
            <w:pPr>
              <w:pStyle w:val="Compact"/>
            </w:pPr>
            <w:r>
              <w:rPr>
                <w:rStyle w:val="VerbatimChar"/>
              </w:rPr>
              <w:t xml:space="preserve">chunk_id</w:t>
            </w:r>
          </w:p>
        </w:tc>
        <w:tc>
          <w:tcPr/>
          <w:p>
            <w:pPr>
              <w:pStyle w:val="Compact"/>
            </w:pPr>
            <w:r>
              <w:t xml:space="preserve">Unique identifier for the chunk</w:t>
            </w:r>
          </w:p>
        </w:tc>
      </w:tr>
      <w:tr>
        <w:tc>
          <w:tcPr/>
          <w:p>
            <w:pPr>
              <w:pStyle w:val="Compact"/>
            </w:pPr>
            <w:r>
              <w:rPr>
                <w:rStyle w:val="VerbatimChar"/>
              </w:rPr>
              <w:t xml:space="preserve">file_name</w:t>
            </w:r>
          </w:p>
        </w:tc>
        <w:tc>
          <w:tcPr/>
          <w:p>
            <w:pPr>
              <w:pStyle w:val="Compact"/>
            </w:pPr>
            <w:r>
              <w:t xml:space="preserve">Original file name</w:t>
            </w:r>
          </w:p>
        </w:tc>
      </w:tr>
      <w:tr>
        <w:tc>
          <w:tcPr/>
          <w:p>
            <w:pPr>
              <w:pStyle w:val="Compact"/>
            </w:pPr>
            <w:r>
              <w:rPr>
                <w:rStyle w:val="VerbatimChar"/>
              </w:rPr>
              <w:t xml:space="preserve">file_path</w:t>
            </w:r>
          </w:p>
        </w:tc>
        <w:tc>
          <w:tcPr/>
          <w:p>
            <w:pPr>
              <w:pStyle w:val="Compact"/>
            </w:pPr>
            <w:r>
              <w:t xml:space="preserve">Original file path</w:t>
            </w:r>
          </w:p>
        </w:tc>
      </w:tr>
      <w:tr>
        <w:tc>
          <w:tcPr/>
          <w:p>
            <w:pPr>
              <w:pStyle w:val="Compact"/>
            </w:pPr>
            <w:r>
              <w:rPr>
                <w:rStyle w:val="VerbatimChar"/>
              </w:rPr>
              <w:t xml:space="preserve">section_name</w:t>
            </w:r>
          </w:p>
        </w:tc>
        <w:tc>
          <w:tcPr/>
          <w:p>
            <w:pPr>
              <w:pStyle w:val="Compact"/>
            </w:pPr>
            <w:r>
              <w:t xml:space="preserve">Section the chunk came from</w:t>
            </w:r>
          </w:p>
        </w:tc>
      </w:tr>
      <w:tr>
        <w:tc>
          <w:tcPr/>
          <w:p>
            <w:pPr>
              <w:pStyle w:val="Compact"/>
            </w:pPr>
            <w:r>
              <w:rPr>
                <w:rStyle w:val="VerbatimChar"/>
              </w:rPr>
              <w:t xml:space="preserve">start_sentence</w:t>
            </w:r>
          </w:p>
        </w:tc>
        <w:tc>
          <w:tcPr/>
          <w:p>
            <w:pPr>
              <w:pStyle w:val="Compact"/>
            </w:pPr>
            <w:r>
              <w:t xml:space="preserve">First sentence number in the chunk</w:t>
            </w:r>
          </w:p>
        </w:tc>
      </w:tr>
      <w:tr>
        <w:tc>
          <w:tcPr/>
          <w:p>
            <w:pPr>
              <w:pStyle w:val="Compact"/>
            </w:pPr>
            <w:r>
              <w:rPr>
                <w:rStyle w:val="VerbatimChar"/>
              </w:rPr>
              <w:t xml:space="preserve">end_sentence</w:t>
            </w:r>
          </w:p>
        </w:tc>
        <w:tc>
          <w:tcPr/>
          <w:p>
            <w:pPr>
              <w:pStyle w:val="Compact"/>
            </w:pPr>
            <w:r>
              <w:t xml:space="preserve">Last sentence number in the chunk</w:t>
            </w:r>
          </w:p>
        </w:tc>
      </w:tr>
      <w:tr>
        <w:tc>
          <w:tcPr/>
          <w:p>
            <w:pPr>
              <w:pStyle w:val="Compact"/>
            </w:pPr>
            <w:r>
              <w:rPr>
                <w:rStyle w:val="VerbatimChar"/>
              </w:rPr>
              <w:t xml:space="preserve">n_sentences</w:t>
            </w:r>
          </w:p>
        </w:tc>
        <w:tc>
          <w:tcPr/>
          <w:p>
            <w:pPr>
              <w:pStyle w:val="Compact"/>
            </w:pPr>
            <w:r>
              <w:t xml:space="preserve">Number of sentences in the chunk</w:t>
            </w:r>
          </w:p>
        </w:tc>
      </w:tr>
      <w:tr>
        <w:tc>
          <w:tcPr/>
          <w:p>
            <w:pPr>
              <w:pStyle w:val="Compact"/>
            </w:pPr>
            <w:r>
              <w:rPr>
                <w:rStyle w:val="VerbatimChar"/>
              </w:rPr>
              <w:t xml:space="preserve">chunk_length_chars</w:t>
            </w:r>
          </w:p>
        </w:tc>
        <w:tc>
          <w:tcPr/>
          <w:p>
            <w:pPr>
              <w:pStyle w:val="Compact"/>
            </w:pPr>
            <w:r>
              <w:t xml:space="preserve">Character length of the chunk</w:t>
            </w:r>
          </w:p>
        </w:tc>
      </w:tr>
      <w:tr>
        <w:tc>
          <w:tcPr/>
          <w:p>
            <w:pPr>
              <w:pStyle w:val="Compact"/>
            </w:pPr>
            <w:r>
              <w:rPr>
                <w:rStyle w:val="VerbatimChar"/>
              </w:rPr>
              <w:t xml:space="preserve">approx_token_count</w:t>
            </w:r>
          </w:p>
        </w:tc>
        <w:tc>
          <w:tcPr/>
          <w:p>
            <w:pPr>
              <w:pStyle w:val="Compact"/>
            </w:pPr>
            <w:r>
              <w:t xml:space="preserve">Approximate token count</w:t>
            </w:r>
          </w:p>
        </w:tc>
      </w:tr>
      <w:tr>
        <w:tc>
          <w:tcPr/>
          <w:p>
            <w:pPr>
              <w:pStyle w:val="Compact"/>
            </w:pPr>
            <w:r>
              <w:rPr>
                <w:rStyle w:val="VerbatimChar"/>
              </w:rPr>
              <w:t xml:space="preserve">chunk_text</w:t>
            </w:r>
          </w:p>
        </w:tc>
        <w:tc>
          <w:tcPr/>
          <w:p>
            <w:pPr>
              <w:pStyle w:val="Compact"/>
            </w:pPr>
            <w:r>
              <w:t xml:space="preserve">The actual text of the chunk</w:t>
            </w:r>
          </w:p>
        </w:tc>
      </w:tr>
    </w:tbl>
    <w:p>
      <w:pPr>
        <w:pStyle w:val="Compact"/>
        <w:numPr>
          <w:ilvl w:val="0"/>
          <w:numId w:val="1040"/>
        </w:numPr>
      </w:pPr>
      <w:r>
        <w:rPr>
          <w:b/>
          <w:bCs/>
        </w:rPr>
        <w:t xml:space="preserve">Inputs required by</w:t>
      </w:r>
      <w:r>
        <w:rPr>
          <w:b/>
          <w:bCs/>
        </w:rPr>
        <w:t xml:space="preserve"> </w:t>
      </w:r>
      <w:r>
        <w:rPr>
          <w:rStyle w:val="VerbatimChar"/>
          <w:b/>
          <w:bCs/>
        </w:rPr>
        <w:t xml:space="preserve">score_chunk_for_signal()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text</w:t>
            </w:r>
          </w:p>
        </w:tc>
        <w:tc>
          <w:tcPr/>
          <w:p>
            <w:pPr>
              <w:pStyle w:val="Compact"/>
            </w:pPr>
            <w:r>
              <w:t xml:space="preserve">The chunk text to evaluate</w:t>
            </w:r>
          </w:p>
        </w:tc>
      </w:tr>
      <w:tr>
        <w:tc>
          <w:tcPr/>
          <w:p>
            <w:pPr>
              <w:pStyle w:val="Compact"/>
            </w:pPr>
            <w:r>
              <w:rPr>
                <w:rStyle w:val="VerbatimChar"/>
              </w:rPr>
              <w:t xml:space="preserve">core_pattern</w:t>
            </w:r>
          </w:p>
        </w:tc>
        <w:tc>
          <w:tcPr/>
          <w:p>
            <w:pPr>
              <w:pStyle w:val="Compact"/>
            </w:pPr>
            <w:r>
              <w:t xml:space="preserve">The main required pattern (regex or keyword)</w:t>
            </w:r>
          </w:p>
        </w:tc>
      </w:tr>
      <w:tr>
        <w:tc>
          <w:tcPr/>
          <w:p>
            <w:pPr>
              <w:pStyle w:val="Compact"/>
            </w:pPr>
            <w:r>
              <w:rPr>
                <w:rStyle w:val="VerbatimChar"/>
              </w:rPr>
              <w:t xml:space="preserve">support_pattern</w:t>
            </w:r>
          </w:p>
        </w:tc>
        <w:tc>
          <w:tcPr/>
          <w:p>
            <w:pPr>
              <w:pStyle w:val="Compact"/>
            </w:pPr>
            <w:r>
              <w:t xml:space="preserve">Optional supporting pattern(s)</w:t>
            </w:r>
          </w:p>
        </w:tc>
      </w:tr>
      <w:tr>
        <w:tc>
          <w:tcPr/>
          <w:p>
            <w:pPr>
              <w:pStyle w:val="Compact"/>
            </w:pPr>
            <w:r>
              <w:rPr>
                <w:rStyle w:val="VerbatimChar"/>
              </w:rPr>
              <w:t xml:space="preserve">exclude_pattern</w:t>
            </w:r>
          </w:p>
        </w:tc>
        <w:tc>
          <w:tcPr/>
          <w:p>
            <w:pPr>
              <w:pStyle w:val="Compact"/>
            </w:pPr>
            <w:r>
              <w:t xml:space="preserve">Pattern(s) that disqualify a chunk</w:t>
            </w:r>
          </w:p>
        </w:tc>
      </w:tr>
    </w:tbl>
    <w:p>
      <w:pPr>
        <w:pStyle w:val="BodyText"/>
      </w:pPr>
      <w:r>
        <w:t xml:space="preserve">These patterns should be defined</w:t>
      </w:r>
      <w:r>
        <w:t xml:space="preserve"> </w:t>
      </w:r>
      <w:r>
        <w:rPr>
          <w:b/>
          <w:bCs/>
        </w:rPr>
        <w:t xml:space="preserve">outside</w:t>
      </w:r>
      <w:r>
        <w:t xml:space="preserve"> </w:t>
      </w:r>
      <w:r>
        <w:t xml:space="preserve">the loop and passed in.</w:t>
      </w:r>
    </w:p>
    <w:p>
      <w:pPr>
        <w:pStyle w:val="Compact"/>
        <w:numPr>
          <w:ilvl w:val="0"/>
          <w:numId w:val="1041"/>
        </w:numPr>
      </w:pPr>
      <w:r>
        <w:t xml:space="preserve">Additional metadata added to each output row</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signal_type</w:t>
            </w:r>
          </w:p>
        </w:tc>
        <w:tc>
          <w:tcPr/>
          <w:p>
            <w:pPr>
              <w:pStyle w:val="Compact"/>
            </w:pPr>
            <w:r>
              <w:t xml:space="preserve">A label for the type of signal being scored (e.g.,</w:t>
            </w:r>
            <w:r>
              <w:t xml:space="preserve"> </w:t>
            </w:r>
            <w:r>
              <w:rPr>
                <w:rStyle w:val="VerbatimChar"/>
              </w:rPr>
              <w:t xml:space="preserve">"RISK_SIGNAL"</w:t>
            </w:r>
            <w:r>
              <w:t xml:space="preserve"> </w:t>
            </w:r>
            <w:r>
              <w:t xml:space="preserve">or</w:t>
            </w:r>
            <w:r>
              <w:t xml:space="preserve"> </w:t>
            </w:r>
            <w:r>
              <w:rPr>
                <w:rStyle w:val="VerbatimChar"/>
              </w:rPr>
              <w:t xml:space="preserve">"TARGET_SIGNAL"</w:t>
            </w:r>
            <w:r>
              <w:t xml:space="preserve">)</w:t>
            </w:r>
          </w:p>
        </w:tc>
      </w:tr>
      <w:tr>
        <w:tc>
          <w:tcPr/>
          <w:p>
            <w:pPr>
              <w:pStyle w:val="Compact"/>
            </w:pPr>
            <w:r>
              <w:rPr>
                <w:rStyle w:val="VerbatimChar"/>
              </w:rPr>
              <w:t xml:space="preserve">**score</w:t>
            </w:r>
          </w:p>
        </w:tc>
        <w:tc>
          <w:tcPr/>
          <w:p>
            <w:pPr>
              <w:pStyle w:val="Compact"/>
            </w:pPr>
            <w:r>
              <w:t xml:space="preserve">The dictionary returned by</w:t>
            </w:r>
            <w:r>
              <w:t xml:space="preserve"> </w:t>
            </w:r>
            <w:r>
              <w:rPr>
                <w:rStyle w:val="VerbatimChar"/>
              </w:rPr>
              <w:t xml:space="preserve">score_chunk_for_signal()</w:t>
            </w:r>
            <w:r>
              <w:t xml:space="preserve"> </w:t>
            </w:r>
            <w:r>
              <w:t xml:space="preserve">(e.g., booleans, counts, confidence scores)</w:t>
            </w:r>
          </w:p>
        </w:tc>
      </w:tr>
    </w:tbl>
    <w:p>
      <w:pPr>
        <w:pStyle w:val="SourceCode"/>
      </w:pPr>
      <w:r>
        <w:rPr>
          <w:rStyle w:val="NormalTok"/>
        </w:rPr>
        <w:t xml:space="preserve">signal_rows </w:t>
      </w:r>
      <w:r>
        <w:rPr>
          <w:rStyle w:val="OperatorTok"/>
        </w:rPr>
        <w:t xml:space="preserve">=</w:t>
      </w:r>
      <w:r>
        <w:rPr>
          <w:rStyle w:val="NormalTok"/>
        </w:rPr>
        <w:t xml:space="preserve"> []</w:t>
      </w:r>
      <w:r>
        <w:br/>
      </w:r>
      <w:r>
        <w:br/>
      </w:r>
      <w:r>
        <w:rPr>
          <w:rStyle w:val="ControlFlowTok"/>
        </w:rPr>
        <w:t xml:space="preserve">for</w:t>
      </w:r>
      <w:r>
        <w:rPr>
          <w:rStyle w:val="NormalTok"/>
        </w:rPr>
        <w:t xml:space="preserve"> _, row </w:t>
      </w:r>
      <w:r>
        <w:rPr>
          <w:rStyle w:val="KeywordTok"/>
        </w:rPr>
        <w:t xml:space="preserve">in</w:t>
      </w:r>
      <w:r>
        <w:rPr>
          <w:rStyle w:val="NormalTok"/>
        </w:rPr>
        <w:t xml:space="preserve"> df_chunks.iterrows():</w:t>
      </w:r>
      <w:r>
        <w:br/>
      </w:r>
      <w:r>
        <w:rPr>
          <w:rStyle w:val="NormalTok"/>
        </w:rPr>
        <w:t xml:space="preserve">    score </w:t>
      </w:r>
      <w:r>
        <w:rPr>
          <w:rStyle w:val="OperatorTok"/>
        </w:rPr>
        <w:t xml:space="preserve">=</w:t>
      </w:r>
      <w:r>
        <w:rPr>
          <w:rStyle w:val="NormalTok"/>
        </w:rPr>
        <w:t xml:space="preserve"> score_chunk_for_signal(</w:t>
      </w:r>
      <w:r>
        <w:br/>
      </w:r>
      <w:r>
        <w:rPr>
          <w:rStyle w:val="NormalTok"/>
        </w:rPr>
        <w:t xml:space="preserve">    </w:t>
      </w:r>
      <w:r>
        <w:rPr>
          <w:rStyle w:val="CommentTok"/>
        </w:rPr>
        <w:t xml:space="preserve"># add the appropriate parameters here based on the function definition and the variables you have defined</w:t>
      </w:r>
      <w:r>
        <w:br/>
      </w:r>
      <w:r>
        <w:rPr>
          <w:rStyle w:val="NormalTok"/>
        </w:rPr>
        <w:t xml:space="preserve">    )</w:t>
      </w:r>
      <w:r>
        <w:br/>
      </w:r>
      <w:r>
        <w:br/>
      </w:r>
      <w:r>
        <w:rPr>
          <w:rStyle w:val="NormalTok"/>
        </w:rPr>
        <w:t xml:space="preserve">    signal_rows.append({</w:t>
      </w:r>
      <w:r>
        <w:br/>
      </w:r>
      <w:r>
        <w:rPr>
          <w:rStyle w:val="NormalTok"/>
        </w:rPr>
        <w:t xml:space="preserve">        </w:t>
      </w:r>
      <w:r>
        <w:rPr>
          <w:rStyle w:val="CommentTok"/>
        </w:rPr>
        <w:t xml:space="preserve"># add the appropriate values from row for the chunk metadata</w:t>
      </w:r>
      <w:r>
        <w:br/>
      </w:r>
      <w:r>
        <w:rPr>
          <w:rStyle w:val="NormalTok"/>
        </w:rPr>
        <w:t xml:space="preserve">    })</w:t>
      </w:r>
      <w:r>
        <w:br/>
      </w:r>
      <w:r>
        <w:br/>
      </w:r>
      <w:r>
        <w:rPr>
          <w:rStyle w:val="NormalTok"/>
        </w:rPr>
        <w:t xml:space="preserve">df_signal </w:t>
      </w:r>
      <w:r>
        <w:rPr>
          <w:rStyle w:val="OperatorTok"/>
        </w:rPr>
        <w:t xml:space="preserve">=</w:t>
      </w:r>
      <w:r>
        <w:rPr>
          <w:rStyle w:val="NormalTok"/>
        </w:rPr>
        <w:t xml:space="preserve"> pd.DataFrame(signal_rows)</w:t>
      </w:r>
      <w:r>
        <w:br/>
      </w:r>
      <w:r>
        <w:br/>
      </w:r>
      <w:r>
        <w:rPr>
          <w:rStyle w:val="BuiltInTok"/>
        </w:rPr>
        <w:t xml:space="preserve">print</w:t>
      </w:r>
      <w:r>
        <w:rPr>
          <w:rStyle w:val="NormalTok"/>
        </w:rPr>
        <w:t xml:space="preserve">(df_signal.shape)</w:t>
      </w:r>
      <w:r>
        <w:br/>
      </w:r>
      <w:r>
        <w:rPr>
          <w:rStyle w:val="NormalTok"/>
        </w:rPr>
        <w:t xml:space="preserve">df_signal.head().style.hide(axis</w:t>
      </w:r>
      <w:r>
        <w:rPr>
          <w:rStyle w:val="OperatorTok"/>
        </w:rPr>
        <w:t xml:space="preserve">=</w:t>
      </w:r>
      <w:r>
        <w:rPr>
          <w:rStyle w:val="StringTok"/>
        </w:rPr>
        <w:t xml:space="preserve">"index"</w:t>
      </w:r>
      <w:r>
        <w:rPr>
          <w:rStyle w:val="NormalTok"/>
        </w:rPr>
        <w:t xml:space="preserve">)</w:t>
      </w:r>
    </w:p>
    <w:p>
      <w:pPr>
        <w:pStyle w:val="SourceCode"/>
      </w:pPr>
      <w:r>
        <w:rPr>
          <w:rStyle w:val="VerbatimChar"/>
        </w:rPr>
        <w:t xml:space="preserve">(2664, 19)</w:t>
      </w:r>
    </w:p>
    <w:bookmarkStart w:id="72" w:name="T_0c5ef"/>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chunk_id</w:t>
            </w:r>
          </w:p>
        </w:tc>
        <w:tc>
          <w:tcPr/>
          <w:p>
            <w:pPr>
              <w:pStyle w:val="Compact"/>
            </w:pPr>
            <w:r>
              <w:t xml:space="preserve">file_name</w:t>
            </w:r>
          </w:p>
        </w:tc>
        <w:tc>
          <w:tcPr/>
          <w:p>
            <w:pPr>
              <w:pStyle w:val="Compact"/>
            </w:pPr>
            <w:r>
              <w:t xml:space="preserve">file_path</w:t>
            </w:r>
          </w:p>
        </w:tc>
        <w:tc>
          <w:tcPr/>
          <w:p>
            <w:pPr>
              <w:pStyle w:val="Compact"/>
            </w:pPr>
            <w:r>
              <w:t xml:space="preserve">section_name</w:t>
            </w:r>
          </w:p>
        </w:tc>
        <w:tc>
          <w:tcPr/>
          <w:p>
            <w:pPr>
              <w:pStyle w:val="Compact"/>
            </w:pPr>
            <w:r>
              <w:t xml:space="preserve">start_sentence</w:t>
            </w:r>
          </w:p>
        </w:tc>
        <w:tc>
          <w:tcPr/>
          <w:p>
            <w:pPr>
              <w:pStyle w:val="Compact"/>
            </w:pPr>
            <w:r>
              <w:t xml:space="preserve">end_sentence</w:t>
            </w:r>
          </w:p>
        </w:tc>
        <w:tc>
          <w:tcPr/>
          <w:p>
            <w:pPr>
              <w:pStyle w:val="Compact"/>
            </w:pPr>
            <w:r>
              <w:t xml:space="preserve">n_sentences</w:t>
            </w:r>
          </w:p>
        </w:tc>
        <w:tc>
          <w:tcPr/>
          <w:p>
            <w:pPr>
              <w:pStyle w:val="Compact"/>
            </w:pPr>
            <w:r>
              <w:t xml:space="preserve">chunk_length_chars</w:t>
            </w:r>
          </w:p>
        </w:tc>
        <w:tc>
          <w:tcPr/>
          <w:p>
            <w:pPr>
              <w:pStyle w:val="Compact"/>
            </w:pPr>
            <w:r>
              <w:t xml:space="preserve">approx_token_count</w:t>
            </w:r>
          </w:p>
        </w:tc>
        <w:tc>
          <w:tcPr/>
          <w:p>
            <w:pPr>
              <w:pStyle w:val="Compact"/>
            </w:pPr>
            <w:r>
              <w:t xml:space="preserve">signal_type</w:t>
            </w:r>
          </w:p>
        </w:tc>
        <w:tc>
          <w:tcPr/>
          <w:p>
            <w:pPr>
              <w:pStyle w:val="Compact"/>
            </w:pPr>
            <w:r>
              <w:t xml:space="preserve">chunk_text</w:t>
            </w:r>
          </w:p>
        </w:tc>
        <w:tc>
          <w:tcPr/>
          <w:p>
            <w:pPr>
              <w:pStyle w:val="Compact"/>
            </w:pPr>
            <w:r>
              <w:t xml:space="preserve">has_signal</w:t>
            </w:r>
          </w:p>
        </w:tc>
        <w:tc>
          <w:tcPr/>
          <w:p>
            <w:pPr>
              <w:pStyle w:val="Compact"/>
            </w:pPr>
            <w:r>
              <w:t xml:space="preserve">core_matches</w:t>
            </w:r>
          </w:p>
        </w:tc>
        <w:tc>
          <w:tcPr/>
          <w:p>
            <w:pPr>
              <w:pStyle w:val="Compact"/>
            </w:pPr>
            <w:r>
              <w:t xml:space="preserve">support_matches</w:t>
            </w:r>
          </w:p>
        </w:tc>
        <w:tc>
          <w:tcPr/>
          <w:p>
            <w:pPr>
              <w:pStyle w:val="Compact"/>
            </w:pPr>
            <w:r>
              <w:t xml:space="preserve">exclude_matches</w:t>
            </w:r>
          </w:p>
        </w:tc>
        <w:tc>
          <w:tcPr/>
          <w:p>
            <w:pPr>
              <w:pStyle w:val="Compact"/>
            </w:pPr>
            <w:r>
              <w:t xml:space="preserve">n_core_matches</w:t>
            </w:r>
          </w:p>
        </w:tc>
        <w:tc>
          <w:tcPr/>
          <w:p>
            <w:pPr>
              <w:pStyle w:val="Compact"/>
            </w:pPr>
            <w:r>
              <w:t xml:space="preserve">n_support_matches</w:t>
            </w:r>
          </w:p>
        </w:tc>
        <w:tc>
          <w:tcPr/>
          <w:p>
            <w:pPr>
              <w:pStyle w:val="Compact"/>
            </w:pPr>
            <w:r>
              <w:t xml:space="preserve">n_exclude_matches</w:t>
            </w:r>
          </w:p>
        </w:tc>
        <w:tc>
          <w:tcPr/>
          <w:p>
            <w:pPr>
              <w:pStyle w:val="Compact"/>
            </w:pPr>
            <w:r>
              <w:t xml:space="preserve">signal_confidence</w:t>
            </w:r>
          </w:p>
        </w:tc>
      </w:tr>
      <w:tr>
        <w:tc>
          <w:tcPr/>
          <w:p>
            <w:pPr>
              <w:pStyle w:val="Compact"/>
            </w:pPr>
            <w:r>
              <w:t xml:space="preserve">20240102_10-K_edgar_data_1288750_0001654954-24-000069.html::item_1::c1</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1</w:t>
            </w:r>
          </w:p>
        </w:tc>
        <w:tc>
          <w:tcPr/>
          <w:p>
            <w:pPr>
              <w:pStyle w:val="Compact"/>
            </w:pPr>
            <w:r>
              <w:t xml:space="preserve">10</w:t>
            </w:r>
          </w:p>
        </w:tc>
        <w:tc>
          <w:tcPr/>
          <w:p>
            <w:pPr>
              <w:pStyle w:val="Compact"/>
            </w:pPr>
            <w:r>
              <w:t xml:space="preserve">10</w:t>
            </w:r>
          </w:p>
        </w:tc>
        <w:tc>
          <w:tcPr/>
          <w:p>
            <w:pPr>
              <w:pStyle w:val="Compact"/>
            </w:pPr>
            <w:r>
              <w:t xml:space="preserve">1378</w:t>
            </w:r>
          </w:p>
        </w:tc>
        <w:tc>
          <w:tcPr/>
          <w:p>
            <w:pPr>
              <w:pStyle w:val="Compact"/>
            </w:pPr>
            <w:r>
              <w:t xml:space="preserve">259</w:t>
            </w:r>
          </w:p>
        </w:tc>
        <w:tc>
          <w:tcPr/>
          <w:p>
            <w:pPr>
              <w:pStyle w:val="Compact"/>
            </w:pPr>
            <w:r>
              <w:t xml:space="preserve">ai_investment</w:t>
            </w:r>
          </w:p>
        </w:tc>
        <w:tc>
          <w:tcPr/>
          <w:p>
            <w:pPr>
              <w:pStyle w:val="Compact"/>
            </w:pPr>
            <w:r>
              <w:t xml:space="preserve">DESCRIPTION OF BUSINESS Incorporation and Early History We were incorporated in the State of Idaho in August 1968 under the name Silver Crystal Mines, Inc., to engage in the business of exploring for precious metal deposits and advancing them toward production. We ceased exploration activities during the 1990’s and became virtually inactive. In December 2003, a group of investors purchased 80-percent of the issued and outstanding common stock from the then-controlling management team. In January 2004, we affected a one-for-four reverse split of our issued and outstanding shares of common stock and increased the number of our authorized shares of common stock to 100,000,000 with a par value of $0.001. In February 2004, our name was changed to Timberline Resources Corporation. Since the reorganization, we have been in an exploration stage evaluating, acquiring, and exploring mineral prospects with potential for economic deposits of precious and base metals. We define a prospect as a mining property, the value of which has not been determined by exploration. In August 2008, we reincorporated into the State of Delaware pursuant to a merger agreement approved by our shareholders. In July 2007, we closed our purchase of the Butte Highlands Gold Project. In October 2008, we announced that we had agreed to form a 50/50 joint venture at the Butte Highlands Project.</w:t>
            </w:r>
          </w:p>
        </w:tc>
        <w:tc>
          <w:tcPr/>
          <w:p>
            <w:pPr>
              <w:pStyle w:val="Compact"/>
            </w:pPr>
            <w:r>
              <w:t xml:space="preserve">False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none</w:t>
            </w:r>
          </w:p>
        </w:tc>
      </w:tr>
      <w:tr>
        <w:tc>
          <w:tcPr/>
          <w:p>
            <w:pPr>
              <w:pStyle w:val="Compact"/>
            </w:pPr>
            <w:r>
              <w:t xml:space="preserve">20240102_10-K_edgar_data_1288750_0001654954-24-000069.html::item_1::c2</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9</w:t>
            </w:r>
          </w:p>
        </w:tc>
        <w:tc>
          <w:tcPr/>
          <w:p>
            <w:pPr>
              <w:pStyle w:val="Compact"/>
            </w:pPr>
            <w:r>
              <w:t xml:space="preserve">16</w:t>
            </w:r>
          </w:p>
        </w:tc>
        <w:tc>
          <w:tcPr/>
          <w:p>
            <w:pPr>
              <w:pStyle w:val="Compact"/>
            </w:pPr>
            <w:r>
              <w:t xml:space="preserve">8</w:t>
            </w:r>
          </w:p>
        </w:tc>
        <w:tc>
          <w:tcPr/>
          <w:p>
            <w:pPr>
              <w:pStyle w:val="Compact"/>
            </w:pPr>
            <w:r>
              <w:t xml:space="preserve">1413</w:t>
            </w:r>
          </w:p>
        </w:tc>
        <w:tc>
          <w:tcPr/>
          <w:p>
            <w:pPr>
              <w:pStyle w:val="Compact"/>
            </w:pPr>
            <w:r>
              <w:t xml:space="preserve">293</w:t>
            </w:r>
          </w:p>
        </w:tc>
        <w:tc>
          <w:tcPr/>
          <w:p>
            <w:pPr>
              <w:pStyle w:val="Compact"/>
            </w:pPr>
            <w:r>
              <w:t xml:space="preserve">ai_investment</w:t>
            </w:r>
          </w:p>
        </w:tc>
        <w:tc>
          <w:tcPr/>
          <w:p>
            <w:pPr>
              <w:pStyle w:val="Compact"/>
            </w:pPr>
            <w:r>
              <w:t xml:space="preserve">In July 2007, we closed our purchase of the Butte Highlands Gold Project. In October 2008, we announced that we had agreed to form a 50/50 joint venture at the Butte Highlands Project. In July 2009, we finalized the joint venture agreement with Highland Mining, LLC (“Highland”) to create Butte Highlands JV, LLC (“BHJV”). Under terms of the joint venture agreement, development began in the summer of 2009, with Highland funding all mine development costs through development. Both Timberline’s and Highland’s 50-percent share of costs were to be paid out of net proceeds from future mine production. On January 29, 2016, we executed a Member Interest Purchase Agreement (the “Purchase Agreement”) with New Jersey Mining Company pursuant to which we sold all of our 50% interest in BHJV. In June 2010, we closed our acquisition of Staccato Gold Resources Ltd. (“Staccato Gold”), a Canadian-based resource company that was in the business of acquiring, exploring, and developing mineral properties with a focus on gold exploration in the dominant gold producing trends in Nevada. As a result of this acquisition, we obtained Staccato’s flagship gold exploration project (“Lookout Mountain”), and several other projects at various stages of exploration in the Battle Mountain/Eureka gold trend in north-central Nevada, along with Staccato Gold’s wholly owned U.S. subsidiary, BH Minerals USA, Inc. (“BH Minerals”).</w:t>
            </w:r>
          </w:p>
        </w:tc>
        <w:tc>
          <w:tcPr/>
          <w:p>
            <w:pPr>
              <w:pStyle w:val="Compact"/>
            </w:pPr>
            <w:r>
              <w:t xml:space="preserve">False</w:t>
            </w:r>
          </w:p>
        </w:tc>
        <w:tc>
          <w:tcPr/>
          <w:p>
            <w:pPr>
              <w:pStyle w:val="Compact"/>
            </w:pPr>
            <w:r>
              <w:t xml:space="preserve">[]</w:t>
            </w:r>
          </w:p>
        </w:tc>
        <w:tc>
          <w:tcPr/>
          <w:p>
            <w:pPr>
              <w:pStyle w:val="Compact"/>
            </w:pPr>
            <w:r>
              <w:t xml:space="preserve">['development']</w:t>
            </w:r>
          </w:p>
        </w:tc>
        <w:tc>
          <w:tcPr/>
          <w:p>
            <w:pPr>
              <w:pStyle w:val="Compact"/>
            </w:pPr>
            <w:r>
              <w:t xml:space="preserv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none</w:t>
            </w:r>
          </w:p>
        </w:tc>
      </w:tr>
      <w:tr>
        <w:tc>
          <w:tcPr/>
          <w:p>
            <w:pPr>
              <w:pStyle w:val="Compact"/>
            </w:pPr>
            <w:r>
              <w:t xml:space="preserve">20240102_10-K_edgar_data_1288750_0001654954-24-000069.html::item_1::c3</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15</w:t>
            </w:r>
          </w:p>
        </w:tc>
        <w:tc>
          <w:tcPr/>
          <w:p>
            <w:pPr>
              <w:pStyle w:val="Compact"/>
            </w:pPr>
            <w:r>
              <w:t xml:space="preserve">19</w:t>
            </w:r>
          </w:p>
        </w:tc>
        <w:tc>
          <w:tcPr/>
          <w:p>
            <w:pPr>
              <w:pStyle w:val="Compact"/>
            </w:pPr>
            <w:r>
              <w:t xml:space="preserve">5</w:t>
            </w:r>
          </w:p>
        </w:tc>
        <w:tc>
          <w:tcPr/>
          <w:p>
            <w:pPr>
              <w:pStyle w:val="Compact"/>
            </w:pPr>
            <w:r>
              <w:t xml:space="preserve">1329</w:t>
            </w:r>
          </w:p>
        </w:tc>
        <w:tc>
          <w:tcPr/>
          <w:p>
            <w:pPr>
              <w:pStyle w:val="Compact"/>
            </w:pPr>
            <w:r>
              <w:t xml:space="preserve">272</w:t>
            </w:r>
          </w:p>
        </w:tc>
        <w:tc>
          <w:tcPr/>
          <w:p>
            <w:pPr>
              <w:pStyle w:val="Compact"/>
            </w:pPr>
            <w:r>
              <w:t xml:space="preserve">ai_investment</w:t>
            </w:r>
          </w:p>
        </w:tc>
        <w:tc>
          <w:tcPr/>
          <w:p>
            <w:pPr>
              <w:pStyle w:val="Compact"/>
            </w:pPr>
            <w:r>
              <w:t xml:space="preserve">In June 2010, we closed our acquisition of Staccato Gold Resources Ltd. (“Staccato Gold”), a Canadian-based resource company that was in the business of acquiring, exploring, and developing mineral properties with a focus on gold exploration in the dominant gold producing trends in Nevada. As a result of this acquisition, we obtained Staccato’s flagship gold exploration project (“Lookout Mountain”), and several other projects at various stages of exploration in the Battle Mountain/Eureka gold trend in north-central Nevada, along with Staccato Gold’s wholly owned U.S. subsidiary, BH Minerals USA, Inc. (“BH Minerals”). In August 2014, we closed our acquisition of Wolfpack Gold (Nevada) Corp. (“Wolfpack US”), a U.S. company and a wholly owned subsidiary of Wolfpack Gold Corp., a Canadian-based resource company (“Wolfpack Gold”), that was in the business of acquiring, exploring, and developing mineral properties with a focus on gold exploration in the dominant gold producing trends in Nevada. As a result of this acquisition, we obtained cash and several projects at various stages of exploration in the gold trends in Nevada. 5 Table of Contents On March 17, 2015, Timberline signed a definitive option agreement to purchase 100% ownership in the Talapoosa Project in Nevada from Gunpoint Exploration Ltd. (Gunpoint).</w:t>
            </w:r>
          </w:p>
        </w:tc>
        <w:tc>
          <w:tcPr/>
          <w:p>
            <w:pPr>
              <w:pStyle w:val="Compact"/>
            </w:pPr>
            <w:r>
              <w:t xml:space="preserve">False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none</w:t>
            </w:r>
          </w:p>
        </w:tc>
      </w:tr>
      <w:tr>
        <w:tc>
          <w:tcPr/>
          <w:p>
            <w:pPr>
              <w:pStyle w:val="Compact"/>
            </w:pPr>
            <w:r>
              <w:t xml:space="preserve">20240102_10-K_edgar_data_1288750_0001654954-24-000069.html::item_1::c4</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18</w:t>
            </w:r>
          </w:p>
        </w:tc>
        <w:tc>
          <w:tcPr/>
          <w:p>
            <w:pPr>
              <w:pStyle w:val="Compact"/>
            </w:pPr>
            <w:r>
              <w:t xml:space="preserve">22</w:t>
            </w:r>
          </w:p>
        </w:tc>
        <w:tc>
          <w:tcPr/>
          <w:p>
            <w:pPr>
              <w:pStyle w:val="Compact"/>
            </w:pPr>
            <w:r>
              <w:t xml:space="preserve">5</w:t>
            </w:r>
          </w:p>
        </w:tc>
        <w:tc>
          <w:tcPr/>
          <w:p>
            <w:pPr>
              <w:pStyle w:val="Compact"/>
            </w:pPr>
            <w:r>
              <w:t xml:space="preserve">1204</w:t>
            </w:r>
          </w:p>
        </w:tc>
        <w:tc>
          <w:tcPr/>
          <w:p>
            <w:pPr>
              <w:pStyle w:val="Compact"/>
            </w:pPr>
            <w:r>
              <w:t xml:space="preserve">267</w:t>
            </w:r>
          </w:p>
        </w:tc>
        <w:tc>
          <w:tcPr/>
          <w:p>
            <w:pPr>
              <w:pStyle w:val="Compact"/>
            </w:pPr>
            <w:r>
              <w:t xml:space="preserve">ai_investment</w:t>
            </w:r>
          </w:p>
        </w:tc>
        <w:tc>
          <w:tcPr/>
          <w:p>
            <w:pPr>
              <w:pStyle w:val="Compact"/>
            </w:pPr>
            <w:r>
              <w:t xml:space="preserve">As a result of this acquisition, we obtained cash and several projects at various stages of exploration in the gold trends in Nevada. 5 Table of Contents On March 17, 2015, Timberline signed a definitive option agreement to purchase 100% ownership in the Talapoosa Project in Nevada from Gunpoint Exploration Ltd. (Gunpoint). The Talapoosa Project is located in western Nevada and contains a resource of over 1 million ounces of gold. Under terms of the agreement Timberline paid Gunpoint $300,000 in cash and 2,000,000 shares of common stock on signing the agreement and was required to pay $10,000,000 (“Option Payment”) within 30 months of the agreement date to acquire 100% ownership, subject to significant contingent payments if the price of gold traded above US $1,600 per ounce for extended periods in the five (5) ensuing years. On October 26, 2016, the agreement was amended to extend the option exercise period to March 31, 2019 with the following schedule: payment of $1,000,000 and 1,000,000 common shares of the Company by March 31, 2017, payment of $2,000,000 and 1,000,000 common shares by March 31, 2018, and a final payment of $8,000,000 and 1.5 million common shares by March 31, 2019.</w:t>
            </w:r>
          </w:p>
        </w:tc>
        <w:tc>
          <w:tcPr/>
          <w:p>
            <w:pPr>
              <w:pStyle w:val="Compact"/>
            </w:pPr>
            <w:r>
              <w:t xml:space="preserve">False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none</w:t>
            </w:r>
          </w:p>
        </w:tc>
      </w:tr>
      <w:tr>
        <w:tc>
          <w:tcPr/>
          <w:p>
            <w:pPr>
              <w:pStyle w:val="Compact"/>
            </w:pPr>
            <w:r>
              <w:t xml:space="preserve">20240102_10-K_edgar_data_1288750_0001654954-24-000069.html::item_1::c5</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21</w:t>
            </w:r>
          </w:p>
        </w:tc>
        <w:tc>
          <w:tcPr/>
          <w:p>
            <w:pPr>
              <w:pStyle w:val="Compact"/>
            </w:pPr>
            <w:r>
              <w:t xml:space="preserve">24</w:t>
            </w:r>
          </w:p>
        </w:tc>
        <w:tc>
          <w:tcPr/>
          <w:p>
            <w:pPr>
              <w:pStyle w:val="Compact"/>
            </w:pPr>
            <w:r>
              <w:t xml:space="preserve">4</w:t>
            </w:r>
          </w:p>
        </w:tc>
        <w:tc>
          <w:tcPr/>
          <w:p>
            <w:pPr>
              <w:pStyle w:val="Compact"/>
            </w:pPr>
            <w:r>
              <w:t xml:space="preserve">1141</w:t>
            </w:r>
          </w:p>
        </w:tc>
        <w:tc>
          <w:tcPr/>
          <w:p>
            <w:pPr>
              <w:pStyle w:val="Compact"/>
            </w:pPr>
            <w:r>
              <w:t xml:space="preserve">262</w:t>
            </w:r>
          </w:p>
        </w:tc>
        <w:tc>
          <w:tcPr/>
          <w:p>
            <w:pPr>
              <w:pStyle w:val="Compact"/>
            </w:pPr>
            <w:r>
              <w:t xml:space="preserve">ai_investment</w:t>
            </w:r>
          </w:p>
        </w:tc>
        <w:tc>
          <w:tcPr/>
          <w:p>
            <w:pPr>
              <w:pStyle w:val="Compact"/>
            </w:pPr>
            <w:r>
              <w:t xml:space="preserve">Under terms of the agreement Timberline paid Gunpoint $300,000 in cash and 2,000,000 shares of common stock on signing the agreement and was required to pay $10,000,000 (“Option Payment”) within 30 months of the agreement date to acquire 100% ownership, subject to significant contingent payments if the price of gold traded above US $1,600 per ounce for extended periods in the five (5) ensuing years. On October 26, 2016, the agreement was amended to extend the option exercise period to March 31, 2019 with the following schedule: payment of $1,000,000 and 1,000,000 common shares of the Company by March 31, 2017, payment of $2,000,000 and 1,000,000 common shares by March 31, 2018, and a final payment of $8,000,000 and 1.5 million common shares by March 31, 2019. Timberline chose to not make the required payment due on March 31, 2018, and, therefore, the Agreement was terminated, resulting in a $3.2 million write off of a loss on abandonment of mineral rights. In May 2018, we entered into a definitive agreement to acquire ownership interests in two joint venture agreements in Nevada from Americas Gold Exploration, Inc (“AGEI”).</w:t>
            </w:r>
          </w:p>
        </w:tc>
        <w:tc>
          <w:tcPr/>
          <w:p>
            <w:pPr>
              <w:pStyle w:val="Compact"/>
            </w:pPr>
            <w:r>
              <w:t xml:space="preserve">False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none</w:t>
            </w:r>
          </w:p>
        </w:tc>
      </w:tr>
    </w:tbl>
    <w:bookmarkEnd w:id="72"/>
    <w:bookmarkEnd w:id="73"/>
    <w:bookmarkStart w:id="75" w:name="keep-only-candidate-evidence-chunks"/>
    <w:p>
      <w:pPr>
        <w:pStyle w:val="Heading2"/>
      </w:pPr>
      <w:r>
        <w:t xml:space="preserve">8.10 Keep only candidate evidence chunks</w:t>
      </w:r>
    </w:p>
    <w:p>
      <w:pPr>
        <w:pStyle w:val="FirstParagraph"/>
      </w:pPr>
      <w:r>
        <w:t xml:space="preserve">These are the chunks that actually triggered the signal logic. This could be a large number based on the number of files you have chosen.</w:t>
      </w:r>
    </w:p>
    <w:p>
      <w:pPr>
        <w:pStyle w:val="SourceCode"/>
      </w:pPr>
      <w:r>
        <w:rPr>
          <w:rStyle w:val="NormalTok"/>
        </w:rPr>
        <w:t xml:space="preserve">df_signal_candidates </w:t>
      </w:r>
      <w:r>
        <w:rPr>
          <w:rStyle w:val="OperatorTok"/>
        </w:rPr>
        <w:t xml:space="preserve">=</w:t>
      </w:r>
      <w:r>
        <w:rPr>
          <w:rStyle w:val="NormalTok"/>
        </w:rPr>
        <w:t xml:space="preserve"> df_signal[df_signal[</w:t>
      </w:r>
      <w:r>
        <w:rPr>
          <w:rStyle w:val="StringTok"/>
        </w:rPr>
        <w:t xml:space="preserve">"has_signal"</w:t>
      </w:r>
      <w:r>
        <w:rPr>
          <w:rStyle w:val="NormalTok"/>
        </w:rPr>
        <w:t xml:space="preserve">]].copy()</w:t>
      </w:r>
      <w:r>
        <w:br/>
      </w:r>
      <w:r>
        <w:br/>
      </w:r>
      <w:r>
        <w:rPr>
          <w:rStyle w:val="BuiltInTok"/>
        </w:rPr>
        <w:t xml:space="preserve">print</w:t>
      </w:r>
      <w:r>
        <w:rPr>
          <w:rStyle w:val="NormalTok"/>
        </w:rPr>
        <w:t xml:space="preserve">(df_signal_candidates.shape)</w:t>
      </w:r>
      <w:r>
        <w:br/>
      </w:r>
      <w:r>
        <w:rPr>
          <w:rStyle w:val="NormalTok"/>
        </w:rPr>
        <w:t xml:space="preserve">df_signal_candidates.head().style.hide(axis</w:t>
      </w:r>
      <w:r>
        <w:rPr>
          <w:rStyle w:val="OperatorTok"/>
        </w:rPr>
        <w:t xml:space="preserve">=</w:t>
      </w:r>
      <w:r>
        <w:rPr>
          <w:rStyle w:val="StringTok"/>
        </w:rPr>
        <w:t xml:space="preserve">"index"</w:t>
      </w:r>
      <w:r>
        <w:rPr>
          <w:rStyle w:val="NormalTok"/>
        </w:rPr>
        <w:t xml:space="preserve">)</w:t>
      </w:r>
    </w:p>
    <w:p>
      <w:pPr>
        <w:pStyle w:val="SourceCode"/>
      </w:pPr>
      <w:r>
        <w:rPr>
          <w:rStyle w:val="VerbatimChar"/>
        </w:rPr>
        <w:t xml:space="preserve">(6, 19)</w:t>
      </w:r>
    </w:p>
    <w:bookmarkStart w:id="74" w:name="T_c46d2"/>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chunk_id</w:t>
            </w:r>
          </w:p>
        </w:tc>
        <w:tc>
          <w:tcPr/>
          <w:p>
            <w:pPr>
              <w:pStyle w:val="Compact"/>
            </w:pPr>
            <w:r>
              <w:t xml:space="preserve">file_name</w:t>
            </w:r>
          </w:p>
        </w:tc>
        <w:tc>
          <w:tcPr/>
          <w:p>
            <w:pPr>
              <w:pStyle w:val="Compact"/>
            </w:pPr>
            <w:r>
              <w:t xml:space="preserve">file_path</w:t>
            </w:r>
          </w:p>
        </w:tc>
        <w:tc>
          <w:tcPr/>
          <w:p>
            <w:pPr>
              <w:pStyle w:val="Compact"/>
            </w:pPr>
            <w:r>
              <w:t xml:space="preserve">section_name</w:t>
            </w:r>
          </w:p>
        </w:tc>
        <w:tc>
          <w:tcPr/>
          <w:p>
            <w:pPr>
              <w:pStyle w:val="Compact"/>
            </w:pPr>
            <w:r>
              <w:t xml:space="preserve">start_sentence</w:t>
            </w:r>
          </w:p>
        </w:tc>
        <w:tc>
          <w:tcPr/>
          <w:p>
            <w:pPr>
              <w:pStyle w:val="Compact"/>
            </w:pPr>
            <w:r>
              <w:t xml:space="preserve">end_sentence</w:t>
            </w:r>
          </w:p>
        </w:tc>
        <w:tc>
          <w:tcPr/>
          <w:p>
            <w:pPr>
              <w:pStyle w:val="Compact"/>
            </w:pPr>
            <w:r>
              <w:t xml:space="preserve">n_sentences</w:t>
            </w:r>
          </w:p>
        </w:tc>
        <w:tc>
          <w:tcPr/>
          <w:p>
            <w:pPr>
              <w:pStyle w:val="Compact"/>
            </w:pPr>
            <w:r>
              <w:t xml:space="preserve">chunk_length_chars</w:t>
            </w:r>
          </w:p>
        </w:tc>
        <w:tc>
          <w:tcPr/>
          <w:p>
            <w:pPr>
              <w:pStyle w:val="Compact"/>
            </w:pPr>
            <w:r>
              <w:t xml:space="preserve">approx_token_count</w:t>
            </w:r>
          </w:p>
        </w:tc>
        <w:tc>
          <w:tcPr/>
          <w:p>
            <w:pPr>
              <w:pStyle w:val="Compact"/>
            </w:pPr>
            <w:r>
              <w:t xml:space="preserve">signal_type</w:t>
            </w:r>
          </w:p>
        </w:tc>
        <w:tc>
          <w:tcPr/>
          <w:p>
            <w:pPr>
              <w:pStyle w:val="Compact"/>
            </w:pPr>
            <w:r>
              <w:t xml:space="preserve">chunk_text</w:t>
            </w:r>
          </w:p>
        </w:tc>
        <w:tc>
          <w:tcPr/>
          <w:p>
            <w:pPr>
              <w:pStyle w:val="Compact"/>
            </w:pPr>
            <w:r>
              <w:t xml:space="preserve">has_signal</w:t>
            </w:r>
          </w:p>
        </w:tc>
        <w:tc>
          <w:tcPr/>
          <w:p>
            <w:pPr>
              <w:pStyle w:val="Compact"/>
            </w:pPr>
            <w:r>
              <w:t xml:space="preserve">core_matches</w:t>
            </w:r>
          </w:p>
        </w:tc>
        <w:tc>
          <w:tcPr/>
          <w:p>
            <w:pPr>
              <w:pStyle w:val="Compact"/>
            </w:pPr>
            <w:r>
              <w:t xml:space="preserve">support_matches</w:t>
            </w:r>
          </w:p>
        </w:tc>
        <w:tc>
          <w:tcPr/>
          <w:p>
            <w:pPr>
              <w:pStyle w:val="Compact"/>
            </w:pPr>
            <w:r>
              <w:t xml:space="preserve">exclude_matches</w:t>
            </w:r>
          </w:p>
        </w:tc>
        <w:tc>
          <w:tcPr/>
          <w:p>
            <w:pPr>
              <w:pStyle w:val="Compact"/>
            </w:pPr>
            <w:r>
              <w:t xml:space="preserve">n_core_matches</w:t>
            </w:r>
          </w:p>
        </w:tc>
        <w:tc>
          <w:tcPr/>
          <w:p>
            <w:pPr>
              <w:pStyle w:val="Compact"/>
            </w:pPr>
            <w:r>
              <w:t xml:space="preserve">n_support_matches</w:t>
            </w:r>
          </w:p>
        </w:tc>
        <w:tc>
          <w:tcPr/>
          <w:p>
            <w:pPr>
              <w:pStyle w:val="Compact"/>
            </w:pPr>
            <w:r>
              <w:t xml:space="preserve">n_exclude_matches</w:t>
            </w:r>
          </w:p>
        </w:tc>
        <w:tc>
          <w:tcPr/>
          <w:p>
            <w:pPr>
              <w:pStyle w:val="Compact"/>
            </w:pPr>
            <w:r>
              <w:t xml:space="preserve">signal_confidence</w:t>
            </w:r>
          </w:p>
        </w:tc>
      </w:tr>
      <w:tr>
        <w:tc>
          <w:tcPr/>
          <w:p>
            <w:pPr>
              <w:pStyle w:val="Compact"/>
            </w:pPr>
            <w:r>
              <w:t xml:space="preserve">20240105_10-K_edgar_data_1362703_0001493152-24-001515.html::item_1::c20</w:t>
            </w:r>
          </w:p>
        </w:tc>
        <w:tc>
          <w:tcPr/>
          <w:p>
            <w:pPr>
              <w:pStyle w:val="Compact"/>
            </w:pPr>
            <w:r>
              <w:t xml:space="preserve">20240105_10-K_edgar_data_1362703_0001493152-24-001515.html</w:t>
            </w:r>
          </w:p>
        </w:tc>
        <w:tc>
          <w:tcPr/>
          <w:p>
            <w:pPr>
              <w:pStyle w:val="Compact"/>
            </w:pPr>
            <w:r>
              <w:t xml:space="preserve">..\data\SEC-10K-2024-HTML\20240105_10-K_edgar_data_1362703_0001493152-24-001515.html</w:t>
            </w:r>
          </w:p>
        </w:tc>
        <w:tc>
          <w:tcPr/>
          <w:p>
            <w:pPr>
              <w:pStyle w:val="Compact"/>
            </w:pPr>
            <w:r>
              <w:t xml:space="preserve">item_1</w:t>
            </w:r>
          </w:p>
        </w:tc>
        <w:tc>
          <w:tcPr/>
          <w:p>
            <w:pPr>
              <w:pStyle w:val="Compact"/>
            </w:pPr>
            <w:r>
              <w:t xml:space="preserve">119</w:t>
            </w:r>
          </w:p>
        </w:tc>
        <w:tc>
          <w:tcPr/>
          <w:p>
            <w:pPr>
              <w:pStyle w:val="Compact"/>
            </w:pPr>
            <w:r>
              <w:t xml:space="preserve">123</w:t>
            </w:r>
          </w:p>
        </w:tc>
        <w:tc>
          <w:tcPr/>
          <w:p>
            <w:pPr>
              <w:pStyle w:val="Compact"/>
            </w:pPr>
            <w:r>
              <w:t xml:space="preserve">5</w:t>
            </w:r>
          </w:p>
        </w:tc>
        <w:tc>
          <w:tcPr/>
          <w:p>
            <w:pPr>
              <w:pStyle w:val="Compact"/>
            </w:pPr>
            <w:r>
              <w:t xml:space="preserve">1760</w:t>
            </w:r>
          </w:p>
        </w:tc>
        <w:tc>
          <w:tcPr/>
          <w:p>
            <w:pPr>
              <w:pStyle w:val="Compact"/>
            </w:pPr>
            <w:r>
              <w:t xml:space="preserve">276</w:t>
            </w:r>
          </w:p>
        </w:tc>
        <w:tc>
          <w:tcPr/>
          <w:p>
            <w:pPr>
              <w:pStyle w:val="Compact"/>
            </w:pPr>
            <w:r>
              <w:t xml:space="preserve">ai_investment</w:t>
            </w:r>
          </w:p>
        </w:tc>
        <w:tc>
          <w:tcPr/>
          <w:p>
            <w:pPr>
              <w:pStyle w:val="Compact"/>
            </w:pPr>
            <w:r>
              <w:t xml:space="preserve">These biomarkers and monitoring products may have the ability to provide biopharmaceutical companies and doctors with critical molecular-based knowledge to potentially make the best therapeutic decisions based on a patient’s unique, individual medical needs. Milestones In the next fiscal year, the Company intends to focus on completing key milestones to create value for both investors and the healthcare industry. These milestones include: ● Hiring additional lab techs and strategic sales consultants and deploying the expanded workforce to drive growth, revenue and meaningful patient results; ● Completion of outcomes studies with key NCCN (National Comprehensive Cancer Network) locations to drive adoption guidelines and payor coverage ● Completion of the selection process for members to sit on our Clinical and Scientific Advisory Boards; 8 ● Continuing to validate additional Theralink cancer biomarker technology under CAP/CLIA standards for a pan tumor assay to provide personalized medicine regarding treatment options for biopharmaceutical companies, clinical oncologists and their cancer patients; ● Continuing to partner with pharmaceutical companies to perform oncology-related data-generating testing services which may generate additional revenues and ● Upgrade manufacturing capabilities to prepare for the increase of patient samples ● Incorporate Artificial Intelligence to increase the efficiency of our assay ● Continuing to seek financing to grow the Company. Market Overview The Theralink technology focuses on the oncology discipline of molecular pathology. Within oncology, Theralink is developing tests related to breast cancer, gynecologic cancer, gastrointestinal (“GI”) cancer, non-small cell lung cancer and pancreatic cancer.</w:t>
            </w:r>
          </w:p>
        </w:tc>
        <w:tc>
          <w:tcPr/>
          <w:p>
            <w:pPr>
              <w:pStyle w:val="Compact"/>
            </w:pPr>
            <w:r>
              <w:t xml:space="preserve">True</w:t>
            </w:r>
          </w:p>
        </w:tc>
        <w:tc>
          <w:tcPr/>
          <w:p>
            <w:pPr>
              <w:pStyle w:val="Compact"/>
            </w:pPr>
            <w:r>
              <w:t xml:space="preserve">['artificial intelligence']</w:t>
            </w:r>
          </w:p>
        </w:tc>
        <w:tc>
          <w:tcPr/>
          <w:p>
            <w:pPr>
              <w:pStyle w:val="Compact"/>
            </w:pPr>
            <w:r>
              <w:t xml:space="preserve">[]</w:t>
            </w:r>
          </w:p>
        </w:tc>
        <w:tc>
          <w:tcPr/>
          <w:p>
            <w:pPr>
              <w:pStyle w:val="Compact"/>
            </w:pPr>
            <w:r>
              <w:t xml:space="preserve">[]</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low</w:t>
            </w:r>
          </w:p>
        </w:tc>
      </w:tr>
      <w:tr>
        <w:tc>
          <w:tcPr/>
          <w:p>
            <w:pPr>
              <w:pStyle w:val="Compact"/>
            </w:pPr>
            <w:r>
              <w:t xml:space="preserve">20240105_10-K_edgar_data_1362703_0001493152-24-001515.html::item_1::c37</w:t>
            </w:r>
          </w:p>
        </w:tc>
        <w:tc>
          <w:tcPr/>
          <w:p>
            <w:pPr>
              <w:pStyle w:val="Compact"/>
            </w:pPr>
            <w:r>
              <w:t xml:space="preserve">20240105_10-K_edgar_data_1362703_0001493152-24-001515.html</w:t>
            </w:r>
          </w:p>
        </w:tc>
        <w:tc>
          <w:tcPr/>
          <w:p>
            <w:pPr>
              <w:pStyle w:val="Compact"/>
            </w:pPr>
            <w:r>
              <w:t xml:space="preserve">..\data\SEC-10K-2024-HTML\20240105_10-K_edgar_data_1362703_0001493152-24-001515.html</w:t>
            </w:r>
          </w:p>
        </w:tc>
        <w:tc>
          <w:tcPr/>
          <w:p>
            <w:pPr>
              <w:pStyle w:val="Compact"/>
            </w:pPr>
            <w:r>
              <w:t xml:space="preserve">item_1</w:t>
            </w:r>
          </w:p>
        </w:tc>
        <w:tc>
          <w:tcPr/>
          <w:p>
            <w:pPr>
              <w:pStyle w:val="Compact"/>
            </w:pPr>
            <w:r>
              <w:t xml:space="preserve">196</w:t>
            </w:r>
          </w:p>
        </w:tc>
        <w:tc>
          <w:tcPr/>
          <w:p>
            <w:pPr>
              <w:pStyle w:val="Compact"/>
            </w:pPr>
            <w:r>
              <w:t xml:space="preserve">203</w:t>
            </w:r>
          </w:p>
        </w:tc>
        <w:tc>
          <w:tcPr/>
          <w:p>
            <w:pPr>
              <w:pStyle w:val="Compact"/>
            </w:pPr>
            <w:r>
              <w:t xml:space="preserve">8</w:t>
            </w:r>
          </w:p>
        </w:tc>
        <w:tc>
          <w:tcPr/>
          <w:p>
            <w:pPr>
              <w:pStyle w:val="Compact"/>
            </w:pPr>
            <w:r>
              <w:t xml:space="preserve">1858</w:t>
            </w:r>
          </w:p>
        </w:tc>
        <w:tc>
          <w:tcPr/>
          <w:p>
            <w:pPr>
              <w:pStyle w:val="Compact"/>
            </w:pPr>
            <w:r>
              <w:t xml:space="preserve">294</w:t>
            </w:r>
          </w:p>
        </w:tc>
        <w:tc>
          <w:tcPr/>
          <w:p>
            <w:pPr>
              <w:pStyle w:val="Compact"/>
            </w:pPr>
            <w:r>
              <w:t xml:space="preserve">ai_investment</w:t>
            </w:r>
          </w:p>
        </w:tc>
        <w:tc>
          <w:tcPr/>
          <w:p>
            <w:pPr>
              <w:pStyle w:val="Compact"/>
            </w:pPr>
            <w:r>
              <w:t xml:space="preserve">Management accomplished this objective with the successful initial launch of Theralink in 2021. We plan to continue adoption as a differentiated technology in the personalized healthcare marketplace by leveraging the strong support of the many key opinion leaders and users of the pilot platform. Our flagship product for our commercial strategy, will focus on precision health screening for oncologists. The key ingredients to our commercial success will be: ● A proprietary technology that provides a credible point of entry to a well-defined medical market; ● Comprehensive protocols for cancer biomarkers positioned for seamless integration to established standards of care for oncologist treatment regimens; ● Eventually, a data friendly format and HIPPA compliance for ease of integration to monitoring systems and artificial intelligence (AI) modalities for oncologist teams to track precision medicine and monitor patient treatment outcomes. Proprietary Technology for credible commercial point of entry We believe that our focused technologies are of particular value to oncologist teams developing molecular targeted and/or combination therapies because of our ability to make very small and precise measurements in the cellular microenvironment. The platforms are based on assessing protein activation status (via post-translational modifications such as phosphorylation, methylation, cleavage, etc.) of drug targets and receptors, their downstream signal transduction pathways, and potential compensatory or adaptive mechanisms within targeted cell populations. These commercial collaborations are critically important as they may establish our Company’s platform as a “must have” in specific cancers (e.g., breast cancer management), where precise and targeted chemotherapy and immunotherapies can make a dramatic difference in patient outcomes.</w:t>
            </w:r>
          </w:p>
        </w:tc>
        <w:tc>
          <w:tcPr/>
          <w:p>
            <w:pPr>
              <w:pStyle w:val="Compact"/>
            </w:pPr>
            <w:r>
              <w:t xml:space="preserve">True</w:t>
            </w:r>
          </w:p>
        </w:tc>
        <w:tc>
          <w:tcPr/>
          <w:p>
            <w:pPr>
              <w:pStyle w:val="Compact"/>
            </w:pPr>
            <w:r>
              <w:t xml:space="preserve">['artificial intelligence']</w:t>
            </w:r>
          </w:p>
        </w:tc>
        <w:tc>
          <w:tcPr/>
          <w:p>
            <w:pPr>
              <w:pStyle w:val="Compact"/>
            </w:pPr>
            <w:r>
              <w:t xml:space="preserve">['platform']</w:t>
            </w:r>
          </w:p>
        </w:tc>
        <w:tc>
          <w:tcPr/>
          <w:p>
            <w:pPr>
              <w:pStyle w:val="Compact"/>
            </w:pPr>
            <w:r>
              <w:t xml:space="preserv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medium</w:t>
            </w:r>
          </w:p>
        </w:tc>
      </w:tr>
      <w:tr>
        <w:tc>
          <w:tcPr/>
          <w:p>
            <w:pPr>
              <w:pStyle w:val="Compact"/>
            </w:pPr>
            <w:r>
              <w:t xml:space="preserve">20240116_10-K_edgar_data_1492617_0001493152-24-002454.html::item_1::c29</w:t>
            </w:r>
          </w:p>
        </w:tc>
        <w:tc>
          <w:tcPr/>
          <w:p>
            <w:pPr>
              <w:pStyle w:val="Compact"/>
            </w:pPr>
            <w:r>
              <w:t xml:space="preserve">20240116_10-K_edgar_data_1492617_0001493152-24-002454.html</w:t>
            </w:r>
          </w:p>
        </w:tc>
        <w:tc>
          <w:tcPr/>
          <w:p>
            <w:pPr>
              <w:pStyle w:val="Compact"/>
            </w:pPr>
            <w:r>
              <w:t xml:space="preserve">..\data\SEC-10K-2024-HTML\20240116_10-K_edgar_data_1492617_0001493152-24-002454.html</w:t>
            </w:r>
          </w:p>
        </w:tc>
        <w:tc>
          <w:tcPr/>
          <w:p>
            <w:pPr>
              <w:pStyle w:val="Compact"/>
            </w:pPr>
            <w:r>
              <w:t xml:space="preserve">item_1</w:t>
            </w:r>
          </w:p>
        </w:tc>
        <w:tc>
          <w:tcPr/>
          <w:p>
            <w:pPr>
              <w:pStyle w:val="Compact"/>
            </w:pPr>
            <w:r>
              <w:t xml:space="preserve">144</w:t>
            </w:r>
          </w:p>
        </w:tc>
        <w:tc>
          <w:tcPr/>
          <w:p>
            <w:pPr>
              <w:pStyle w:val="Compact"/>
            </w:pPr>
            <w:r>
              <w:t xml:space="preserve">150</w:t>
            </w:r>
          </w:p>
        </w:tc>
        <w:tc>
          <w:tcPr/>
          <w:p>
            <w:pPr>
              <w:pStyle w:val="Compact"/>
            </w:pPr>
            <w:r>
              <w:t xml:space="preserve">7</w:t>
            </w:r>
          </w:p>
        </w:tc>
        <w:tc>
          <w:tcPr/>
          <w:p>
            <w:pPr>
              <w:pStyle w:val="Compact"/>
            </w:pPr>
            <w:r>
              <w:t xml:space="preserve">1576</w:t>
            </w:r>
          </w:p>
        </w:tc>
        <w:tc>
          <w:tcPr/>
          <w:p>
            <w:pPr>
              <w:pStyle w:val="Compact"/>
            </w:pPr>
            <w:r>
              <w:t xml:space="preserve">259</w:t>
            </w:r>
          </w:p>
        </w:tc>
        <w:tc>
          <w:tcPr/>
          <w:p>
            <w:pPr>
              <w:pStyle w:val="Compact"/>
            </w:pPr>
            <w:r>
              <w:t xml:space="preserve">ai_investment</w:t>
            </w:r>
          </w:p>
        </w:tc>
        <w:tc>
          <w:tcPr/>
          <w:p>
            <w:pPr>
              <w:pStyle w:val="Compact"/>
            </w:pPr>
            <w:r>
              <w:t xml:space="preserve">We believe that several factors are driving the market expansion of the IoT industry: ● Increasing adoption of smart devices: The increasing adoption of smart devices, such as smartphones, smartwatches, and smart home devices, drives the demand for IoT solutions because these devices rely on IoT technology to connect and communicate. ● Growing demand for automation and digitization: Companies are increasingly adopting automation and digitization to improve efficiency, reduce costs, and provide better customer experiences. IoT technology can enable automation and digitization by providing real-time data and insights. ● Increasing focus on sustainability: Companies increasingly focus on sustainability and environmental responsibility, driving demand for IoT solutions that can help reduce energy consumption, minimize waste, and optimize resource utilization. ● Advancements in technology: Advancements in technology, such as 5G networks, artificial intelligence, and machine learning, enable the development of more sophisticated IoT solutions that can provide more value to customers. The emergence of new use cases and applications: IoT technology is being applied to new use cases and applications, such as smart cities, connected cars, and industrial IoT, which drive demand for IoT solutions. Future Prospects of IoT Market We believe that the promise of IoT will be realized through the development of cloud-enabled intelligent devices and systems that contribute critical data, facilitate distributed control and decision-making, and operate securely at scale.</w:t>
            </w:r>
          </w:p>
        </w:tc>
        <w:tc>
          <w:tcPr/>
          <w:p>
            <w:pPr>
              <w:pStyle w:val="Compact"/>
            </w:pPr>
            <w:r>
              <w:t xml:space="preserve">True</w:t>
            </w:r>
          </w:p>
        </w:tc>
        <w:tc>
          <w:tcPr/>
          <w:p>
            <w:pPr>
              <w:pStyle w:val="Compact"/>
            </w:pPr>
            <w:r>
              <w:t xml:space="preserve">['artificial intelligence', 'machine learning']</w:t>
            </w:r>
          </w:p>
        </w:tc>
        <w:tc>
          <w:tcPr/>
          <w:p>
            <w:pPr>
              <w:pStyle w:val="Compact"/>
            </w:pPr>
            <w:r>
              <w:t xml:space="preserve">['development', 'cloud']</w:t>
            </w:r>
          </w:p>
        </w:tc>
        <w:tc>
          <w:tcPr/>
          <w:p>
            <w:pPr>
              <w:pStyle w:val="Compact"/>
            </w:pPr>
            <w:r>
              <w:t xml:space="preserve">[]</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high</w:t>
            </w:r>
          </w:p>
        </w:tc>
      </w:tr>
      <w:tr>
        <w:tc>
          <w:tcPr/>
          <w:p>
            <w:pPr>
              <w:pStyle w:val="Compact"/>
            </w:pPr>
            <w:r>
              <w:t xml:space="preserve">20240116_10-K_edgar_data_1492617_0001493152-24-002454.html::item_1::c30</w:t>
            </w:r>
          </w:p>
        </w:tc>
        <w:tc>
          <w:tcPr/>
          <w:p>
            <w:pPr>
              <w:pStyle w:val="Compact"/>
            </w:pPr>
            <w:r>
              <w:t xml:space="preserve">20240116_10-K_edgar_data_1492617_0001493152-24-002454.html</w:t>
            </w:r>
          </w:p>
        </w:tc>
        <w:tc>
          <w:tcPr/>
          <w:p>
            <w:pPr>
              <w:pStyle w:val="Compact"/>
            </w:pPr>
            <w:r>
              <w:t xml:space="preserve">..\data\SEC-10K-2024-HTML\20240116_10-K_edgar_data_1492617_0001493152-24-002454.html</w:t>
            </w:r>
          </w:p>
        </w:tc>
        <w:tc>
          <w:tcPr/>
          <w:p>
            <w:pPr>
              <w:pStyle w:val="Compact"/>
            </w:pPr>
            <w:r>
              <w:t xml:space="preserve">item_1</w:t>
            </w:r>
          </w:p>
        </w:tc>
        <w:tc>
          <w:tcPr/>
          <w:p>
            <w:pPr>
              <w:pStyle w:val="Compact"/>
            </w:pPr>
            <w:r>
              <w:t xml:space="preserve">149</w:t>
            </w:r>
          </w:p>
        </w:tc>
        <w:tc>
          <w:tcPr/>
          <w:p>
            <w:pPr>
              <w:pStyle w:val="Compact"/>
            </w:pPr>
            <w:r>
              <w:t xml:space="preserve">156</w:t>
            </w:r>
          </w:p>
        </w:tc>
        <w:tc>
          <w:tcPr/>
          <w:p>
            <w:pPr>
              <w:pStyle w:val="Compact"/>
            </w:pPr>
            <w:r>
              <w:t xml:space="preserve">8</w:t>
            </w:r>
          </w:p>
        </w:tc>
        <w:tc>
          <w:tcPr/>
          <w:p>
            <w:pPr>
              <w:pStyle w:val="Compact"/>
            </w:pPr>
            <w:r>
              <w:t xml:space="preserve">1664</w:t>
            </w:r>
          </w:p>
        </w:tc>
        <w:tc>
          <w:tcPr/>
          <w:p>
            <w:pPr>
              <w:pStyle w:val="Compact"/>
            </w:pPr>
            <w:r>
              <w:t xml:space="preserve">282</w:t>
            </w:r>
          </w:p>
        </w:tc>
        <w:tc>
          <w:tcPr/>
          <w:p>
            <w:pPr>
              <w:pStyle w:val="Compact"/>
            </w:pPr>
            <w:r>
              <w:t xml:space="preserve">ai_investment</w:t>
            </w:r>
          </w:p>
        </w:tc>
        <w:tc>
          <w:tcPr/>
          <w:p>
            <w:pPr>
              <w:pStyle w:val="Compact"/>
            </w:pPr>
            <w:r>
              <w:t xml:space="preserve">The emergence of new use cases and applications: IoT technology is being applied to new use cases and applications, such as smart cities, connected cars, and industrial IoT, which drive demand for IoT solutions. Future Prospects of IoT Market We believe that the promise of IoT will be realized through the development of cloud-enabled intelligent devices and systems that contribute critical data, facilitate distributed control and decision-making, and operate securely at scale. The opportunity to help clients transform their businesses and operations through these intelligent systems is enormous. We believe that the Company, through our subsidiary QBS System, offers a combination of expertise in device-level solutions, embedded operating systems, and IoT software and services. Since its founding in 2011, QBS System has sought to design products which operate at the intersection of hardware and software. Today, we believe that intersection is the “edge” where cloud-enabled devices connect to create intelligent systems that share data, facilitate distributed control and machine learning, and operate securely at scale. In addition, we believe environmental, social, and governance (“ ESG ”) considerations have become increasingly important in recent years, as companies are expected to focus on financial performance and their impact on society and the environment. Through our subsidiary QBS System, we can provide solutions that are particularly relevant to ESG: ● Environmental Sustainability: we believe that we can contribute to environmental sustainability by developing products and services that reduce energy consumption and minimize waste.</w:t>
            </w:r>
          </w:p>
        </w:tc>
        <w:tc>
          <w:tcPr/>
          <w:p>
            <w:pPr>
              <w:pStyle w:val="Compact"/>
            </w:pPr>
            <w:r>
              <w:t xml:space="preserve">True</w:t>
            </w:r>
          </w:p>
        </w:tc>
        <w:tc>
          <w:tcPr/>
          <w:p>
            <w:pPr>
              <w:pStyle w:val="Compact"/>
            </w:pPr>
            <w:r>
              <w:t xml:space="preserve">['machine learning']</w:t>
            </w:r>
          </w:p>
        </w:tc>
        <w:tc>
          <w:tcPr/>
          <w:p>
            <w:pPr>
              <w:pStyle w:val="Compact"/>
            </w:pPr>
            <w:r>
              <w:t xml:space="preserve">['development', 'cloud']</w:t>
            </w:r>
          </w:p>
        </w:tc>
        <w:tc>
          <w:tcPr/>
          <w:p>
            <w:pPr>
              <w:pStyle w:val="Compact"/>
            </w:pPr>
            <w:r>
              <w:t xml:space="preserve">[]</w:t>
            </w:r>
          </w:p>
        </w:tc>
        <w:tc>
          <w:tcPr/>
          <w:p>
            <w:pPr>
              <w:pStyle w:val="Compact"/>
            </w:pPr>
            <w:r>
              <w:t xml:space="preserve">1</w:t>
            </w:r>
          </w:p>
        </w:tc>
        <w:tc>
          <w:tcPr/>
          <w:p>
            <w:pPr>
              <w:pStyle w:val="Compact"/>
            </w:pPr>
            <w:r>
              <w:t xml:space="preserve">2</w:t>
            </w:r>
          </w:p>
        </w:tc>
        <w:tc>
          <w:tcPr/>
          <w:p>
            <w:pPr>
              <w:pStyle w:val="Compact"/>
            </w:pPr>
            <w:r>
              <w:t xml:space="preserve">0</w:t>
            </w:r>
          </w:p>
        </w:tc>
        <w:tc>
          <w:tcPr/>
          <w:p>
            <w:pPr>
              <w:pStyle w:val="Compact"/>
            </w:pPr>
            <w:r>
              <w:t xml:space="preserve">high</w:t>
            </w:r>
          </w:p>
        </w:tc>
      </w:tr>
      <w:tr>
        <w:tc>
          <w:tcPr/>
          <w:p>
            <w:pPr>
              <w:pStyle w:val="Compact"/>
            </w:pPr>
            <w:r>
              <w:t xml:space="preserve">20240116_10-K_edgar_data_1492617_0001493152-24-002454.html::item_1::c31</w:t>
            </w:r>
          </w:p>
        </w:tc>
        <w:tc>
          <w:tcPr/>
          <w:p>
            <w:pPr>
              <w:pStyle w:val="Compact"/>
            </w:pPr>
            <w:r>
              <w:t xml:space="preserve">20240116_10-K_edgar_data_1492617_0001493152-24-002454.html</w:t>
            </w:r>
          </w:p>
        </w:tc>
        <w:tc>
          <w:tcPr/>
          <w:p>
            <w:pPr>
              <w:pStyle w:val="Compact"/>
            </w:pPr>
            <w:r>
              <w:t xml:space="preserve">..\data\SEC-10K-2024-HTML\20240116_10-K_edgar_data_1492617_0001493152-24-002454.html</w:t>
            </w:r>
          </w:p>
        </w:tc>
        <w:tc>
          <w:tcPr/>
          <w:p>
            <w:pPr>
              <w:pStyle w:val="Compact"/>
            </w:pPr>
            <w:r>
              <w:t xml:space="preserve">item_1</w:t>
            </w:r>
          </w:p>
        </w:tc>
        <w:tc>
          <w:tcPr/>
          <w:p>
            <w:pPr>
              <w:pStyle w:val="Compact"/>
            </w:pPr>
            <w:r>
              <w:t xml:space="preserve">155</w:t>
            </w:r>
          </w:p>
        </w:tc>
        <w:tc>
          <w:tcPr/>
          <w:p>
            <w:pPr>
              <w:pStyle w:val="Compact"/>
            </w:pPr>
            <w:r>
              <w:t xml:space="preserve">163</w:t>
            </w:r>
          </w:p>
        </w:tc>
        <w:tc>
          <w:tcPr/>
          <w:p>
            <w:pPr>
              <w:pStyle w:val="Compact"/>
            </w:pPr>
            <w:r>
              <w:t xml:space="preserve">9</w:t>
            </w:r>
          </w:p>
        </w:tc>
        <w:tc>
          <w:tcPr/>
          <w:p>
            <w:pPr>
              <w:pStyle w:val="Compact"/>
            </w:pPr>
            <w:r>
              <w:t xml:space="preserve">1542</w:t>
            </w:r>
          </w:p>
        </w:tc>
        <w:tc>
          <w:tcPr/>
          <w:p>
            <w:pPr>
              <w:pStyle w:val="Compact"/>
            </w:pPr>
            <w:r>
              <w:t xml:space="preserve">253</w:t>
            </w:r>
          </w:p>
        </w:tc>
        <w:tc>
          <w:tcPr/>
          <w:p>
            <w:pPr>
              <w:pStyle w:val="Compact"/>
            </w:pPr>
            <w:r>
              <w:t xml:space="preserve">ai_investment</w:t>
            </w:r>
          </w:p>
        </w:tc>
        <w:tc>
          <w:tcPr/>
          <w:p>
            <w:pPr>
              <w:pStyle w:val="Compact"/>
            </w:pPr>
            <w:r>
              <w:t xml:space="preserve">In addition, we believe environmental, social, and governance (“ ESG ”) considerations have become increasingly important in recent years, as companies are expected to focus on financial performance and their impact on society and the environment. Through our subsidiary QBS System, we can provide solutions that are particularly relevant to ESG: ● Environmental Sustainability: we believe that we can contribute to environmental sustainability by developing products and services that reduce energy consumption and minimize waste. For example, IoT sensors are intended to optimize energy usage in buildings, reducing the carbon footprint and improving efficiency. ● Social Responsibility: we believe that we can demonstrate social responsibility by ensuring that our products and services are accessible to all, including marginalized communities. Additionally, we believe that they can address issues such as data privacy, security, and ethical concerns related to the use of customer data. ● Governance: Good governance practices are crucial for QBS System to build trust with customers, investors, and regulators. Governance includes transparent reporting on ESG performance, accountability for actions, and responsible management of risks. - 10 - Furthermore, the convergence of IoT and Artificial Intelligence (“ AI ”) is a significant trend that can potentially transform many industries. Combining these two technologies can enable more intelligent and autonomous systems, leading to greater efficiencies and improved decision-making.</w:t>
            </w:r>
          </w:p>
        </w:tc>
        <w:tc>
          <w:tcPr/>
          <w:p>
            <w:pPr>
              <w:pStyle w:val="Compact"/>
            </w:pPr>
            <w:r>
              <w:t xml:space="preserve">True</w:t>
            </w:r>
          </w:p>
        </w:tc>
        <w:tc>
          <w:tcPr/>
          <w:p>
            <w:pPr>
              <w:pStyle w:val="Compact"/>
            </w:pPr>
            <w:r>
              <w:t xml:space="preserve">['artificial intelligence']</w:t>
            </w:r>
          </w:p>
        </w:tc>
        <w:tc>
          <w:tcPr/>
          <w:p>
            <w:pPr>
              <w:pStyle w:val="Compact"/>
            </w:pPr>
            <w:r>
              <w:t xml:space="preserve">[]</w:t>
            </w:r>
          </w:p>
        </w:tc>
        <w:tc>
          <w:tcPr/>
          <w:p>
            <w:pPr>
              <w:pStyle w:val="Compact"/>
            </w:pPr>
            <w:r>
              <w:t xml:space="preserve">[]</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low</w:t>
            </w:r>
          </w:p>
        </w:tc>
      </w:tr>
    </w:tbl>
    <w:bookmarkEnd w:id="74"/>
    <w:bookmarkEnd w:id="75"/>
    <w:bookmarkStart w:id="80" w:name="inspect-extraction-quality"/>
    <w:p>
      <w:pPr>
        <w:pStyle w:val="Heading2"/>
      </w:pPr>
      <w:r>
        <w:t xml:space="preserve">8.11 Inspect extraction quality</w:t>
      </w:r>
    </w:p>
    <w:bookmarkStart w:id="76" w:name="count-by-confidence"/>
    <w:p>
      <w:pPr>
        <w:pStyle w:val="Heading3"/>
      </w:pPr>
      <w:r>
        <w:t xml:space="preserve">8.11.1 Count by confidence</w:t>
      </w:r>
    </w:p>
    <w:p>
      <w:pPr>
        <w:pStyle w:val="SourceCode"/>
      </w:pPr>
      <w:r>
        <w:rPr>
          <w:rStyle w:val="NormalTok"/>
        </w:rPr>
        <w:t xml:space="preserve">df_signal_candidates[</w:t>
      </w:r>
      <w:r>
        <w:rPr>
          <w:rStyle w:val="StringTok"/>
        </w:rPr>
        <w:t xml:space="preserve">"signal_confidence"</w:t>
      </w:r>
      <w:r>
        <w:rPr>
          <w:rStyle w:val="NormalTok"/>
        </w:rPr>
        <w:t xml:space="preserve">].value_counts(dropna</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signal_confidence</w:t>
      </w:r>
      <w:r>
        <w:br/>
      </w:r>
      <w:r>
        <w:rPr>
          <w:rStyle w:val="VerbatimChar"/>
        </w:rPr>
        <w:t xml:space="preserve">low       3</w:t>
      </w:r>
      <w:r>
        <w:br/>
      </w:r>
      <w:r>
        <w:rPr>
          <w:rStyle w:val="VerbatimChar"/>
        </w:rPr>
        <w:t xml:space="preserve">high      2</w:t>
      </w:r>
      <w:r>
        <w:br/>
      </w:r>
      <w:r>
        <w:rPr>
          <w:rStyle w:val="VerbatimChar"/>
        </w:rPr>
        <w:t xml:space="preserve">medium    1</w:t>
      </w:r>
      <w:r>
        <w:br/>
      </w:r>
      <w:r>
        <w:rPr>
          <w:rStyle w:val="VerbatimChar"/>
        </w:rPr>
        <w:t xml:space="preserve">Name: count, dtype: int64</w:t>
      </w:r>
    </w:p>
    <w:bookmarkEnd w:id="76"/>
    <w:bookmarkStart w:id="77" w:name="count-by-section"/>
    <w:p>
      <w:pPr>
        <w:pStyle w:val="Heading3"/>
      </w:pPr>
      <w:r>
        <w:t xml:space="preserve">8.11.2 Count by section</w:t>
      </w:r>
    </w:p>
    <w:p>
      <w:pPr>
        <w:pStyle w:val="SourceCode"/>
      </w:pPr>
      <w:r>
        <w:rPr>
          <w:rStyle w:val="NormalTok"/>
        </w:rPr>
        <w:t xml:space="preserve">df_signal_candidates[</w:t>
      </w:r>
      <w:r>
        <w:rPr>
          <w:rStyle w:val="StringTok"/>
        </w:rPr>
        <w:t xml:space="preserve">"section_name"</w:t>
      </w:r>
      <w:r>
        <w:rPr>
          <w:rStyle w:val="NormalTok"/>
        </w:rPr>
        <w:t xml:space="preserve">].value_counts(dropna</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section_name</w:t>
      </w:r>
      <w:r>
        <w:br/>
      </w:r>
      <w:r>
        <w:rPr>
          <w:rStyle w:val="VerbatimChar"/>
        </w:rPr>
        <w:t xml:space="preserve">item_1    6</w:t>
      </w:r>
      <w:r>
        <w:br/>
      </w:r>
      <w:r>
        <w:rPr>
          <w:rStyle w:val="VerbatimChar"/>
        </w:rPr>
        <w:t xml:space="preserve">Name: count, dtype: int64</w:t>
      </w:r>
    </w:p>
    <w:bookmarkEnd w:id="77"/>
    <w:bookmarkStart w:id="79" w:name="sample-extracted-chunks"/>
    <w:p>
      <w:pPr>
        <w:pStyle w:val="Heading3"/>
      </w:pPr>
      <w:r>
        <w:t xml:space="preserve">8.11.3 Sample extracted chunks</w:t>
      </w:r>
    </w:p>
    <w:p>
      <w:pPr>
        <w:pStyle w:val="SourceCode"/>
      </w:pPr>
      <w:r>
        <w:rPr>
          <w:rStyle w:val="NormalTok"/>
        </w:rPr>
        <w:t xml:space="preserve">df_signal_candidates.sample(</w:t>
      </w:r>
      <w:r>
        <w:br/>
      </w:r>
      <w:r>
        <w:rPr>
          <w:rStyle w:val="NormalTok"/>
        </w:rPr>
        <w:t xml:space="preserve">    n</w:t>
      </w:r>
      <w:r>
        <w:rPr>
          <w:rStyle w:val="OperatorTok"/>
        </w:rPr>
        <w:t xml:space="preserve">=</w:t>
      </w:r>
      <w:r>
        <w:rPr>
          <w:rStyle w:val="BuiltInTok"/>
        </w:rPr>
        <w:t xml:space="preserve">min</w:t>
      </w:r>
      <w:r>
        <w:rPr>
          <w:rStyle w:val="NormalTok"/>
        </w:rPr>
        <w:t xml:space="preserve">(</w:t>
      </w:r>
      <w:r>
        <w:rPr>
          <w:rStyle w:val="DecValTok"/>
        </w:rPr>
        <w:t xml:space="preserve">10</w:t>
      </w:r>
      <w:r>
        <w:rPr>
          <w:rStyle w:val="NormalTok"/>
        </w:rPr>
        <w:t xml:space="preserve">, </w:t>
      </w:r>
      <w:r>
        <w:rPr>
          <w:rStyle w:val="BuiltInTok"/>
        </w:rPr>
        <w:t xml:space="preserve">len</w:t>
      </w:r>
      <w:r>
        <w:rPr>
          <w:rStyle w:val="NormalTok"/>
        </w:rPr>
        <w:t xml:space="preserve">(df_signal_candidates)),</w:t>
      </w:r>
      <w:r>
        <w:br/>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rPr>
          <w:rStyle w:val="NormalTok"/>
        </w:rPr>
        <w:t xml:space="preserve">    </w:t>
      </w:r>
      <w:r>
        <w:rPr>
          <w:rStyle w:val="StringTok"/>
        </w:rPr>
        <w:t xml:space="preserve">"chunk_id"</w:t>
      </w:r>
      <w:r>
        <w:rPr>
          <w:rStyle w:val="NormalTok"/>
        </w:rPr>
        <w:t xml:space="preserve">,</w:t>
      </w:r>
      <w:r>
        <w:br/>
      </w:r>
      <w:r>
        <w:rPr>
          <w:rStyle w:val="NormalTok"/>
        </w:rPr>
        <w:t xml:space="preserve">    </w:t>
      </w:r>
      <w:r>
        <w:rPr>
          <w:rStyle w:val="StringTok"/>
        </w:rPr>
        <w:t xml:space="preserve">"file_name"</w:t>
      </w:r>
      <w:r>
        <w:rPr>
          <w:rStyle w:val="NormalTok"/>
        </w:rPr>
        <w:t xml:space="preserve">,</w:t>
      </w:r>
      <w:r>
        <w:br/>
      </w:r>
      <w:r>
        <w:rPr>
          <w:rStyle w:val="NormalTok"/>
        </w:rPr>
        <w:t xml:space="preserve">    </w:t>
      </w:r>
      <w:r>
        <w:rPr>
          <w:rStyle w:val="StringTok"/>
        </w:rPr>
        <w:t xml:space="preserve">"section_name"</w:t>
      </w:r>
      <w:r>
        <w:rPr>
          <w:rStyle w:val="NormalTok"/>
        </w:rPr>
        <w:t xml:space="preserve">,</w:t>
      </w:r>
      <w:r>
        <w:br/>
      </w:r>
      <w:r>
        <w:rPr>
          <w:rStyle w:val="NormalTok"/>
        </w:rPr>
        <w:t xml:space="preserve">    </w:t>
      </w:r>
      <w:r>
        <w:rPr>
          <w:rStyle w:val="StringTok"/>
        </w:rPr>
        <w:t xml:space="preserve">"signal_confidence"</w:t>
      </w:r>
      <w:r>
        <w:rPr>
          <w:rStyle w:val="NormalTok"/>
        </w:rPr>
        <w:t xml:space="preserve">,</w:t>
      </w:r>
      <w:r>
        <w:br/>
      </w:r>
      <w:r>
        <w:rPr>
          <w:rStyle w:val="NormalTok"/>
        </w:rPr>
        <w:t xml:space="preserve">    </w:t>
      </w:r>
      <w:r>
        <w:rPr>
          <w:rStyle w:val="StringTok"/>
        </w:rPr>
        <w:t xml:space="preserve">"core_matches"</w:t>
      </w:r>
      <w:r>
        <w:rPr>
          <w:rStyle w:val="NormalTok"/>
        </w:rPr>
        <w:t xml:space="preserve">,</w:t>
      </w:r>
      <w:r>
        <w:br/>
      </w:r>
      <w:r>
        <w:rPr>
          <w:rStyle w:val="NormalTok"/>
        </w:rPr>
        <w:t xml:space="preserve">    </w:t>
      </w:r>
      <w:r>
        <w:rPr>
          <w:rStyle w:val="StringTok"/>
        </w:rPr>
        <w:t xml:space="preserve">"support_matches"</w:t>
      </w:r>
      <w:r>
        <w:rPr>
          <w:rStyle w:val="NormalTok"/>
        </w:rPr>
        <w:t xml:space="preserve">,</w:t>
      </w:r>
      <w:r>
        <w:br/>
      </w:r>
      <w:r>
        <w:rPr>
          <w:rStyle w:val="NormalTok"/>
        </w:rPr>
        <w:t xml:space="preserve">    </w:t>
      </w:r>
      <w:r>
        <w:rPr>
          <w:rStyle w:val="StringTok"/>
        </w:rPr>
        <w:t xml:space="preserve">"chunk_text"</w:t>
      </w:r>
      <w:r>
        <w:br/>
      </w:r>
      <w:r>
        <w:rPr>
          <w:rStyle w:val="NormalTok"/>
        </w:rPr>
        <w:t xml:space="preserve">]].style.hide(axis</w:t>
      </w:r>
      <w:r>
        <w:rPr>
          <w:rStyle w:val="OperatorTok"/>
        </w:rPr>
        <w:t xml:space="preserve">=</w:t>
      </w:r>
      <w:r>
        <w:rPr>
          <w:rStyle w:val="StringTok"/>
        </w:rPr>
        <w:t xml:space="preserve">"index"</w:t>
      </w:r>
      <w:r>
        <w:rPr>
          <w:rStyle w:val="NormalTok"/>
        </w:rPr>
        <w:t xml:space="preserve">)</w:t>
      </w:r>
    </w:p>
    <w:bookmarkStart w:id="78" w:name="T_cded7"/>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chunk_id</w:t>
            </w:r>
          </w:p>
        </w:tc>
        <w:tc>
          <w:tcPr/>
          <w:p>
            <w:pPr>
              <w:pStyle w:val="Compact"/>
            </w:pPr>
            <w:r>
              <w:t xml:space="preserve">file_name</w:t>
            </w:r>
          </w:p>
        </w:tc>
        <w:tc>
          <w:tcPr/>
          <w:p>
            <w:pPr>
              <w:pStyle w:val="Compact"/>
            </w:pPr>
            <w:r>
              <w:t xml:space="preserve">section_name</w:t>
            </w:r>
          </w:p>
        </w:tc>
        <w:tc>
          <w:tcPr/>
          <w:p>
            <w:pPr>
              <w:pStyle w:val="Compact"/>
            </w:pPr>
            <w:r>
              <w:t xml:space="preserve">signal_confidence</w:t>
            </w:r>
          </w:p>
        </w:tc>
        <w:tc>
          <w:tcPr/>
          <w:p>
            <w:pPr>
              <w:pStyle w:val="Compact"/>
            </w:pPr>
            <w:r>
              <w:t xml:space="preserve">core_matches</w:t>
            </w:r>
          </w:p>
        </w:tc>
        <w:tc>
          <w:tcPr/>
          <w:p>
            <w:pPr>
              <w:pStyle w:val="Compact"/>
            </w:pPr>
            <w:r>
              <w:t xml:space="preserve">support_matches</w:t>
            </w:r>
          </w:p>
        </w:tc>
        <w:tc>
          <w:tcPr/>
          <w:p>
            <w:pPr>
              <w:pStyle w:val="Compact"/>
            </w:pPr>
            <w:r>
              <w:t xml:space="preserve">chunk_text</w:t>
            </w:r>
          </w:p>
        </w:tc>
      </w:tr>
      <w:tr>
        <w:tc>
          <w:tcPr/>
          <w:p>
            <w:pPr>
              <w:pStyle w:val="Compact"/>
            </w:pPr>
            <w:r>
              <w:t xml:space="preserve">20240105_10-K_edgar_data_1362703_0001493152-24-001515.html::item_1::c20</w:t>
            </w:r>
          </w:p>
        </w:tc>
        <w:tc>
          <w:tcPr/>
          <w:p>
            <w:pPr>
              <w:pStyle w:val="Compact"/>
            </w:pPr>
            <w:r>
              <w:t xml:space="preserve">20240105_10-K_edgar_data_1362703_0001493152-24-001515.html</w:t>
            </w:r>
          </w:p>
        </w:tc>
        <w:tc>
          <w:tcPr/>
          <w:p>
            <w:pPr>
              <w:pStyle w:val="Compact"/>
            </w:pPr>
            <w:r>
              <w:t xml:space="preserve">item_1</w:t>
            </w:r>
          </w:p>
        </w:tc>
        <w:tc>
          <w:tcPr/>
          <w:p>
            <w:pPr>
              <w:pStyle w:val="Compact"/>
            </w:pPr>
            <w:r>
              <w:t xml:space="preserve">low</w:t>
            </w:r>
          </w:p>
        </w:tc>
        <w:tc>
          <w:tcPr/>
          <w:p>
            <w:pPr>
              <w:pStyle w:val="Compact"/>
            </w:pPr>
            <w:r>
              <w:t xml:space="preserve">['artificial intelligence']</w:t>
            </w:r>
          </w:p>
        </w:tc>
        <w:tc>
          <w:tcPr/>
          <w:p>
            <w:pPr>
              <w:pStyle w:val="Compact"/>
            </w:pPr>
            <w:r>
              <w:t xml:space="preserve">[]</w:t>
            </w:r>
          </w:p>
        </w:tc>
        <w:tc>
          <w:tcPr/>
          <w:p>
            <w:pPr>
              <w:pStyle w:val="Compact"/>
            </w:pPr>
            <w:r>
              <w:t xml:space="preserve">These biomarkers and monitoring products may have the ability to provide biopharmaceutical companies and doctors with critical molecular-based knowledge to potentially make the best therapeutic decisions based on a patient’s unique, individual medical needs. Milestones In the next fiscal year, the Company intends to focus on completing key milestones to create value for both investors and the healthcare industry. These milestones include: ● Hiring additional lab techs and strategic sales consultants and deploying the expanded workforce to drive growth, revenue and meaningful patient results; ● Completion of outcomes studies with key NCCN (National Comprehensive Cancer Network) locations to drive adoption guidelines and payor coverage ● Completion of the selection process for members to sit on our Clinical and Scientific Advisory Boards; 8 ● Continuing to validate additional Theralink cancer biomarker technology under CAP/CLIA standards for a pan tumor assay to provide personalized medicine regarding treatment options for biopharmaceutical companies, clinical oncologists and their cancer patients; ● Continuing to partner with pharmaceutical companies to perform oncology-related data-generating testing services which may generate additional revenues and ● Upgrade manufacturing capabilities to prepare for the increase of patient samples ● Incorporate Artificial Intelligence to increase the efficiency of our assay ● Continuing to seek financing to grow the Company. Market Overview The Theralink technology focuses on the oncology discipline of molecular pathology. Within oncology, Theralink is developing tests related to breast cancer, gynecologic cancer, gastrointestinal (“GI”) cancer, non-small cell lung cancer and pancreatic cancer.</w:t>
            </w:r>
          </w:p>
        </w:tc>
      </w:tr>
      <w:tr>
        <w:tc>
          <w:tcPr/>
          <w:p>
            <w:pPr>
              <w:pStyle w:val="Compact"/>
            </w:pPr>
            <w:r>
              <w:t xml:space="preserve">20240105_10-K_edgar_data_1362703_0001493152-24-001515.html::item_1::c37</w:t>
            </w:r>
          </w:p>
        </w:tc>
        <w:tc>
          <w:tcPr/>
          <w:p>
            <w:pPr>
              <w:pStyle w:val="Compact"/>
            </w:pPr>
            <w:r>
              <w:t xml:space="preserve">20240105_10-K_edgar_data_1362703_0001493152-24-001515.html</w:t>
            </w:r>
          </w:p>
        </w:tc>
        <w:tc>
          <w:tcPr/>
          <w:p>
            <w:pPr>
              <w:pStyle w:val="Compact"/>
            </w:pPr>
            <w:r>
              <w:t xml:space="preserve">item_1</w:t>
            </w:r>
          </w:p>
        </w:tc>
        <w:tc>
          <w:tcPr/>
          <w:p>
            <w:pPr>
              <w:pStyle w:val="Compact"/>
            </w:pPr>
            <w:r>
              <w:t xml:space="preserve">medium</w:t>
            </w:r>
          </w:p>
        </w:tc>
        <w:tc>
          <w:tcPr/>
          <w:p>
            <w:pPr>
              <w:pStyle w:val="Compact"/>
            </w:pPr>
            <w:r>
              <w:t xml:space="preserve">['artificial intelligence']</w:t>
            </w:r>
          </w:p>
        </w:tc>
        <w:tc>
          <w:tcPr/>
          <w:p>
            <w:pPr>
              <w:pStyle w:val="Compact"/>
            </w:pPr>
            <w:r>
              <w:t xml:space="preserve">['platform']</w:t>
            </w:r>
          </w:p>
        </w:tc>
        <w:tc>
          <w:tcPr/>
          <w:p>
            <w:pPr>
              <w:pStyle w:val="Compact"/>
            </w:pPr>
            <w:r>
              <w:t xml:space="preserve">Management accomplished this objective with the successful initial launch of Theralink in 2021. We plan to continue adoption as a differentiated technology in the personalized healthcare marketplace by leveraging the strong support of the many key opinion leaders and users of the pilot platform. Our flagship product for our commercial strategy, will focus on precision health screening for oncologists. The key ingredients to our commercial success will be: ● A proprietary technology that provides a credible point of entry to a well-defined medical market; ● Comprehensive protocols for cancer biomarkers positioned for seamless integration to established standards of care for oncologist treatment regimens; ● Eventually, a data friendly format and HIPPA compliance for ease of integration to monitoring systems and artificial intelligence (AI) modalities for oncologist teams to track precision medicine and monitor patient treatment outcomes. Proprietary Technology for credible commercial point of entry We believe that our focused technologies are of particular value to oncologist teams developing molecular targeted and/or combination therapies because of our ability to make very small and precise measurements in the cellular microenvironment. The platforms are based on assessing protein activation status (via post-translational modifications such as phosphorylation, methylation, cleavage, etc.) of drug targets and receptors, their downstream signal transduction pathways, and potential compensatory or adaptive mechanisms within targeted cell populations. These commercial collaborations are critically important as they may establish our Company’s platform as a “must have” in specific cancers (e.g., breast cancer management), where precise and targeted chemotherapy and immunotherapies can make a dramatic difference in patient outcomes.</w:t>
            </w:r>
          </w:p>
        </w:tc>
      </w:tr>
      <w:tr>
        <w:tc>
          <w:tcPr/>
          <w:p>
            <w:pPr>
              <w:pStyle w:val="Compact"/>
            </w:pPr>
            <w:r>
              <w:t xml:space="preserve">20240116_10-K_edgar_data_1492617_0001493152-24-002454.html::item_1::c32</w:t>
            </w:r>
          </w:p>
        </w:tc>
        <w:tc>
          <w:tcPr/>
          <w:p>
            <w:pPr>
              <w:pStyle w:val="Compact"/>
            </w:pPr>
            <w:r>
              <w:t xml:space="preserve">20240116_10-K_edgar_data_1492617_0001493152-24-002454.html</w:t>
            </w:r>
          </w:p>
        </w:tc>
        <w:tc>
          <w:tcPr/>
          <w:p>
            <w:pPr>
              <w:pStyle w:val="Compact"/>
            </w:pPr>
            <w:r>
              <w:t xml:space="preserve">item_1</w:t>
            </w:r>
          </w:p>
        </w:tc>
        <w:tc>
          <w:tcPr/>
          <w:p>
            <w:pPr>
              <w:pStyle w:val="Compact"/>
            </w:pPr>
            <w:r>
              <w:t xml:space="preserve">low</w:t>
            </w:r>
          </w:p>
        </w:tc>
        <w:tc>
          <w:tcPr/>
          <w:p>
            <w:pPr>
              <w:pStyle w:val="Compact"/>
            </w:pPr>
            <w:r>
              <w:t xml:space="preserve">['artificial intelligence']</w:t>
            </w:r>
          </w:p>
        </w:tc>
        <w:tc>
          <w:tcPr/>
          <w:p>
            <w:pPr>
              <w:pStyle w:val="Compact"/>
            </w:pPr>
            <w:r>
              <w:t xml:space="preserve">[]</w:t>
            </w:r>
          </w:p>
        </w:tc>
        <w:tc>
          <w:tcPr/>
          <w:p>
            <w:pPr>
              <w:pStyle w:val="Compact"/>
            </w:pPr>
            <w:r>
              <w:t xml:space="preserve">- 10 - Furthermore, the convergence of IoT and Artificial Intelligence (“ AI ”) is a significant trend that can potentially transform many industries. Combining these two technologies can enable more intelligent and autonomous systems, leading to greater efficiencies and improved decision-making. Below are some examples of QBS System’s performance history: ● Predictive maintenance: IoT sensors can collect data from machines and equipment, which can be analyzed using AI algorithms to predict when maintenance is required. Predictive maintenance help prevents equipment failures and reduces downtime. ● Smart buildings: IoT devices such as lighting systems, lift systems, and security cameras can be integrated with AI algorithms to create more intelligent and automated systems that can learn and adapt to user behavior and preferences. ● Agriculture: IoT sensors can collect data from crops and soil, which can be analyzed using AI algorithms to optimize irrigation, fertilization, and other agricultural practices, leading to more efficient and sustainable farming. We believe that the convergence of IoT and AI has the potential to drive innovation and transform many industries, enabling more intelligent and connected systems that can learn and adapt to changing environments and user behavior. Key Business Drivers of QBS System’s IoT Services Increased efficiency and productivity – We believe that QBS System enables companies to optimize operations and automate processes to increase efficiency and productivity.</w:t>
            </w:r>
          </w:p>
        </w:tc>
      </w:tr>
      <w:tr>
        <w:tc>
          <w:tcPr/>
          <w:p>
            <w:pPr>
              <w:pStyle w:val="Compact"/>
            </w:pPr>
            <w:r>
              <w:t xml:space="preserve">20240116_10-K_edgar_data_1492617_0001493152-24-002454.html::item_1::c29</w:t>
            </w:r>
          </w:p>
        </w:tc>
        <w:tc>
          <w:tcPr/>
          <w:p>
            <w:pPr>
              <w:pStyle w:val="Compact"/>
            </w:pPr>
            <w:r>
              <w:t xml:space="preserve">20240116_10-K_edgar_data_1492617_0001493152-24-002454.html</w:t>
            </w:r>
          </w:p>
        </w:tc>
        <w:tc>
          <w:tcPr/>
          <w:p>
            <w:pPr>
              <w:pStyle w:val="Compact"/>
            </w:pPr>
            <w:r>
              <w:t xml:space="preserve">item_1</w:t>
            </w:r>
          </w:p>
        </w:tc>
        <w:tc>
          <w:tcPr/>
          <w:p>
            <w:pPr>
              <w:pStyle w:val="Compact"/>
            </w:pPr>
            <w:r>
              <w:t xml:space="preserve">high</w:t>
            </w:r>
          </w:p>
        </w:tc>
        <w:tc>
          <w:tcPr/>
          <w:p>
            <w:pPr>
              <w:pStyle w:val="Compact"/>
            </w:pPr>
            <w:r>
              <w:t xml:space="preserve">['artificial intelligence', 'machine learning']</w:t>
            </w:r>
          </w:p>
        </w:tc>
        <w:tc>
          <w:tcPr/>
          <w:p>
            <w:pPr>
              <w:pStyle w:val="Compact"/>
            </w:pPr>
            <w:r>
              <w:t xml:space="preserve">['development', 'cloud']</w:t>
            </w:r>
          </w:p>
        </w:tc>
        <w:tc>
          <w:tcPr/>
          <w:p>
            <w:pPr>
              <w:pStyle w:val="Compact"/>
            </w:pPr>
            <w:r>
              <w:t xml:space="preserve">We believe that several factors are driving the market expansion of the IoT industry: ● Increasing adoption of smart devices: The increasing adoption of smart devices, such as smartphones, smartwatches, and smart home devices, drives the demand for IoT solutions because these devices rely on IoT technology to connect and communicate. ● Growing demand for automation and digitization: Companies are increasingly adopting automation and digitization to improve efficiency, reduce costs, and provide better customer experiences. IoT technology can enable automation and digitization by providing real-time data and insights. ● Increasing focus on sustainability: Companies increasingly focus on sustainability and environmental responsibility, driving demand for IoT solutions that can help reduce energy consumption, minimize waste, and optimize resource utilization. ● Advancements in technology: Advancements in technology, such as 5G networks, artificial intelligence, and machine learning, enable the development of more sophisticated IoT solutions that can provide more value to customers. The emergence of new use cases and applications: IoT technology is being applied to new use cases and applications, such as smart cities, connected cars, and industrial IoT, which drive demand for IoT solutions. Future Prospects of IoT Market We believe that the promise of IoT will be realized through the development of cloud-enabled intelligent devices and systems that contribute critical data, facilitate distributed control and decision-making, and operate securely at scale.</w:t>
            </w:r>
          </w:p>
        </w:tc>
      </w:tr>
      <w:tr>
        <w:tc>
          <w:tcPr/>
          <w:p>
            <w:pPr>
              <w:pStyle w:val="Compact"/>
            </w:pPr>
            <w:r>
              <w:t xml:space="preserve">20240116_10-K_edgar_data_1492617_0001493152-24-002454.html::item_1::c31</w:t>
            </w:r>
          </w:p>
        </w:tc>
        <w:tc>
          <w:tcPr/>
          <w:p>
            <w:pPr>
              <w:pStyle w:val="Compact"/>
            </w:pPr>
            <w:r>
              <w:t xml:space="preserve">20240116_10-K_edgar_data_1492617_0001493152-24-002454.html</w:t>
            </w:r>
          </w:p>
        </w:tc>
        <w:tc>
          <w:tcPr/>
          <w:p>
            <w:pPr>
              <w:pStyle w:val="Compact"/>
            </w:pPr>
            <w:r>
              <w:t xml:space="preserve">item_1</w:t>
            </w:r>
          </w:p>
        </w:tc>
        <w:tc>
          <w:tcPr/>
          <w:p>
            <w:pPr>
              <w:pStyle w:val="Compact"/>
            </w:pPr>
            <w:r>
              <w:t xml:space="preserve">low</w:t>
            </w:r>
          </w:p>
        </w:tc>
        <w:tc>
          <w:tcPr/>
          <w:p>
            <w:pPr>
              <w:pStyle w:val="Compact"/>
            </w:pPr>
            <w:r>
              <w:t xml:space="preserve">['artificial intelligence']</w:t>
            </w:r>
          </w:p>
        </w:tc>
        <w:tc>
          <w:tcPr/>
          <w:p>
            <w:pPr>
              <w:pStyle w:val="Compact"/>
            </w:pPr>
            <w:r>
              <w:t xml:space="preserve">[]</w:t>
            </w:r>
          </w:p>
        </w:tc>
        <w:tc>
          <w:tcPr/>
          <w:p>
            <w:pPr>
              <w:pStyle w:val="Compact"/>
            </w:pPr>
            <w:r>
              <w:t xml:space="preserve">In addition, we believe environmental, social, and governance (“ ESG ”) considerations have become increasingly important in recent years, as companies are expected to focus on financial performance and their impact on society and the environment. Through our subsidiary QBS System, we can provide solutions that are particularly relevant to ESG: ● Environmental Sustainability: we believe that we can contribute to environmental sustainability by developing products and services that reduce energy consumption and minimize waste. For example, IoT sensors are intended to optimize energy usage in buildings, reducing the carbon footprint and improving efficiency. ● Social Responsibility: we believe that we can demonstrate social responsibility by ensuring that our products and services are accessible to all, including marginalized communities. Additionally, we believe that they can address issues such as data privacy, security, and ethical concerns related to the use of customer data. ● Governance: Good governance practices are crucial for QBS System to build trust with customers, investors, and regulators. Governance includes transparent reporting on ESG performance, accountability for actions, and responsible management of risks. - 10 - Furthermore, the convergence of IoT and Artificial Intelligence (“ AI ”) is a significant trend that can potentially transform many industries. Combining these two technologies can enable more intelligent and autonomous systems, leading to greater efficiencies and improved decision-making.</w:t>
            </w:r>
          </w:p>
        </w:tc>
      </w:tr>
      <w:tr>
        <w:tc>
          <w:tcPr/>
          <w:p>
            <w:pPr>
              <w:pStyle w:val="Compact"/>
            </w:pPr>
            <w:r>
              <w:t xml:space="preserve">20240116_10-K_edgar_data_1492617_0001493152-24-002454.html::item_1::c30</w:t>
            </w:r>
          </w:p>
        </w:tc>
        <w:tc>
          <w:tcPr/>
          <w:p>
            <w:pPr>
              <w:pStyle w:val="Compact"/>
            </w:pPr>
            <w:r>
              <w:t xml:space="preserve">20240116_10-K_edgar_data_1492617_0001493152-24-002454.html</w:t>
            </w:r>
          </w:p>
        </w:tc>
        <w:tc>
          <w:tcPr/>
          <w:p>
            <w:pPr>
              <w:pStyle w:val="Compact"/>
            </w:pPr>
            <w:r>
              <w:t xml:space="preserve">item_1</w:t>
            </w:r>
          </w:p>
        </w:tc>
        <w:tc>
          <w:tcPr/>
          <w:p>
            <w:pPr>
              <w:pStyle w:val="Compact"/>
            </w:pPr>
            <w:r>
              <w:t xml:space="preserve">high</w:t>
            </w:r>
          </w:p>
        </w:tc>
        <w:tc>
          <w:tcPr/>
          <w:p>
            <w:pPr>
              <w:pStyle w:val="Compact"/>
            </w:pPr>
            <w:r>
              <w:t xml:space="preserve">['machine learning']</w:t>
            </w:r>
          </w:p>
        </w:tc>
        <w:tc>
          <w:tcPr/>
          <w:p>
            <w:pPr>
              <w:pStyle w:val="Compact"/>
            </w:pPr>
            <w:r>
              <w:t xml:space="preserve">['development', 'cloud']</w:t>
            </w:r>
          </w:p>
        </w:tc>
        <w:tc>
          <w:tcPr/>
          <w:p>
            <w:pPr>
              <w:pStyle w:val="Compact"/>
            </w:pPr>
            <w:r>
              <w:t xml:space="preserve">The emergence of new use cases and applications: IoT technology is being applied to new use cases and applications, such as smart cities, connected cars, and industrial IoT, which drive demand for IoT solutions. Future Prospects of IoT Market We believe that the promise of IoT will be realized through the development of cloud-enabled intelligent devices and systems that contribute critical data, facilitate distributed control and decision-making, and operate securely at scale. The opportunity to help clients transform their businesses and operations through these intelligent systems is enormous. We believe that the Company, through our subsidiary QBS System, offers a combination of expertise in device-level solutions, embedded operating systems, and IoT software and services. Since its founding in 2011, QBS System has sought to design products which operate at the intersection of hardware and software. Today, we believe that intersection is the “edge” where cloud-enabled devices connect to create intelligent systems that share data, facilitate distributed control and machine learning, and operate securely at scale. In addition, we believe environmental, social, and governance (“ ESG ”) considerations have become increasingly important in recent years, as companies are expected to focus on financial performance and their impact on society and the environment. Through our subsidiary QBS System, we can provide solutions that are particularly relevant to ESG: ● Environmental Sustainability: we believe that we can contribute to environmental sustainability by developing products and services that reduce energy consumption and minimize waste.</w:t>
            </w:r>
          </w:p>
        </w:tc>
      </w:tr>
    </w:tbl>
    <w:bookmarkEnd w:id="78"/>
    <w:bookmarkEnd w:id="79"/>
    <w:bookmarkEnd w:id="80"/>
    <w:bookmarkStart w:id="82" w:name="create-a-cleaner-evidence-dataset"/>
    <w:p>
      <w:pPr>
        <w:pStyle w:val="Heading2"/>
      </w:pPr>
      <w:r>
        <w:t xml:space="preserve">8.12 Create a cleaner evidence dataset</w:t>
      </w:r>
    </w:p>
    <w:p>
      <w:pPr>
        <w:pStyle w:val="FirstParagraph"/>
      </w:pPr>
      <w:r>
        <w:t xml:space="preserve">For later retrieval and reporting, it helps to flatten the match lists into strings. You will need this function for flattening the</w:t>
      </w:r>
      <w:r>
        <w:t xml:space="preserve"> </w:t>
      </w:r>
      <w:r>
        <w:rPr>
          <w:rStyle w:val="VerbatimChar"/>
        </w:rPr>
        <w:t xml:space="preserve">core_matches</w:t>
      </w:r>
      <w:r>
        <w:t xml:space="preserve">,</w:t>
      </w:r>
      <w:r>
        <w:t xml:space="preserve"> </w:t>
      </w:r>
      <w:r>
        <w:rPr>
          <w:rStyle w:val="VerbatimChar"/>
        </w:rPr>
        <w:t xml:space="preserve">support_matches</w:t>
      </w:r>
      <w:r>
        <w:t xml:space="preserve">, and</w:t>
      </w:r>
      <w:r>
        <w:t xml:space="preserve"> </w:t>
      </w:r>
      <w:r>
        <w:rPr>
          <w:rStyle w:val="VerbatimChar"/>
        </w:rPr>
        <w:t xml:space="preserve">exclude_matches</w:t>
      </w:r>
      <w:r>
        <w:t xml:space="preserve"> </w:t>
      </w:r>
      <w:r>
        <w:t xml:space="preserve">lists into readable strings in the final evidence dataset. You will get the following parameters:</w:t>
      </w:r>
    </w:p>
    <w:p>
      <w:pPr>
        <w:pStyle w:val="Compact"/>
        <w:numPr>
          <w:ilvl w:val="0"/>
          <w:numId w:val="1042"/>
        </w:numPr>
      </w:pPr>
      <w:r>
        <w:rPr>
          <w:rStyle w:val="VerbatimChar"/>
        </w:rPr>
        <w:t xml:space="preserve">"chunk_id",</w:t>
      </w:r>
    </w:p>
    <w:p>
      <w:pPr>
        <w:pStyle w:val="Compact"/>
        <w:numPr>
          <w:ilvl w:val="0"/>
          <w:numId w:val="1042"/>
        </w:numPr>
      </w:pPr>
      <w:r>
        <w:rPr>
          <w:rStyle w:val="VerbatimChar"/>
        </w:rPr>
        <w:t xml:space="preserve">"file_name",</w:t>
      </w:r>
    </w:p>
    <w:p>
      <w:pPr>
        <w:pStyle w:val="Compact"/>
        <w:numPr>
          <w:ilvl w:val="0"/>
          <w:numId w:val="1042"/>
        </w:numPr>
      </w:pPr>
      <w:r>
        <w:rPr>
          <w:rStyle w:val="VerbatimChar"/>
        </w:rPr>
        <w:t xml:space="preserve">"file_path",</w:t>
      </w:r>
    </w:p>
    <w:p>
      <w:pPr>
        <w:pStyle w:val="Compact"/>
        <w:numPr>
          <w:ilvl w:val="0"/>
          <w:numId w:val="1042"/>
        </w:numPr>
      </w:pPr>
      <w:r>
        <w:rPr>
          <w:rStyle w:val="VerbatimChar"/>
        </w:rPr>
        <w:t xml:space="preserve">"section_name",</w:t>
      </w:r>
    </w:p>
    <w:p>
      <w:pPr>
        <w:pStyle w:val="Compact"/>
        <w:numPr>
          <w:ilvl w:val="0"/>
          <w:numId w:val="1042"/>
        </w:numPr>
      </w:pPr>
      <w:r>
        <w:rPr>
          <w:rStyle w:val="VerbatimChar"/>
        </w:rPr>
        <w:t xml:space="preserve">"signal_type",</w:t>
      </w:r>
    </w:p>
    <w:p>
      <w:pPr>
        <w:pStyle w:val="Compact"/>
        <w:numPr>
          <w:ilvl w:val="0"/>
          <w:numId w:val="1042"/>
        </w:numPr>
      </w:pPr>
      <w:r>
        <w:rPr>
          <w:rStyle w:val="VerbatimChar"/>
        </w:rPr>
        <w:t xml:space="preserve">"signal_confidence",</w:t>
      </w:r>
    </w:p>
    <w:p>
      <w:pPr>
        <w:pStyle w:val="Compact"/>
        <w:numPr>
          <w:ilvl w:val="0"/>
          <w:numId w:val="1042"/>
        </w:numPr>
      </w:pPr>
      <w:r>
        <w:rPr>
          <w:rStyle w:val="VerbatimChar"/>
        </w:rPr>
        <w:t xml:space="preserve">"start_sentence",</w:t>
      </w:r>
    </w:p>
    <w:p>
      <w:pPr>
        <w:pStyle w:val="Compact"/>
        <w:numPr>
          <w:ilvl w:val="0"/>
          <w:numId w:val="1042"/>
        </w:numPr>
      </w:pPr>
      <w:r>
        <w:rPr>
          <w:rStyle w:val="VerbatimChar"/>
        </w:rPr>
        <w:t xml:space="preserve">"end_sentence",</w:t>
      </w:r>
    </w:p>
    <w:p>
      <w:pPr>
        <w:pStyle w:val="Compact"/>
        <w:numPr>
          <w:ilvl w:val="0"/>
          <w:numId w:val="1042"/>
        </w:numPr>
      </w:pPr>
      <w:r>
        <w:rPr>
          <w:rStyle w:val="VerbatimChar"/>
        </w:rPr>
        <w:t xml:space="preserve">"n_sentences",</w:t>
      </w:r>
    </w:p>
    <w:p>
      <w:pPr>
        <w:pStyle w:val="Compact"/>
        <w:numPr>
          <w:ilvl w:val="0"/>
          <w:numId w:val="1042"/>
        </w:numPr>
      </w:pPr>
      <w:r>
        <w:rPr>
          <w:rStyle w:val="VerbatimChar"/>
        </w:rPr>
        <w:t xml:space="preserve">"chunk_length_chars",</w:t>
      </w:r>
    </w:p>
    <w:p>
      <w:pPr>
        <w:pStyle w:val="Compact"/>
        <w:numPr>
          <w:ilvl w:val="0"/>
          <w:numId w:val="1042"/>
        </w:numPr>
      </w:pPr>
      <w:r>
        <w:rPr>
          <w:rStyle w:val="VerbatimChar"/>
        </w:rPr>
        <w:t xml:space="preserve">"approx_token_count",</w:t>
      </w:r>
    </w:p>
    <w:p>
      <w:pPr>
        <w:pStyle w:val="Compact"/>
        <w:numPr>
          <w:ilvl w:val="0"/>
          <w:numId w:val="1042"/>
        </w:numPr>
      </w:pPr>
      <w:r>
        <w:rPr>
          <w:rStyle w:val="VerbatimChar"/>
        </w:rPr>
        <w:t xml:space="preserve">"n_core_matches",</w:t>
      </w:r>
    </w:p>
    <w:p>
      <w:pPr>
        <w:pStyle w:val="Compact"/>
        <w:numPr>
          <w:ilvl w:val="0"/>
          <w:numId w:val="1042"/>
        </w:numPr>
      </w:pPr>
      <w:r>
        <w:rPr>
          <w:rStyle w:val="VerbatimChar"/>
        </w:rPr>
        <w:t xml:space="preserve">"n_support_matches",</w:t>
      </w:r>
    </w:p>
    <w:p>
      <w:pPr>
        <w:pStyle w:val="Compact"/>
        <w:numPr>
          <w:ilvl w:val="0"/>
          <w:numId w:val="1042"/>
        </w:numPr>
      </w:pPr>
      <w:r>
        <w:rPr>
          <w:rStyle w:val="VerbatimChar"/>
        </w:rPr>
        <w:t xml:space="preserve">"core_matches_str",</w:t>
      </w:r>
    </w:p>
    <w:p>
      <w:pPr>
        <w:pStyle w:val="Compact"/>
        <w:numPr>
          <w:ilvl w:val="0"/>
          <w:numId w:val="1042"/>
        </w:numPr>
      </w:pPr>
      <w:r>
        <w:rPr>
          <w:rStyle w:val="VerbatimChar"/>
        </w:rPr>
        <w:t xml:space="preserve">"support_matches_str",</w:t>
      </w:r>
    </w:p>
    <w:p>
      <w:pPr>
        <w:pStyle w:val="Compact"/>
        <w:numPr>
          <w:ilvl w:val="0"/>
          <w:numId w:val="1042"/>
        </w:numPr>
      </w:pPr>
      <w:r>
        <w:rPr>
          <w:rStyle w:val="VerbatimChar"/>
        </w:rPr>
        <w:t xml:space="preserve">"exclude_matches_str",</w:t>
      </w:r>
    </w:p>
    <w:p>
      <w:pPr>
        <w:pStyle w:val="Compact"/>
        <w:numPr>
          <w:ilvl w:val="0"/>
          <w:numId w:val="1042"/>
        </w:numPr>
      </w:pPr>
      <w:r>
        <w:rPr>
          <w:rStyle w:val="VerbatimChar"/>
        </w:rPr>
        <w:t xml:space="preserve">"chunk_text"</w:t>
      </w:r>
    </w:p>
    <w:p>
      <w:pPr>
        <w:pStyle w:val="SourceCode"/>
      </w:pPr>
      <w:r>
        <w:rPr>
          <w:rStyle w:val="KeywordTok"/>
        </w:rPr>
        <w:t xml:space="preserve">def</w:t>
      </w:r>
      <w:r>
        <w:rPr>
          <w:rStyle w:val="NormalTok"/>
        </w:rPr>
        <w:t xml:space="preserve"> collapse_matches(values):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values:</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.join(values)</w:t>
      </w:r>
    </w:p>
    <w:p>
      <w:pPr>
        <w:pStyle w:val="SourceCode"/>
      </w:pPr>
      <w:r>
        <w:rPr>
          <w:rStyle w:val="NormalTok"/>
        </w:rPr>
        <w:t xml:space="preserve">df_evidence </w:t>
      </w:r>
      <w:r>
        <w:rPr>
          <w:rStyle w:val="OperatorTok"/>
        </w:rPr>
        <w:t xml:space="preserve">=</w:t>
      </w:r>
      <w:r>
        <w:rPr>
          <w:rStyle w:val="NormalTok"/>
        </w:rPr>
        <w:t xml:space="preserve"> df_signal_candidates.copy()</w:t>
      </w:r>
      <w:r>
        <w:br/>
      </w:r>
      <w:r>
        <w:br/>
      </w:r>
      <w:r>
        <w:rPr>
          <w:rStyle w:val="NormalTok"/>
        </w:rPr>
        <w:t xml:space="preserve">df_evidence[</w:t>
      </w:r>
      <w:r>
        <w:rPr>
          <w:rStyle w:val="StringTok"/>
        </w:rPr>
        <w:t xml:space="preserve">"core_matches_str"</w:t>
      </w:r>
      <w:r>
        <w:rPr>
          <w:rStyle w:val="NormalTok"/>
        </w:rPr>
        <w:t xml:space="preserve">] </w:t>
      </w:r>
      <w:r>
        <w:rPr>
          <w:rStyle w:val="OperatorTok"/>
        </w:rPr>
        <w:t xml:space="preserve">=</w:t>
      </w:r>
      <w:r>
        <w:rPr>
          <w:rStyle w:val="NormalTok"/>
        </w:rPr>
        <w:t xml:space="preserve">  </w:t>
      </w:r>
      <w:r>
        <w:rPr>
          <w:rStyle w:val="BuiltInTok"/>
        </w:rPr>
        <w:t xml:space="preserve">apply</w:t>
      </w:r>
      <w:r>
        <w:rPr>
          <w:rStyle w:val="NormalTok"/>
        </w:rPr>
        <w:t xml:space="preserve">(collapse_matches)</w:t>
      </w:r>
      <w:r>
        <w:br/>
      </w:r>
      <w:r>
        <w:rPr>
          <w:rStyle w:val="NormalTok"/>
        </w:rPr>
        <w:t xml:space="preserve">df_evidence[</w:t>
      </w:r>
      <w:r>
        <w:rPr>
          <w:rStyle w:val="StringTok"/>
        </w:rPr>
        <w:t xml:space="preserve">"support_matches_str"</w:t>
      </w:r>
      <w:r>
        <w:rPr>
          <w:rStyle w:val="NormalTok"/>
        </w:rPr>
        <w:t xml:space="preserve">] </w:t>
      </w:r>
      <w:r>
        <w:rPr>
          <w:rStyle w:val="OperatorTok"/>
        </w:rPr>
        <w:t xml:space="preserve">=</w:t>
      </w:r>
      <w:r>
        <w:rPr>
          <w:rStyle w:val="NormalTok"/>
        </w:rPr>
        <w:t xml:space="preserve"> </w:t>
      </w:r>
      <w:r>
        <w:rPr>
          <w:rStyle w:val="BuiltInTok"/>
        </w:rPr>
        <w:t xml:space="preserve">apply</w:t>
      </w:r>
      <w:r>
        <w:rPr>
          <w:rStyle w:val="NormalTok"/>
        </w:rPr>
        <w:t xml:space="preserve">(collapse_matches)</w:t>
      </w:r>
      <w:r>
        <w:br/>
      </w:r>
      <w:r>
        <w:rPr>
          <w:rStyle w:val="NormalTok"/>
        </w:rPr>
        <w:t xml:space="preserve">df_evidence[</w:t>
      </w:r>
      <w:r>
        <w:rPr>
          <w:rStyle w:val="StringTok"/>
        </w:rPr>
        <w:t xml:space="preserve">"exclude_matches_str"</w:t>
      </w:r>
      <w:r>
        <w:rPr>
          <w:rStyle w:val="NormalTok"/>
        </w:rPr>
        <w:t xml:space="preserve">] </w:t>
      </w:r>
      <w:r>
        <w:rPr>
          <w:rStyle w:val="OperatorTok"/>
        </w:rPr>
        <w:t xml:space="preserve">=</w:t>
      </w:r>
      <w:r>
        <w:rPr>
          <w:rStyle w:val="NormalTok"/>
        </w:rPr>
        <w:t xml:space="preserve"> </w:t>
      </w:r>
      <w:r>
        <w:rPr>
          <w:rStyle w:val="BuiltInTok"/>
        </w:rPr>
        <w:t xml:space="preserve">apply</w:t>
      </w:r>
      <w:r>
        <w:rPr>
          <w:rStyle w:val="NormalTok"/>
        </w:rPr>
        <w:t xml:space="preserve">(collapse_matches)</w:t>
      </w:r>
      <w:r>
        <w:br/>
      </w:r>
      <w:r>
        <w:br/>
      </w:r>
      <w:r>
        <w:rPr>
          <w:rStyle w:val="NormalTok"/>
        </w:rPr>
        <w:t xml:space="preserve">df_evidence </w:t>
      </w:r>
      <w:r>
        <w:rPr>
          <w:rStyle w:val="OperatorTok"/>
        </w:rPr>
        <w:t xml:space="preserve">=</w:t>
      </w:r>
      <w:r>
        <w:rPr>
          <w:rStyle w:val="NormalTok"/>
        </w:rPr>
        <w:t xml:space="preserve"> df_evidence[[</w:t>
      </w:r>
      <w:r>
        <w:br/>
      </w:r>
      <w:r>
        <w:rPr>
          <w:rStyle w:val="NormalTok"/>
        </w:rPr>
        <w:t xml:space="preserve">    </w:t>
      </w:r>
      <w:r>
        <w:rPr>
          <w:rStyle w:val="CommentTok"/>
        </w:rPr>
        <w:t xml:space="preserve"># fill the columns names you need for the final evidence dataset, including the new *_matches_str columns</w:t>
      </w:r>
      <w:r>
        <w:br/>
      </w:r>
      <w:r>
        <w:rPr>
          <w:rStyle w:val="NormalTok"/>
        </w:rPr>
        <w:t xml:space="preserve">]].copy()</w:t>
      </w:r>
      <w:r>
        <w:br/>
      </w:r>
      <w:r>
        <w:br/>
      </w:r>
      <w:r>
        <w:rPr>
          <w:rStyle w:val="BuiltInTok"/>
        </w:rPr>
        <w:t xml:space="preserve">print</w:t>
      </w:r>
      <w:r>
        <w:rPr>
          <w:rStyle w:val="NormalTok"/>
        </w:rPr>
        <w:t xml:space="preserve">(df_evidence.shape)</w:t>
      </w:r>
      <w:r>
        <w:br/>
      </w:r>
      <w:r>
        <w:rPr>
          <w:rStyle w:val="NormalTok"/>
        </w:rPr>
        <w:t xml:space="preserve">df_evidence.head().style.hide(axis</w:t>
      </w:r>
      <w:r>
        <w:rPr>
          <w:rStyle w:val="OperatorTok"/>
        </w:rPr>
        <w:t xml:space="preserve">=</w:t>
      </w:r>
      <w:r>
        <w:rPr>
          <w:rStyle w:val="StringTok"/>
        </w:rPr>
        <w:t xml:space="preserve">"index"</w:t>
      </w:r>
      <w:r>
        <w:rPr>
          <w:rStyle w:val="NormalTok"/>
        </w:rPr>
        <w:t xml:space="preserve">)</w:t>
      </w:r>
    </w:p>
    <w:p>
      <w:pPr>
        <w:pStyle w:val="SourceCode"/>
      </w:pPr>
      <w:r>
        <w:rPr>
          <w:rStyle w:val="VerbatimChar"/>
        </w:rPr>
        <w:t xml:space="preserve">(6, 17)</w:t>
      </w:r>
    </w:p>
    <w:bookmarkStart w:id="81" w:name="T_1dca2"/>
    <w:tbl>
      <w:tblPr>
        <w:tblStyle w:val="Table"/>
        <w:tblW w:type="auto" w:w="0"/>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chunk_id</w:t>
            </w:r>
          </w:p>
        </w:tc>
        <w:tc>
          <w:tcPr/>
          <w:p>
            <w:pPr>
              <w:pStyle w:val="Compact"/>
            </w:pPr>
            <w:r>
              <w:t xml:space="preserve">file_name</w:t>
            </w:r>
          </w:p>
        </w:tc>
        <w:tc>
          <w:tcPr/>
          <w:p>
            <w:pPr>
              <w:pStyle w:val="Compact"/>
            </w:pPr>
            <w:r>
              <w:t xml:space="preserve">file_path</w:t>
            </w:r>
          </w:p>
        </w:tc>
        <w:tc>
          <w:tcPr/>
          <w:p>
            <w:pPr>
              <w:pStyle w:val="Compact"/>
            </w:pPr>
            <w:r>
              <w:t xml:space="preserve">section_name</w:t>
            </w:r>
          </w:p>
        </w:tc>
        <w:tc>
          <w:tcPr/>
          <w:p>
            <w:pPr>
              <w:pStyle w:val="Compact"/>
            </w:pPr>
            <w:r>
              <w:t xml:space="preserve">signal_type</w:t>
            </w:r>
          </w:p>
        </w:tc>
        <w:tc>
          <w:tcPr/>
          <w:p>
            <w:pPr>
              <w:pStyle w:val="Compact"/>
            </w:pPr>
            <w:r>
              <w:t xml:space="preserve">signal_confidence</w:t>
            </w:r>
          </w:p>
        </w:tc>
        <w:tc>
          <w:tcPr/>
          <w:p>
            <w:pPr>
              <w:pStyle w:val="Compact"/>
            </w:pPr>
            <w:r>
              <w:t xml:space="preserve">start_sentence</w:t>
            </w:r>
          </w:p>
        </w:tc>
        <w:tc>
          <w:tcPr/>
          <w:p>
            <w:pPr>
              <w:pStyle w:val="Compact"/>
            </w:pPr>
            <w:r>
              <w:t xml:space="preserve">end_sentence</w:t>
            </w:r>
          </w:p>
        </w:tc>
        <w:tc>
          <w:tcPr/>
          <w:p>
            <w:pPr>
              <w:pStyle w:val="Compact"/>
            </w:pPr>
            <w:r>
              <w:t xml:space="preserve">n_sentences</w:t>
            </w:r>
          </w:p>
        </w:tc>
        <w:tc>
          <w:tcPr/>
          <w:p>
            <w:pPr>
              <w:pStyle w:val="Compact"/>
            </w:pPr>
            <w:r>
              <w:t xml:space="preserve">chunk_length_chars</w:t>
            </w:r>
          </w:p>
        </w:tc>
        <w:tc>
          <w:tcPr/>
          <w:p>
            <w:pPr>
              <w:pStyle w:val="Compact"/>
            </w:pPr>
            <w:r>
              <w:t xml:space="preserve">approx_token_count</w:t>
            </w:r>
          </w:p>
        </w:tc>
        <w:tc>
          <w:tcPr/>
          <w:p>
            <w:pPr>
              <w:pStyle w:val="Compact"/>
            </w:pPr>
            <w:r>
              <w:t xml:space="preserve">n_core_matches</w:t>
            </w:r>
          </w:p>
        </w:tc>
        <w:tc>
          <w:tcPr/>
          <w:p>
            <w:pPr>
              <w:pStyle w:val="Compact"/>
            </w:pPr>
            <w:r>
              <w:t xml:space="preserve">n_support_matches</w:t>
            </w:r>
          </w:p>
        </w:tc>
        <w:tc>
          <w:tcPr/>
          <w:p>
            <w:pPr>
              <w:pStyle w:val="Compact"/>
            </w:pPr>
            <w:r>
              <w:t xml:space="preserve">core_matches_str</w:t>
            </w:r>
          </w:p>
        </w:tc>
        <w:tc>
          <w:tcPr/>
          <w:p>
            <w:pPr>
              <w:pStyle w:val="Compact"/>
            </w:pPr>
            <w:r>
              <w:t xml:space="preserve">support_matches_str</w:t>
            </w:r>
          </w:p>
        </w:tc>
        <w:tc>
          <w:tcPr/>
          <w:p>
            <w:pPr>
              <w:pStyle w:val="Compact"/>
            </w:pPr>
            <w:r>
              <w:t xml:space="preserve">exclude_matches_str</w:t>
            </w:r>
          </w:p>
        </w:tc>
        <w:tc>
          <w:tcPr/>
          <w:p>
            <w:pPr>
              <w:pStyle w:val="Compact"/>
            </w:pPr>
            <w:r>
              <w:t xml:space="preserve">chunk_text</w:t>
            </w:r>
          </w:p>
        </w:tc>
      </w:tr>
      <w:tr>
        <w:tc>
          <w:tcPr/>
          <w:p>
            <w:pPr>
              <w:pStyle w:val="Compact"/>
            </w:pPr>
            <w:r>
              <w:t xml:space="preserve">20240105_10-K_edgar_data_1362703_0001493152-24-001515.html::item_1::c20</w:t>
            </w:r>
          </w:p>
        </w:tc>
        <w:tc>
          <w:tcPr/>
          <w:p>
            <w:pPr>
              <w:pStyle w:val="Compact"/>
            </w:pPr>
            <w:r>
              <w:t xml:space="preserve">20240105_10-K_edgar_data_1362703_0001493152-24-001515.html</w:t>
            </w:r>
          </w:p>
        </w:tc>
        <w:tc>
          <w:tcPr/>
          <w:p>
            <w:pPr>
              <w:pStyle w:val="Compact"/>
            </w:pPr>
            <w:r>
              <w:t xml:space="preserve">..\data\SEC-10K-2024-HTML\20240105_10-K_edgar_data_1362703_0001493152-24-001515.html</w:t>
            </w:r>
          </w:p>
        </w:tc>
        <w:tc>
          <w:tcPr/>
          <w:p>
            <w:pPr>
              <w:pStyle w:val="Compact"/>
            </w:pPr>
            <w:r>
              <w:t xml:space="preserve">item_1</w:t>
            </w:r>
          </w:p>
        </w:tc>
        <w:tc>
          <w:tcPr/>
          <w:p>
            <w:pPr>
              <w:pStyle w:val="Compact"/>
            </w:pPr>
            <w:r>
              <w:t xml:space="preserve">ai_investment</w:t>
            </w:r>
          </w:p>
        </w:tc>
        <w:tc>
          <w:tcPr/>
          <w:p>
            <w:pPr>
              <w:pStyle w:val="Compact"/>
            </w:pPr>
            <w:r>
              <w:t xml:space="preserve">low</w:t>
            </w:r>
          </w:p>
        </w:tc>
        <w:tc>
          <w:tcPr/>
          <w:p>
            <w:pPr>
              <w:pStyle w:val="Compact"/>
            </w:pPr>
            <w:r>
              <w:t xml:space="preserve">119</w:t>
            </w:r>
          </w:p>
        </w:tc>
        <w:tc>
          <w:tcPr/>
          <w:p>
            <w:pPr>
              <w:pStyle w:val="Compact"/>
            </w:pPr>
            <w:r>
              <w:t xml:space="preserve">123</w:t>
            </w:r>
          </w:p>
        </w:tc>
        <w:tc>
          <w:tcPr/>
          <w:p>
            <w:pPr>
              <w:pStyle w:val="Compact"/>
            </w:pPr>
            <w:r>
              <w:t xml:space="preserve">5</w:t>
            </w:r>
          </w:p>
        </w:tc>
        <w:tc>
          <w:tcPr/>
          <w:p>
            <w:pPr>
              <w:pStyle w:val="Compact"/>
            </w:pPr>
            <w:r>
              <w:t xml:space="preserve">1760</w:t>
            </w:r>
          </w:p>
        </w:tc>
        <w:tc>
          <w:tcPr/>
          <w:p>
            <w:pPr>
              <w:pStyle w:val="Compact"/>
            </w:pPr>
            <w:r>
              <w:t xml:space="preserve">276</w:t>
            </w:r>
          </w:p>
        </w:tc>
        <w:tc>
          <w:tcPr/>
          <w:p>
            <w:pPr>
              <w:pStyle w:val="Compact"/>
            </w:pPr>
            <w:r>
              <w:t xml:space="preserve">1</w:t>
            </w:r>
          </w:p>
        </w:tc>
        <w:tc>
          <w:tcPr/>
          <w:p>
            <w:pPr>
              <w:pStyle w:val="Compact"/>
            </w:pPr>
            <w:r>
              <w:t xml:space="preserve">0</w:t>
            </w:r>
          </w:p>
        </w:tc>
        <w:tc>
          <w:tcPr/>
          <w:p>
            <w:pPr>
              <w:pStyle w:val="Compact"/>
            </w:pPr>
            <w:r>
              <w:t xml:space="preserve">artificial intelligence</w:t>
            </w:r>
          </w:p>
        </w:tc>
        <w:tc>
          <w:tcPr/>
          <w:p>
            <w:pPr>
              <w:pStyle w:val="Compact"/>
            </w:pPr>
          </w:p>
        </w:tc>
        <w:tc>
          <w:tcPr/>
          <w:p>
            <w:pPr>
              <w:pStyle w:val="Compact"/>
            </w:pPr>
          </w:p>
        </w:tc>
        <w:tc>
          <w:tcPr/>
          <w:p>
            <w:pPr>
              <w:pStyle w:val="Compact"/>
            </w:pPr>
            <w:r>
              <w:t xml:space="preserve">These biomarkers and monitoring products may have the ability to provide biopharmaceutical companies and doctors with critical molecular-based knowledge to potentially make the best therapeutic decisions based on a patient’s unique, individual medical needs. Milestones In the next fiscal year, the Company intends to focus on completing key milestones to create value for both investors and the healthcare industry. These milestones include: ● Hiring additional lab techs and strategic sales consultants and deploying the expanded workforce to drive growth, revenue and meaningful patient results; ● Completion of outcomes studies with key NCCN (National Comprehensive Cancer Network) locations to drive adoption guidelines and payor coverage ● Completion of the selection process for members to sit on our Clinical and Scientific Advisory Boards; 8 ● Continuing to validate additional Theralink cancer biomarker technology under CAP/CLIA standards for a pan tumor assay to provide personalized medicine regarding treatment options for biopharmaceutical companies, clinical oncologists and their cancer patients; ● Continuing to partner with pharmaceutical companies to perform oncology-related data-generating testing services which may generate additional revenues and ● Upgrade manufacturing capabilities to prepare for the increase of patient samples ● Incorporate Artificial Intelligence to increase the efficiency of our assay ● Continuing to seek financing to grow the Company. Market Overview The Theralink technology focuses on the oncology discipline of molecular pathology. Within oncology, Theralink is developing tests related to breast cancer, gynecologic cancer, gastrointestinal (“GI”) cancer, non-small cell lung cancer and pancreatic cancer.</w:t>
            </w:r>
          </w:p>
        </w:tc>
      </w:tr>
      <w:tr>
        <w:tc>
          <w:tcPr/>
          <w:p>
            <w:pPr>
              <w:pStyle w:val="Compact"/>
            </w:pPr>
            <w:r>
              <w:t xml:space="preserve">20240105_10-K_edgar_data_1362703_0001493152-24-001515.html::item_1::c37</w:t>
            </w:r>
          </w:p>
        </w:tc>
        <w:tc>
          <w:tcPr/>
          <w:p>
            <w:pPr>
              <w:pStyle w:val="Compact"/>
            </w:pPr>
            <w:r>
              <w:t xml:space="preserve">20240105_10-K_edgar_data_1362703_0001493152-24-001515.html</w:t>
            </w:r>
          </w:p>
        </w:tc>
        <w:tc>
          <w:tcPr/>
          <w:p>
            <w:pPr>
              <w:pStyle w:val="Compact"/>
            </w:pPr>
            <w:r>
              <w:t xml:space="preserve">..\data\SEC-10K-2024-HTML\20240105_10-K_edgar_data_1362703_0001493152-24-001515.html</w:t>
            </w:r>
          </w:p>
        </w:tc>
        <w:tc>
          <w:tcPr/>
          <w:p>
            <w:pPr>
              <w:pStyle w:val="Compact"/>
            </w:pPr>
            <w:r>
              <w:t xml:space="preserve">item_1</w:t>
            </w:r>
          </w:p>
        </w:tc>
        <w:tc>
          <w:tcPr/>
          <w:p>
            <w:pPr>
              <w:pStyle w:val="Compact"/>
            </w:pPr>
            <w:r>
              <w:t xml:space="preserve">ai_investment</w:t>
            </w:r>
          </w:p>
        </w:tc>
        <w:tc>
          <w:tcPr/>
          <w:p>
            <w:pPr>
              <w:pStyle w:val="Compact"/>
            </w:pPr>
            <w:r>
              <w:t xml:space="preserve">medium</w:t>
            </w:r>
          </w:p>
        </w:tc>
        <w:tc>
          <w:tcPr/>
          <w:p>
            <w:pPr>
              <w:pStyle w:val="Compact"/>
            </w:pPr>
            <w:r>
              <w:t xml:space="preserve">196</w:t>
            </w:r>
          </w:p>
        </w:tc>
        <w:tc>
          <w:tcPr/>
          <w:p>
            <w:pPr>
              <w:pStyle w:val="Compact"/>
            </w:pPr>
            <w:r>
              <w:t xml:space="preserve">203</w:t>
            </w:r>
          </w:p>
        </w:tc>
        <w:tc>
          <w:tcPr/>
          <w:p>
            <w:pPr>
              <w:pStyle w:val="Compact"/>
            </w:pPr>
            <w:r>
              <w:t xml:space="preserve">8</w:t>
            </w:r>
          </w:p>
        </w:tc>
        <w:tc>
          <w:tcPr/>
          <w:p>
            <w:pPr>
              <w:pStyle w:val="Compact"/>
            </w:pPr>
            <w:r>
              <w:t xml:space="preserve">1858</w:t>
            </w:r>
          </w:p>
        </w:tc>
        <w:tc>
          <w:tcPr/>
          <w:p>
            <w:pPr>
              <w:pStyle w:val="Compact"/>
            </w:pPr>
            <w:r>
              <w:t xml:space="preserve">294</w:t>
            </w:r>
          </w:p>
        </w:tc>
        <w:tc>
          <w:tcPr/>
          <w:p>
            <w:pPr>
              <w:pStyle w:val="Compact"/>
            </w:pPr>
            <w:r>
              <w:t xml:space="preserve">1</w:t>
            </w:r>
          </w:p>
        </w:tc>
        <w:tc>
          <w:tcPr/>
          <w:p>
            <w:pPr>
              <w:pStyle w:val="Compact"/>
            </w:pPr>
            <w:r>
              <w:t xml:space="preserve">1</w:t>
            </w:r>
          </w:p>
        </w:tc>
        <w:tc>
          <w:tcPr/>
          <w:p>
            <w:pPr>
              <w:pStyle w:val="Compact"/>
            </w:pPr>
            <w:r>
              <w:t xml:space="preserve">artificial intelligence</w:t>
            </w:r>
          </w:p>
        </w:tc>
        <w:tc>
          <w:tcPr/>
          <w:p>
            <w:pPr>
              <w:pStyle w:val="Compact"/>
            </w:pPr>
            <w:r>
              <w:t xml:space="preserve">platform</w:t>
            </w:r>
          </w:p>
        </w:tc>
        <w:tc>
          <w:tcPr/>
          <w:p>
            <w:pPr>
              <w:pStyle w:val="Compact"/>
            </w:pPr>
          </w:p>
        </w:tc>
        <w:tc>
          <w:tcPr/>
          <w:p>
            <w:pPr>
              <w:pStyle w:val="Compact"/>
            </w:pPr>
            <w:r>
              <w:t xml:space="preserve">Management accomplished this objective with the successful initial launch of Theralink in 2021. We plan to continue adoption as a differentiated technology in the personalized healthcare marketplace by leveraging the strong support of the many key opinion leaders and users of the pilot platform. Our flagship product for our commercial strategy, will focus on precision health screening for oncologists. The key ingredients to our commercial success will be: ● A proprietary technology that provides a credible point of entry to a well-defined medical market; ● Comprehensive protocols for cancer biomarkers positioned for seamless integration to established standards of care for oncologist treatment regimens; ● Eventually, a data friendly format and HIPPA compliance for ease of integration to monitoring systems and artificial intelligence (AI) modalities for oncologist teams to track precision medicine and monitor patient treatment outcomes. Proprietary Technology for credible commercial point of entry We believe that our focused technologies are of particular value to oncologist teams developing molecular targeted and/or combination therapies because of our ability to make very small and precise measurements in the cellular microenvironment. The platforms are based on assessing protein activation status (via post-translational modifications such as phosphorylation, methylation, cleavage, etc.) of drug targets and receptors, their downstream signal transduction pathways, and potential compensatory or adaptive mechanisms within targeted cell populations. These commercial collaborations are critically important as they may establish our Company’s platform as a “must have” in specific cancers (e.g., breast cancer management), where precise and targeted chemotherapy and immunotherapies can make a dramatic difference in patient outcomes.</w:t>
            </w:r>
          </w:p>
        </w:tc>
      </w:tr>
      <w:tr>
        <w:tc>
          <w:tcPr/>
          <w:p>
            <w:pPr>
              <w:pStyle w:val="Compact"/>
            </w:pPr>
            <w:r>
              <w:t xml:space="preserve">20240116_10-K_edgar_data_1492617_0001493152-24-002454.html::item_1::c29</w:t>
            </w:r>
          </w:p>
        </w:tc>
        <w:tc>
          <w:tcPr/>
          <w:p>
            <w:pPr>
              <w:pStyle w:val="Compact"/>
            </w:pPr>
            <w:r>
              <w:t xml:space="preserve">20240116_10-K_edgar_data_1492617_0001493152-24-002454.html</w:t>
            </w:r>
          </w:p>
        </w:tc>
        <w:tc>
          <w:tcPr/>
          <w:p>
            <w:pPr>
              <w:pStyle w:val="Compact"/>
            </w:pPr>
            <w:r>
              <w:t xml:space="preserve">..\data\SEC-10K-2024-HTML\20240116_10-K_edgar_data_1492617_0001493152-24-002454.html</w:t>
            </w:r>
          </w:p>
        </w:tc>
        <w:tc>
          <w:tcPr/>
          <w:p>
            <w:pPr>
              <w:pStyle w:val="Compact"/>
            </w:pPr>
            <w:r>
              <w:t xml:space="preserve">item_1</w:t>
            </w:r>
          </w:p>
        </w:tc>
        <w:tc>
          <w:tcPr/>
          <w:p>
            <w:pPr>
              <w:pStyle w:val="Compact"/>
            </w:pPr>
            <w:r>
              <w:t xml:space="preserve">ai_investment</w:t>
            </w:r>
          </w:p>
        </w:tc>
        <w:tc>
          <w:tcPr/>
          <w:p>
            <w:pPr>
              <w:pStyle w:val="Compact"/>
            </w:pPr>
            <w:r>
              <w:t xml:space="preserve">high</w:t>
            </w:r>
          </w:p>
        </w:tc>
        <w:tc>
          <w:tcPr/>
          <w:p>
            <w:pPr>
              <w:pStyle w:val="Compact"/>
            </w:pPr>
            <w:r>
              <w:t xml:space="preserve">144</w:t>
            </w:r>
          </w:p>
        </w:tc>
        <w:tc>
          <w:tcPr/>
          <w:p>
            <w:pPr>
              <w:pStyle w:val="Compact"/>
            </w:pPr>
            <w:r>
              <w:t xml:space="preserve">150</w:t>
            </w:r>
          </w:p>
        </w:tc>
        <w:tc>
          <w:tcPr/>
          <w:p>
            <w:pPr>
              <w:pStyle w:val="Compact"/>
            </w:pPr>
            <w:r>
              <w:t xml:space="preserve">7</w:t>
            </w:r>
          </w:p>
        </w:tc>
        <w:tc>
          <w:tcPr/>
          <w:p>
            <w:pPr>
              <w:pStyle w:val="Compact"/>
            </w:pPr>
            <w:r>
              <w:t xml:space="preserve">1576</w:t>
            </w:r>
          </w:p>
        </w:tc>
        <w:tc>
          <w:tcPr/>
          <w:p>
            <w:pPr>
              <w:pStyle w:val="Compact"/>
            </w:pPr>
            <w:r>
              <w:t xml:space="preserve">259</w:t>
            </w:r>
          </w:p>
        </w:tc>
        <w:tc>
          <w:tcPr/>
          <w:p>
            <w:pPr>
              <w:pStyle w:val="Compact"/>
            </w:pPr>
            <w:r>
              <w:t xml:space="preserve">2</w:t>
            </w:r>
          </w:p>
        </w:tc>
        <w:tc>
          <w:tcPr/>
          <w:p>
            <w:pPr>
              <w:pStyle w:val="Compact"/>
            </w:pPr>
            <w:r>
              <w:t xml:space="preserve">2</w:t>
            </w:r>
          </w:p>
        </w:tc>
        <w:tc>
          <w:tcPr/>
          <w:p>
            <w:pPr>
              <w:pStyle w:val="Compact"/>
            </w:pPr>
            <w:r>
              <w:t xml:space="preserve">artificial intelligence; machine learning</w:t>
            </w:r>
          </w:p>
        </w:tc>
        <w:tc>
          <w:tcPr/>
          <w:p>
            <w:pPr>
              <w:pStyle w:val="Compact"/>
            </w:pPr>
            <w:r>
              <w:t xml:space="preserve">development; cloud</w:t>
            </w:r>
          </w:p>
        </w:tc>
        <w:tc>
          <w:tcPr/>
          <w:p>
            <w:pPr>
              <w:pStyle w:val="Compact"/>
            </w:pPr>
          </w:p>
        </w:tc>
        <w:tc>
          <w:tcPr/>
          <w:p>
            <w:pPr>
              <w:pStyle w:val="Compact"/>
            </w:pPr>
            <w:r>
              <w:t xml:space="preserve">We believe that several factors are driving the market expansion of the IoT industry: ● Increasing adoption of smart devices: The increasing adoption of smart devices, such as smartphones, smartwatches, and smart home devices, drives the demand for IoT solutions because these devices rely on IoT technology to connect and communicate. ● Growing demand for automation and digitization: Companies are increasingly adopting automation and digitization to improve efficiency, reduce costs, and provide better customer experiences. IoT technology can enable automation and digitization by providing real-time data and insights. ● Increasing focus on sustainability: Companies increasingly focus on sustainability and environmental responsibility, driving demand for IoT solutions that can help reduce energy consumption, minimize waste, and optimize resource utilization. ● Advancements in technology: Advancements in technology, such as 5G networks, artificial intelligence, and machine learning, enable the development of more sophisticated IoT solutions that can provide more value to customers. The emergence of new use cases and applications: IoT technology is being applied to new use cases and applications, such as smart cities, connected cars, and industrial IoT, which drive demand for IoT solutions. Future Prospects of IoT Market We believe that the promise of IoT will be realized through the development of cloud-enabled intelligent devices and systems that contribute critical data, facilitate distributed control and decision-making, and operate securely at scale.</w:t>
            </w:r>
          </w:p>
        </w:tc>
      </w:tr>
      <w:tr>
        <w:tc>
          <w:tcPr/>
          <w:p>
            <w:pPr>
              <w:pStyle w:val="Compact"/>
            </w:pPr>
            <w:r>
              <w:t xml:space="preserve">20240116_10-K_edgar_data_1492617_0001493152-24-002454.html::item_1::c30</w:t>
            </w:r>
          </w:p>
        </w:tc>
        <w:tc>
          <w:tcPr/>
          <w:p>
            <w:pPr>
              <w:pStyle w:val="Compact"/>
            </w:pPr>
            <w:r>
              <w:t xml:space="preserve">20240116_10-K_edgar_data_1492617_0001493152-24-002454.html</w:t>
            </w:r>
          </w:p>
        </w:tc>
        <w:tc>
          <w:tcPr/>
          <w:p>
            <w:pPr>
              <w:pStyle w:val="Compact"/>
            </w:pPr>
            <w:r>
              <w:t xml:space="preserve">..\data\SEC-10K-2024-HTML\20240116_10-K_edgar_data_1492617_0001493152-24-002454.html</w:t>
            </w:r>
          </w:p>
        </w:tc>
        <w:tc>
          <w:tcPr/>
          <w:p>
            <w:pPr>
              <w:pStyle w:val="Compact"/>
            </w:pPr>
            <w:r>
              <w:t xml:space="preserve">item_1</w:t>
            </w:r>
          </w:p>
        </w:tc>
        <w:tc>
          <w:tcPr/>
          <w:p>
            <w:pPr>
              <w:pStyle w:val="Compact"/>
            </w:pPr>
            <w:r>
              <w:t xml:space="preserve">ai_investment</w:t>
            </w:r>
          </w:p>
        </w:tc>
        <w:tc>
          <w:tcPr/>
          <w:p>
            <w:pPr>
              <w:pStyle w:val="Compact"/>
            </w:pPr>
            <w:r>
              <w:t xml:space="preserve">high</w:t>
            </w:r>
          </w:p>
        </w:tc>
        <w:tc>
          <w:tcPr/>
          <w:p>
            <w:pPr>
              <w:pStyle w:val="Compact"/>
            </w:pPr>
            <w:r>
              <w:t xml:space="preserve">149</w:t>
            </w:r>
          </w:p>
        </w:tc>
        <w:tc>
          <w:tcPr/>
          <w:p>
            <w:pPr>
              <w:pStyle w:val="Compact"/>
            </w:pPr>
            <w:r>
              <w:t xml:space="preserve">156</w:t>
            </w:r>
          </w:p>
        </w:tc>
        <w:tc>
          <w:tcPr/>
          <w:p>
            <w:pPr>
              <w:pStyle w:val="Compact"/>
            </w:pPr>
            <w:r>
              <w:t xml:space="preserve">8</w:t>
            </w:r>
          </w:p>
        </w:tc>
        <w:tc>
          <w:tcPr/>
          <w:p>
            <w:pPr>
              <w:pStyle w:val="Compact"/>
            </w:pPr>
            <w:r>
              <w:t xml:space="preserve">1664</w:t>
            </w:r>
          </w:p>
        </w:tc>
        <w:tc>
          <w:tcPr/>
          <w:p>
            <w:pPr>
              <w:pStyle w:val="Compact"/>
            </w:pPr>
            <w:r>
              <w:t xml:space="preserve">282</w:t>
            </w:r>
          </w:p>
        </w:tc>
        <w:tc>
          <w:tcPr/>
          <w:p>
            <w:pPr>
              <w:pStyle w:val="Compact"/>
            </w:pPr>
            <w:r>
              <w:t xml:space="preserve">1</w:t>
            </w:r>
          </w:p>
        </w:tc>
        <w:tc>
          <w:tcPr/>
          <w:p>
            <w:pPr>
              <w:pStyle w:val="Compact"/>
            </w:pPr>
            <w:r>
              <w:t xml:space="preserve">2</w:t>
            </w:r>
          </w:p>
        </w:tc>
        <w:tc>
          <w:tcPr/>
          <w:p>
            <w:pPr>
              <w:pStyle w:val="Compact"/>
            </w:pPr>
            <w:r>
              <w:t xml:space="preserve">machine learning</w:t>
            </w:r>
          </w:p>
        </w:tc>
        <w:tc>
          <w:tcPr/>
          <w:p>
            <w:pPr>
              <w:pStyle w:val="Compact"/>
            </w:pPr>
            <w:r>
              <w:t xml:space="preserve">development; cloud</w:t>
            </w:r>
          </w:p>
        </w:tc>
        <w:tc>
          <w:tcPr/>
          <w:p>
            <w:pPr>
              <w:pStyle w:val="Compact"/>
            </w:pPr>
          </w:p>
        </w:tc>
        <w:tc>
          <w:tcPr/>
          <w:p>
            <w:pPr>
              <w:pStyle w:val="Compact"/>
            </w:pPr>
            <w:r>
              <w:t xml:space="preserve">The emergence of new use cases and applications: IoT technology is being applied to new use cases and applications, such as smart cities, connected cars, and industrial IoT, which drive demand for IoT solutions. Future Prospects of IoT Market We believe that the promise of IoT will be realized through the development of cloud-enabled intelligent devices and systems that contribute critical data, facilitate distributed control and decision-making, and operate securely at scale. The opportunity to help clients transform their businesses and operations through these intelligent systems is enormous. We believe that the Company, through our subsidiary QBS System, offers a combination of expertise in device-level solutions, embedded operating systems, and IoT software and services. Since its founding in 2011, QBS System has sought to design products which operate at the intersection of hardware and software. Today, we believe that intersection is the “edge” where cloud-enabled devices connect to create intelligent systems that share data, facilitate distributed control and machine learning, and operate securely at scale. In addition, we believe environmental, social, and governance (“ ESG ”) considerations have become increasingly important in recent years, as companies are expected to focus on financial performance and their impact on society and the environment. Through our subsidiary QBS System, we can provide solutions that are particularly relevant to ESG: ● Environmental Sustainability: we believe that we can contribute to environmental sustainability by developing products and services that reduce energy consumption and minimize waste.</w:t>
            </w:r>
          </w:p>
        </w:tc>
      </w:tr>
      <w:tr>
        <w:tc>
          <w:tcPr/>
          <w:p>
            <w:pPr>
              <w:pStyle w:val="Compact"/>
            </w:pPr>
            <w:r>
              <w:t xml:space="preserve">20240116_10-K_edgar_data_1492617_0001493152-24-002454.html::item_1::c31</w:t>
            </w:r>
          </w:p>
        </w:tc>
        <w:tc>
          <w:tcPr/>
          <w:p>
            <w:pPr>
              <w:pStyle w:val="Compact"/>
            </w:pPr>
            <w:r>
              <w:t xml:space="preserve">20240116_10-K_edgar_data_1492617_0001493152-24-002454.html</w:t>
            </w:r>
          </w:p>
        </w:tc>
        <w:tc>
          <w:tcPr/>
          <w:p>
            <w:pPr>
              <w:pStyle w:val="Compact"/>
            </w:pPr>
            <w:r>
              <w:t xml:space="preserve">..\data\SEC-10K-2024-HTML\20240116_10-K_edgar_data_1492617_0001493152-24-002454.html</w:t>
            </w:r>
          </w:p>
        </w:tc>
        <w:tc>
          <w:tcPr/>
          <w:p>
            <w:pPr>
              <w:pStyle w:val="Compact"/>
            </w:pPr>
            <w:r>
              <w:t xml:space="preserve">item_1</w:t>
            </w:r>
          </w:p>
        </w:tc>
        <w:tc>
          <w:tcPr/>
          <w:p>
            <w:pPr>
              <w:pStyle w:val="Compact"/>
            </w:pPr>
            <w:r>
              <w:t xml:space="preserve">ai_investment</w:t>
            </w:r>
          </w:p>
        </w:tc>
        <w:tc>
          <w:tcPr/>
          <w:p>
            <w:pPr>
              <w:pStyle w:val="Compact"/>
            </w:pPr>
            <w:r>
              <w:t xml:space="preserve">low</w:t>
            </w:r>
          </w:p>
        </w:tc>
        <w:tc>
          <w:tcPr/>
          <w:p>
            <w:pPr>
              <w:pStyle w:val="Compact"/>
            </w:pPr>
            <w:r>
              <w:t xml:space="preserve">155</w:t>
            </w:r>
          </w:p>
        </w:tc>
        <w:tc>
          <w:tcPr/>
          <w:p>
            <w:pPr>
              <w:pStyle w:val="Compact"/>
            </w:pPr>
            <w:r>
              <w:t xml:space="preserve">163</w:t>
            </w:r>
          </w:p>
        </w:tc>
        <w:tc>
          <w:tcPr/>
          <w:p>
            <w:pPr>
              <w:pStyle w:val="Compact"/>
            </w:pPr>
            <w:r>
              <w:t xml:space="preserve">9</w:t>
            </w:r>
          </w:p>
        </w:tc>
        <w:tc>
          <w:tcPr/>
          <w:p>
            <w:pPr>
              <w:pStyle w:val="Compact"/>
            </w:pPr>
            <w:r>
              <w:t xml:space="preserve">1542</w:t>
            </w:r>
          </w:p>
        </w:tc>
        <w:tc>
          <w:tcPr/>
          <w:p>
            <w:pPr>
              <w:pStyle w:val="Compact"/>
            </w:pPr>
            <w:r>
              <w:t xml:space="preserve">253</w:t>
            </w:r>
          </w:p>
        </w:tc>
        <w:tc>
          <w:tcPr/>
          <w:p>
            <w:pPr>
              <w:pStyle w:val="Compact"/>
            </w:pPr>
            <w:r>
              <w:t xml:space="preserve">1</w:t>
            </w:r>
          </w:p>
        </w:tc>
        <w:tc>
          <w:tcPr/>
          <w:p>
            <w:pPr>
              <w:pStyle w:val="Compact"/>
            </w:pPr>
            <w:r>
              <w:t xml:space="preserve">0</w:t>
            </w:r>
          </w:p>
        </w:tc>
        <w:tc>
          <w:tcPr/>
          <w:p>
            <w:pPr>
              <w:pStyle w:val="Compact"/>
            </w:pPr>
            <w:r>
              <w:t xml:space="preserve">artificial intelligence</w:t>
            </w:r>
          </w:p>
        </w:tc>
        <w:tc>
          <w:tcPr/>
          <w:p>
            <w:pPr>
              <w:pStyle w:val="Compact"/>
            </w:pPr>
          </w:p>
        </w:tc>
        <w:tc>
          <w:tcPr/>
          <w:p>
            <w:pPr>
              <w:pStyle w:val="Compact"/>
            </w:pPr>
          </w:p>
        </w:tc>
        <w:tc>
          <w:tcPr/>
          <w:p>
            <w:pPr>
              <w:pStyle w:val="Compact"/>
            </w:pPr>
            <w:r>
              <w:t xml:space="preserve">In addition, we believe environmental, social, and governance (“ ESG ”) considerations have become increasingly important in recent years, as companies are expected to focus on financial performance and their impact on society and the environment. Through our subsidiary QBS System, we can provide solutions that are particularly relevant to ESG: ● Environmental Sustainability: we believe that we can contribute to environmental sustainability by developing products and services that reduce energy consumption and minimize waste. For example, IoT sensors are intended to optimize energy usage in buildings, reducing the carbon footprint and improving efficiency. ● Social Responsibility: we believe that we can demonstrate social responsibility by ensuring that our products and services are accessible to all, including marginalized communities. Additionally, we believe that they can address issues such as data privacy, security, and ethical concerns related to the use of customer data. ● Governance: Good governance practices are crucial for QBS System to build trust with customers, investors, and regulators. Governance includes transparent reporting on ESG performance, accountability for actions, and responsible management of risks. - 10 - Furthermore, the convergence of IoT and Artificial Intelligence (“ AI ”) is a significant trend that can potentially transform many industries. Combining these two technologies can enable more intelligent and autonomous systems, leading to greater efficiencies and improved decision-making.</w:t>
            </w:r>
          </w:p>
        </w:tc>
      </w:tr>
    </w:tbl>
    <w:bookmarkEnd w:id="81"/>
    <w:bookmarkEnd w:id="82"/>
    <w:bookmarkStart w:id="83" w:name="save-the-extracted-evidence-corpus"/>
    <w:p>
      <w:pPr>
        <w:pStyle w:val="Heading2"/>
      </w:pPr>
      <w:r>
        <w:t xml:space="preserve">8.13 Save the extracted evidence corpus</w:t>
      </w:r>
    </w:p>
    <w:p>
      <w:pPr>
        <w:pStyle w:val="FirstParagraph"/>
      </w:pPr>
      <w:r>
        <w:t xml:space="preserve">This is the main output of the target-signal extraction stage.</w:t>
      </w:r>
    </w:p>
    <w:p>
      <w:pPr>
        <w:pStyle w:val="SourceCode"/>
      </w:pPr>
      <w:r>
        <w:rPr>
          <w:rStyle w:val="NormalTok"/>
        </w:rPr>
        <w:t xml:space="preserve">EVIDENCE_FILE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pecialStringTok"/>
        </w:rPr>
        <w:t xml:space="preserve">f"sec_10k_2024_</w:t>
      </w:r>
      <w:r>
        <w:rPr>
          <w:rStyle w:val="SpecialCharTok"/>
        </w:rPr>
        <w:t xml:space="preserve">{</w:t>
      </w:r>
      <w:r>
        <w:rPr>
          <w:rStyle w:val="NormalTok"/>
        </w:rPr>
        <w:t xml:space="preserve">TARGET_SIGNAL</w:t>
      </w:r>
      <w:r>
        <w:rPr>
          <w:rStyle w:val="SpecialCharTok"/>
        </w:rPr>
        <w:t xml:space="preserve">}</w:t>
      </w:r>
      <w:r>
        <w:rPr>
          <w:rStyle w:val="SpecialStringTok"/>
        </w:rPr>
        <w:t xml:space="preserve">_evidence_chunks.csv"</w:t>
      </w:r>
      <w:r>
        <w:br/>
      </w:r>
      <w:r>
        <w:rPr>
          <w:rStyle w:val="NormalTok"/>
        </w:rPr>
        <w:t xml:space="preserve">df_evidence.to_csv(EVIDENCE_FILE, index</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"Saved evidence file to:"</w:t>
      </w:r>
      <w:r>
        <w:rPr>
          <w:rStyle w:val="NormalTok"/>
        </w:rPr>
        <w:t xml:space="preserve">, EVIDENCE_FILE)</w:t>
      </w:r>
    </w:p>
    <w:p>
      <w:pPr>
        <w:pStyle w:val="SourceCode"/>
      </w:pPr>
      <w:r>
        <w:rPr>
          <w:rStyle w:val="VerbatimChar"/>
        </w:rPr>
        <w:t xml:space="preserve">Saved evidence file to: ..\data\outputs\sec_10k_sections\sec_10k_2024_ai_investment_evidence_chunks.csv</w:t>
      </w:r>
    </w:p>
    <w:p>
      <w:pPr>
        <w:pStyle w:val="FirstParagraph"/>
      </w:pPr>
      <w:r>
        <w:t xml:space="preserve">Optional JSON export:</w:t>
      </w:r>
    </w:p>
    <w:p>
      <w:pPr>
        <w:pStyle w:val="SourceCode"/>
      </w:pPr>
      <w:r>
        <w:rPr>
          <w:rStyle w:val="NormalTok"/>
        </w:rPr>
        <w:t xml:space="preserve">df_evidence.to_json(</w:t>
      </w:r>
      <w:r>
        <w:br/>
      </w:r>
      <w:r>
        <w:rPr>
          <w:rStyle w:val="NormalTok"/>
        </w:rPr>
        <w:t xml:space="preserve">    OUTPUT_DIR </w:t>
      </w:r>
      <w:r>
        <w:rPr>
          <w:rStyle w:val="OperatorTok"/>
        </w:rPr>
        <w:t xml:space="preserve">/</w:t>
      </w:r>
      <w:r>
        <w:rPr>
          <w:rStyle w:val="NormalTok"/>
        </w:rPr>
        <w:t xml:space="preserve"> </w:t>
      </w:r>
      <w:r>
        <w:rPr>
          <w:rStyle w:val="SpecialStringTok"/>
        </w:rPr>
        <w:t xml:space="preserve">f"sec_10k_2024_</w:t>
      </w:r>
      <w:r>
        <w:rPr>
          <w:rStyle w:val="SpecialCharTok"/>
        </w:rPr>
        <w:t xml:space="preserve">{</w:t>
      </w:r>
      <w:r>
        <w:rPr>
          <w:rStyle w:val="NormalTok"/>
        </w:rPr>
        <w:t xml:space="preserve">TARGET_SIGNAL</w:t>
      </w:r>
      <w:r>
        <w:rPr>
          <w:rStyle w:val="SpecialCharTok"/>
        </w:rPr>
        <w:t xml:space="preserve">}</w:t>
      </w:r>
      <w:r>
        <w:rPr>
          <w:rStyle w:val="SpecialStringTok"/>
        </w:rPr>
        <w:t xml:space="preserve">_evidence_chunks.json"</w:t>
      </w:r>
      <w:r>
        <w:rPr>
          <w:rStyle w:val="NormalTok"/>
        </w:rPr>
        <w:t xml:space="preserve">,</w:t>
      </w:r>
      <w:r>
        <w:br/>
      </w:r>
      <w:r>
        <w:rPr>
          <w:rStyle w:val="NormalTok"/>
        </w:rPr>
        <w:t xml:space="preserve">    orient</w:t>
      </w:r>
      <w:r>
        <w:rPr>
          <w:rStyle w:val="OperatorTok"/>
        </w:rPr>
        <w:t xml:space="preserve">=</w:t>
      </w:r>
      <w:r>
        <w:rPr>
          <w:rStyle w:val="StringTok"/>
        </w:rPr>
        <w:t xml:space="preserve">"records"</w:t>
      </w:r>
      <w:r>
        <w:rPr>
          <w:rStyle w:val="NormalTok"/>
        </w:rPr>
        <w:t xml:space="preserve">,</w:t>
      </w:r>
      <w:r>
        <w:br/>
      </w:r>
      <w:r>
        <w:rPr>
          <w:rStyle w:val="NormalTok"/>
        </w:rPr>
        <w:t xml:space="preserve">    force_ascii</w:t>
      </w:r>
      <w:r>
        <w:rPr>
          <w:rStyle w:val="OperatorTok"/>
        </w:rPr>
        <w:t xml:space="preserve">=</w:t>
      </w:r>
      <w:r>
        <w:rPr>
          <w:rStyle w:val="VariableTok"/>
        </w:rPr>
        <w:t xml:space="preserve">False</w:t>
      </w:r>
      <w:r>
        <w:rPr>
          <w:rStyle w:val="NormalTok"/>
        </w:rPr>
        <w:t xml:space="preserve">,</w:t>
      </w:r>
      <w:r>
        <w:br/>
      </w:r>
      <w:r>
        <w:rPr>
          <w:rStyle w:val="NormalTok"/>
        </w:rPr>
        <w:t xml:space="preserve">    indent</w:t>
      </w:r>
      <w:r>
        <w:rPr>
          <w:rStyle w:val="OperatorTok"/>
        </w:rPr>
        <w:t xml:space="preserve">=</w:t>
      </w:r>
      <w:r>
        <w:rPr>
          <w:rStyle w:val="DecValTok"/>
        </w:rPr>
        <w:t xml:space="preserve">2</w:t>
      </w:r>
      <w:r>
        <w:br/>
      </w:r>
      <w:r>
        <w:rPr>
          <w:rStyle w:val="NormalTok"/>
        </w:rPr>
        <w:t xml:space="preserve">)</w:t>
      </w:r>
    </w:p>
    <w:bookmarkEnd w:id="83"/>
    <w:bookmarkEnd w:id="84"/>
    <w:bookmarkStart w:id="86" w:name="X06fcb4f44b2579c1f3391406fe003931f399f21"/>
    <w:p>
      <w:pPr>
        <w:pStyle w:val="Heading1"/>
      </w:pPr>
      <w:r>
        <w:t xml:space="preserve">9. Optional Enhancement: company-level summary table</w:t>
      </w:r>
    </w:p>
    <w:p>
      <w:pPr>
        <w:pStyle w:val="FirstParagraph"/>
      </w:pPr>
      <w:r>
        <w:t xml:space="preserve">Since we want to aggregate</w:t>
      </w:r>
      <w:r>
        <w:t xml:space="preserve"> </w:t>
      </w:r>
      <w:r>
        <w:rPr>
          <w:b/>
          <w:bCs/>
        </w:rPr>
        <w:t xml:space="preserve">company/sector-based RAG</w:t>
      </w:r>
      <w:r>
        <w:t xml:space="preserve">, it is useful to aggregate evidence counts by filing.</w:t>
      </w:r>
    </w:p>
    <w:p>
      <w:pPr>
        <w:pStyle w:val="SourceCode"/>
      </w:pPr>
      <w:r>
        <w:rPr>
          <w:rStyle w:val="NormalTok"/>
        </w:rPr>
        <w:t xml:space="preserve">df_company_signal_summary </w:t>
      </w:r>
      <w:r>
        <w:rPr>
          <w:rStyle w:val="OperatorTok"/>
        </w:rPr>
        <w:t xml:space="preserve">=</w:t>
      </w:r>
      <w:r>
        <w:rPr>
          <w:rStyle w:val="NormalTok"/>
        </w:rPr>
        <w:t xml:space="preserve"> (</w:t>
      </w:r>
      <w:r>
        <w:br/>
      </w:r>
      <w:r>
        <w:rPr>
          <w:rStyle w:val="NormalTok"/>
        </w:rPr>
        <w:t xml:space="preserve">    df_evidence</w:t>
      </w:r>
      <w:r>
        <w:br/>
      </w:r>
      <w:r>
        <w:rPr>
          <w:rStyle w:val="NormalTok"/>
        </w:rPr>
        <w:t xml:space="preserve">    .groupby([</w:t>
      </w:r>
      <w:r>
        <w:rPr>
          <w:rStyle w:val="StringTok"/>
        </w:rPr>
        <w:t xml:space="preserve">"file_name"</w:t>
      </w:r>
      <w:r>
        <w:rPr>
          <w:rStyle w:val="NormalTok"/>
        </w:rPr>
        <w:t xml:space="preserve">, </w:t>
      </w:r>
      <w:r>
        <w:rPr>
          <w:rStyle w:val="StringTok"/>
        </w:rPr>
        <w:t xml:space="preserve">"signal_type"</w:t>
      </w:r>
      <w:r>
        <w:rPr>
          <w:rStyle w:val="NormalTok"/>
        </w:rPr>
        <w:t xml:space="preserve">, </w:t>
      </w:r>
      <w:r>
        <w:rPr>
          <w:rStyle w:val="StringTok"/>
        </w:rPr>
        <w:t xml:space="preserve">"section_name"</w:t>
      </w:r>
      <w:r>
        <w:rPr>
          <w:rStyle w:val="NormalTok"/>
        </w:rPr>
        <w:t xml:space="preserve">], as_index</w:t>
      </w:r>
      <w:r>
        <w:rPr>
          <w:rStyle w:val="OperatorTok"/>
        </w:rPr>
        <w:t xml:space="preserve">=</w:t>
      </w:r>
      <w:r>
        <w:rPr>
          <w:rStyle w:val="VariableTok"/>
        </w:rPr>
        <w:t xml:space="preserve">False</w:t>
      </w:r>
      <w:r>
        <w:rPr>
          <w:rStyle w:val="NormalTok"/>
        </w:rPr>
        <w:t xml:space="preserve">)</w:t>
      </w:r>
      <w:r>
        <w:br/>
      </w:r>
      <w:r>
        <w:rPr>
          <w:rStyle w:val="NormalTok"/>
        </w:rPr>
        <w:t xml:space="preserve">    .agg(</w:t>
      </w:r>
      <w:r>
        <w:br/>
      </w:r>
      <w:r>
        <w:rPr>
          <w:rStyle w:val="NormalTok"/>
        </w:rPr>
        <w:t xml:space="preserve">        n_signal_chunks</w:t>
      </w:r>
      <w:r>
        <w:rPr>
          <w:rStyle w:val="OperatorTok"/>
        </w:rPr>
        <w:t xml:space="preserve">=</w:t>
      </w:r>
      <w:r>
        <w:rPr>
          <w:rStyle w:val="NormalTok"/>
        </w:rPr>
        <w:t xml:space="preserve">(</w:t>
      </w:r>
      <w:r>
        <w:rPr>
          <w:rStyle w:val="StringTok"/>
        </w:rPr>
        <w:t xml:space="preserve">"chunk_id"</w:t>
      </w:r>
      <w:r>
        <w:rPr>
          <w:rStyle w:val="NormalTok"/>
        </w:rPr>
        <w:t xml:space="preserve">, </w:t>
      </w:r>
      <w:r>
        <w:rPr>
          <w:rStyle w:val="StringTok"/>
        </w:rPr>
        <w:t xml:space="preserve">"count"</w:t>
      </w:r>
      <w:r>
        <w:rPr>
          <w:rStyle w:val="NormalTok"/>
        </w:rPr>
        <w:t xml:space="preserve">),</w:t>
      </w:r>
      <w:r>
        <w:br/>
      </w:r>
      <w:r>
        <w:rPr>
          <w:rStyle w:val="NormalTok"/>
        </w:rPr>
        <w:t xml:space="preserve">        avg_chunk_tokens</w:t>
      </w:r>
      <w:r>
        <w:rPr>
          <w:rStyle w:val="OperatorTok"/>
        </w:rPr>
        <w:t xml:space="preserve">=</w:t>
      </w:r>
      <w:r>
        <w:rPr>
          <w:rStyle w:val="NormalTok"/>
        </w:rPr>
        <w:t xml:space="preserve">(</w:t>
      </w:r>
      <w:r>
        <w:rPr>
          <w:rStyle w:val="StringTok"/>
        </w:rPr>
        <w:t xml:space="preserve">"approx_token_count"</w:t>
      </w:r>
      <w:r>
        <w:rPr>
          <w:rStyle w:val="NormalTok"/>
        </w:rPr>
        <w:t xml:space="preserve">, </w:t>
      </w:r>
      <w:r>
        <w:rPr>
          <w:rStyle w:val="StringTok"/>
        </w:rPr>
        <w:t xml:space="preserve">"mean"</w:t>
      </w:r>
      <w:r>
        <w:rPr>
          <w:rStyle w:val="NormalTok"/>
        </w:rPr>
        <w:t xml:space="preserve">),</w:t>
      </w:r>
      <w:r>
        <w:br/>
      </w:r>
      <w:r>
        <w:rPr>
          <w:rStyle w:val="NormalTok"/>
        </w:rPr>
        <w:t xml:space="preserve">        high_conf_chunks</w:t>
      </w:r>
      <w:r>
        <w:rPr>
          <w:rStyle w:val="OperatorTok"/>
        </w:rPr>
        <w:t xml:space="preserve">=</w:t>
      </w:r>
      <w:r>
        <w:rPr>
          <w:rStyle w:val="NormalTok"/>
        </w:rPr>
        <w:t xml:space="preserve">(</w:t>
      </w:r>
      <w:r>
        <w:rPr>
          <w:rStyle w:val="StringTok"/>
        </w:rPr>
        <w:t xml:space="preserve">"signal_confidence"</w:t>
      </w:r>
      <w:r>
        <w:rPr>
          <w:rStyle w:val="NormalTok"/>
        </w:rPr>
        <w:t xml:space="preserve">, </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StringTok"/>
        </w:rPr>
        <w:t xml:space="preserve">"high"</w:t>
      </w:r>
      <w:r>
        <w:rPr>
          <w:rStyle w:val="NormalTok"/>
        </w:rPr>
        <w:t xml:space="preserve">).</w:t>
      </w:r>
      <w:r>
        <w:rPr>
          <w:rStyle w:val="BuiltInTok"/>
        </w:rPr>
        <w:t xml:space="preserve">sum</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df_company_signal_summary.head().style.hide(axis</w:t>
      </w:r>
      <w:r>
        <w:rPr>
          <w:rStyle w:val="OperatorTok"/>
        </w:rPr>
        <w:t xml:space="preserve">=</w:t>
      </w:r>
      <w:r>
        <w:rPr>
          <w:rStyle w:val="StringTok"/>
        </w:rPr>
        <w:t xml:space="preserve">"index"</w:t>
      </w:r>
      <w:r>
        <w:rPr>
          <w:rStyle w:val="NormalTok"/>
        </w:rPr>
        <w:t xml:space="preserve">)</w:t>
      </w:r>
    </w:p>
    <w:bookmarkStart w:id="85" w:name="T_f976e"/>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file_name</w:t>
            </w:r>
          </w:p>
        </w:tc>
        <w:tc>
          <w:tcPr/>
          <w:p>
            <w:pPr>
              <w:pStyle w:val="Compact"/>
            </w:pPr>
            <w:r>
              <w:t xml:space="preserve">signal_type</w:t>
            </w:r>
          </w:p>
        </w:tc>
        <w:tc>
          <w:tcPr/>
          <w:p>
            <w:pPr>
              <w:pStyle w:val="Compact"/>
            </w:pPr>
            <w:r>
              <w:t xml:space="preserve">section_name</w:t>
            </w:r>
          </w:p>
        </w:tc>
        <w:tc>
          <w:tcPr/>
          <w:p>
            <w:pPr>
              <w:pStyle w:val="Compact"/>
            </w:pPr>
            <w:r>
              <w:t xml:space="preserve">n_signal_chunks</w:t>
            </w:r>
          </w:p>
        </w:tc>
        <w:tc>
          <w:tcPr/>
          <w:p>
            <w:pPr>
              <w:pStyle w:val="Compact"/>
            </w:pPr>
            <w:r>
              <w:t xml:space="preserve">avg_chunk_tokens</w:t>
            </w:r>
          </w:p>
        </w:tc>
        <w:tc>
          <w:tcPr/>
          <w:p>
            <w:pPr>
              <w:pStyle w:val="Compact"/>
            </w:pPr>
            <w:r>
              <w:t xml:space="preserve">high_conf_chunks</w:t>
            </w:r>
          </w:p>
        </w:tc>
      </w:tr>
      <w:tr>
        <w:tc>
          <w:tcPr/>
          <w:p>
            <w:pPr>
              <w:pStyle w:val="Compact"/>
            </w:pPr>
            <w:r>
              <w:t xml:space="preserve">20240105_10-K_edgar_data_1362703_0001493152-24-001515.html</w:t>
            </w:r>
          </w:p>
        </w:tc>
        <w:tc>
          <w:tcPr/>
          <w:p>
            <w:pPr>
              <w:pStyle w:val="Compact"/>
            </w:pPr>
            <w:r>
              <w:t xml:space="preserve">ai_investment</w:t>
            </w:r>
          </w:p>
        </w:tc>
        <w:tc>
          <w:tcPr/>
          <w:p>
            <w:pPr>
              <w:pStyle w:val="Compact"/>
            </w:pPr>
            <w:r>
              <w:t xml:space="preserve">item_1</w:t>
            </w:r>
          </w:p>
        </w:tc>
        <w:tc>
          <w:tcPr/>
          <w:p>
            <w:pPr>
              <w:pStyle w:val="Compact"/>
            </w:pPr>
            <w:r>
              <w:t xml:space="preserve">2</w:t>
            </w:r>
          </w:p>
        </w:tc>
        <w:tc>
          <w:tcPr/>
          <w:p>
            <w:pPr>
              <w:pStyle w:val="Compact"/>
            </w:pPr>
            <w:r>
              <w:t xml:space="preserve">285.000000</w:t>
            </w:r>
          </w:p>
        </w:tc>
        <w:tc>
          <w:tcPr/>
          <w:p>
            <w:pPr>
              <w:pStyle w:val="Compact"/>
            </w:pPr>
            <w:r>
              <w:t xml:space="preserve">0</w:t>
            </w:r>
          </w:p>
        </w:tc>
      </w:tr>
      <w:tr>
        <w:tc>
          <w:tcPr/>
          <w:p>
            <w:pPr>
              <w:pStyle w:val="Compact"/>
            </w:pPr>
            <w:r>
              <w:t xml:space="preserve">20240116_10-K_edgar_data_1492617_0001493152-24-002454.html</w:t>
            </w:r>
          </w:p>
        </w:tc>
        <w:tc>
          <w:tcPr/>
          <w:p>
            <w:pPr>
              <w:pStyle w:val="Compact"/>
            </w:pPr>
            <w:r>
              <w:t xml:space="preserve">ai_investment</w:t>
            </w:r>
          </w:p>
        </w:tc>
        <w:tc>
          <w:tcPr/>
          <w:p>
            <w:pPr>
              <w:pStyle w:val="Compact"/>
            </w:pPr>
            <w:r>
              <w:t xml:space="preserve">item_1</w:t>
            </w:r>
          </w:p>
        </w:tc>
        <w:tc>
          <w:tcPr/>
          <w:p>
            <w:pPr>
              <w:pStyle w:val="Compact"/>
            </w:pPr>
            <w:r>
              <w:t xml:space="preserve">4</w:t>
            </w:r>
          </w:p>
        </w:tc>
        <w:tc>
          <w:tcPr/>
          <w:p>
            <w:pPr>
              <w:pStyle w:val="Compact"/>
            </w:pPr>
            <w:r>
              <w:t xml:space="preserve">261.500000</w:t>
            </w:r>
          </w:p>
        </w:tc>
        <w:tc>
          <w:tcPr/>
          <w:p>
            <w:pPr>
              <w:pStyle w:val="Compact"/>
            </w:pPr>
            <w:r>
              <w:t xml:space="preserve">2</w:t>
            </w:r>
          </w:p>
        </w:tc>
      </w:tr>
    </w:tbl>
    <w:bookmarkEnd w:id="85"/>
    <w:p>
      <w:pPr>
        <w:pStyle w:val="BodyText"/>
      </w:pPr>
      <w:r>
        <w:t xml:space="preserve">Save:</w:t>
      </w:r>
    </w:p>
    <w:p>
      <w:pPr>
        <w:pStyle w:val="SourceCode"/>
      </w:pPr>
      <w:r>
        <w:rPr>
          <w:rStyle w:val="NormalTok"/>
        </w:rPr>
        <w:t xml:space="preserve">df_company_signal_summary.to_csv(</w:t>
      </w:r>
      <w:r>
        <w:br/>
      </w:r>
      <w:r>
        <w:rPr>
          <w:rStyle w:val="NormalTok"/>
        </w:rPr>
        <w:t xml:space="preserve">    OUTPUT_DIR </w:t>
      </w:r>
      <w:r>
        <w:rPr>
          <w:rStyle w:val="OperatorTok"/>
        </w:rPr>
        <w:t xml:space="preserve">/</w:t>
      </w:r>
      <w:r>
        <w:rPr>
          <w:rStyle w:val="NormalTok"/>
        </w:rPr>
        <w:t xml:space="preserve"> </w:t>
      </w:r>
      <w:r>
        <w:rPr>
          <w:rStyle w:val="SpecialStringTok"/>
        </w:rPr>
        <w:t xml:space="preserve">f"sec_10k_2024_</w:t>
      </w:r>
      <w:r>
        <w:rPr>
          <w:rStyle w:val="SpecialCharTok"/>
        </w:rPr>
        <w:t xml:space="preserve">{</w:t>
      </w:r>
      <w:r>
        <w:rPr>
          <w:rStyle w:val="NormalTok"/>
        </w:rPr>
        <w:t xml:space="preserve">TARGET_SIGNAL</w:t>
      </w:r>
      <w:r>
        <w:rPr>
          <w:rStyle w:val="SpecialCharTok"/>
        </w:rPr>
        <w:t xml:space="preserve">}</w:t>
      </w:r>
      <w:r>
        <w:rPr>
          <w:rStyle w:val="SpecialStringTok"/>
        </w:rPr>
        <w:t xml:space="preserve">_company_summary.csv"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w:t>
      </w:r>
    </w:p>
    <w:bookmarkEnd w:id="86"/>
    <w:bookmarkStart w:id="106" w:name="build-the-direct-retrieval-ready-dataset"/>
    <w:p>
      <w:pPr>
        <w:pStyle w:val="Heading1"/>
      </w:pPr>
      <w:r>
        <w:t xml:space="preserve">10. Build the Direct Retrieval-Ready Dataset</w:t>
      </w:r>
    </w:p>
    <w:p>
      <w:pPr>
        <w:pStyle w:val="FirstParagraph"/>
      </w:pPr>
      <w:r>
        <w:t xml:space="preserve">This section assumes you already have:</w:t>
      </w:r>
    </w:p>
    <w:p>
      <w:pPr>
        <w:pStyle w:val="Compact"/>
        <w:numPr>
          <w:ilvl w:val="0"/>
          <w:numId w:val="1043"/>
        </w:numPr>
      </w:pPr>
      <w:r>
        <w:rPr>
          <w:rStyle w:val="VerbatimChar"/>
        </w:rPr>
        <w:t xml:space="preserve">df_chunks</w:t>
      </w:r>
      <w:r>
        <w:t xml:space="preserve"> </w:t>
      </w:r>
      <w:r>
        <w:t xml:space="preserve">from the rolling sentence-window chunking step</w:t>
      </w:r>
    </w:p>
    <w:p>
      <w:pPr>
        <w:pStyle w:val="Compact"/>
        <w:numPr>
          <w:ilvl w:val="0"/>
          <w:numId w:val="1043"/>
        </w:numPr>
      </w:pPr>
      <w:r>
        <w:t xml:space="preserve">optionally</w:t>
      </w:r>
      <w:r>
        <w:t xml:space="preserve"> </w:t>
      </w:r>
      <w:r>
        <w:rPr>
          <w:rStyle w:val="VerbatimChar"/>
        </w:rPr>
        <w:t xml:space="preserve">df_sections</w:t>
      </w:r>
      <w:r>
        <w:t xml:space="preserve"> </w:t>
      </w:r>
      <w:r>
        <w:t xml:space="preserve">from the extracted section corpus</w:t>
      </w:r>
    </w:p>
    <w:p>
      <w:pPr>
        <w:pStyle w:val="Compact"/>
        <w:numPr>
          <w:ilvl w:val="0"/>
          <w:numId w:val="1043"/>
        </w:numPr>
      </w:pPr>
      <w:r>
        <w:t xml:space="preserve">optionally</w:t>
      </w:r>
      <w:r>
        <w:t xml:space="preserve"> </w:t>
      </w:r>
      <w:r>
        <w:rPr>
          <w:rStyle w:val="VerbatimChar"/>
        </w:rPr>
        <w:t xml:space="preserve">df_signal_candidates</w:t>
      </w:r>
      <w:r>
        <w:t xml:space="preserve"> </w:t>
      </w:r>
      <w:r>
        <w:t xml:space="preserve">or</w:t>
      </w:r>
      <w:r>
        <w:t xml:space="preserve"> </w:t>
      </w:r>
      <w:r>
        <w:rPr>
          <w:rStyle w:val="VerbatimChar"/>
        </w:rPr>
        <w:t xml:space="preserve">df_evidence</w:t>
      </w:r>
      <w:r>
        <w:t xml:space="preserve"> </w:t>
      </w:r>
      <w:r>
        <w:t xml:space="preserve">from the signal extraction step</w:t>
      </w:r>
    </w:p>
    <w:p>
      <w:pPr>
        <w:pStyle w:val="FirstParagraph"/>
      </w:pPr>
      <w:r>
        <w:t xml:space="preserve">The goal here is to create a</w:t>
      </w:r>
      <w:r>
        <w:t xml:space="preserve"> </w:t>
      </w:r>
      <w:r>
        <w:rPr>
          <w:b/>
          <w:bCs/>
        </w:rPr>
        <w:t xml:space="preserve">single clean chunk dataset</w:t>
      </w:r>
      <w:r>
        <w:t xml:space="preserve"> </w:t>
      </w:r>
      <w:r>
        <w:t xml:space="preserve">that can later be embedded and indexed. Since we have created</w:t>
      </w:r>
      <w:r>
        <w:t xml:space="preserve"> </w:t>
      </w:r>
      <w:r>
        <w:rPr>
          <w:b/>
          <w:bCs/>
        </w:rPr>
        <w:t xml:space="preserve">target signal definition</w:t>
      </w:r>
      <w:r>
        <w:t xml:space="preserve"> </w:t>
      </w:r>
      <w:r>
        <w:t xml:space="preserve">and</w:t>
      </w:r>
      <w:r>
        <w:t xml:space="preserve"> </w:t>
      </w:r>
      <w:r>
        <w:rPr>
          <w:b/>
          <w:bCs/>
        </w:rPr>
        <w:t xml:space="preserve">programmatic extraction</w:t>
      </w:r>
      <w:r>
        <w:t xml:space="preserve">. The next logical step is to</w:t>
      </w:r>
      <w:r>
        <w:t xml:space="preserve"> </w:t>
      </w:r>
      <w:r>
        <w:rPr>
          <w:b/>
          <w:bCs/>
        </w:rPr>
        <w:t xml:space="preserve">annotate the chunk corpus with the extracted signal labels</w:t>
      </w:r>
      <w:r>
        <w:t xml:space="preserve"> </w:t>
      </w:r>
      <w:r>
        <w:t xml:space="preserve">and then</w:t>
      </w:r>
      <w:r>
        <w:t xml:space="preserve"> </w:t>
      </w:r>
      <w:r>
        <w:rPr>
          <w:b/>
          <w:bCs/>
        </w:rPr>
        <w:t xml:space="preserve">finalize the retrieval-ready dataset</w:t>
      </w:r>
      <w:r>
        <w:t xml:space="preserve">.</w:t>
      </w:r>
    </w:p>
    <w:p>
      <w:pPr>
        <w:pStyle w:val="BodyText"/>
      </w:pPr>
      <w:r>
        <w:t xml:space="preserve">So this next section should do following:</w:t>
      </w:r>
    </w:p>
    <w:p>
      <w:pPr>
        <w:pStyle w:val="Compact"/>
        <w:numPr>
          <w:ilvl w:val="0"/>
          <w:numId w:val="1044"/>
        </w:numPr>
      </w:pPr>
      <w:r>
        <w:t xml:space="preserve">add and normalize</w:t>
      </w:r>
      <w:r>
        <w:t xml:space="preserve"> </w:t>
      </w:r>
      <w:r>
        <w:rPr>
          <w:b/>
          <w:bCs/>
        </w:rPr>
        <w:t xml:space="preserve">metadata</w:t>
      </w:r>
    </w:p>
    <w:p>
      <w:pPr>
        <w:pStyle w:val="Compact"/>
        <w:numPr>
          <w:ilvl w:val="0"/>
          <w:numId w:val="1044"/>
        </w:numPr>
      </w:pPr>
      <w:r>
        <w:t xml:space="preserve">export a</w:t>
      </w:r>
      <w:r>
        <w:t xml:space="preserve"> </w:t>
      </w:r>
      <w:r>
        <w:rPr>
          <w:b/>
          <w:bCs/>
        </w:rPr>
        <w:t xml:space="preserve">clean retrieval-ready corpus</w:t>
      </w:r>
      <w:r>
        <w:t xml:space="preserve"> </w:t>
      </w:r>
      <w:r>
        <w:t xml:space="preserve">for Assignment 3</w:t>
      </w:r>
    </w:p>
    <w:p>
      <w:pPr>
        <w:pStyle w:val="FirstParagraph"/>
      </w:pPr>
      <w:r>
        <w:t xml:space="preserve">In most cases these could be separate notebook sections and the only final deliverable is the csv file that is used to create the vector database.</w:t>
      </w:r>
    </w:p>
    <w:bookmarkStart w:id="87" w:name="load-the-chunk-corpus"/>
    <w:p>
      <w:pPr>
        <w:pStyle w:val="Heading2"/>
      </w:pPr>
      <w:r>
        <w:t xml:space="preserve">10.1 Load the chunk corpus</w:t>
      </w:r>
    </w:p>
    <w:p>
      <w:pPr>
        <w:pStyle w:val="FirstParagraph"/>
      </w:pPr>
      <w:r>
        <w:t xml:space="preserve">If not already in memory, load the chunk corpus from the saved CSV file. This is the main dataset we will be working with for retrieval preparation.</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re</w:t>
      </w:r>
      <w:r>
        <w:br/>
      </w:r>
      <w:r>
        <w:br/>
      </w:r>
      <w:r>
        <w:rPr>
          <w:rStyle w:val="NormalTok"/>
        </w:rPr>
        <w:t xml:space="preserve">OUTPUT_DIR </w:t>
      </w:r>
      <w:r>
        <w:rPr>
          <w:rStyle w:val="OperatorTok"/>
        </w:rPr>
        <w:t xml:space="preserve">=</w:t>
      </w:r>
      <w:r>
        <w:rPr>
          <w:rStyle w:val="NormalTok"/>
        </w:rPr>
        <w:t xml:space="preserve"> Path(</w:t>
      </w:r>
      <w:r>
        <w:rPr>
          <w:rStyle w:val="StringTok"/>
        </w:rPr>
        <w:t xml:space="preserve">"./outputs/sec_10k_sections"</w:t>
      </w:r>
      <w:r>
        <w:rPr>
          <w:rStyle w:val="NormalTok"/>
        </w:rPr>
        <w:t xml:space="preserve">)</w:t>
      </w:r>
      <w:r>
        <w:br/>
      </w:r>
      <w:r>
        <w:br/>
      </w:r>
      <w:r>
        <w:rPr>
          <w:rStyle w:val="NormalTok"/>
        </w:rPr>
        <w:t xml:space="preserve">CHUNKS_FILE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tringTok"/>
        </w:rPr>
        <w:t xml:space="preserve">"sec_10k_2024_sentence_window_chunks.csv"</w:t>
      </w:r>
      <w:r>
        <w:br/>
      </w:r>
      <w:r>
        <w:rPr>
          <w:rStyle w:val="NormalTok"/>
        </w:rPr>
        <w:t xml:space="preserve">SECTIONS_FILE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tringTok"/>
        </w:rPr>
        <w:t xml:space="preserve">"sec_10k_2024_sections.csv"</w:t>
      </w:r>
      <w:r>
        <w:br/>
      </w:r>
      <w:r>
        <w:br/>
      </w:r>
      <w:r>
        <w:rPr>
          <w:rStyle w:val="NormalTok"/>
        </w:rPr>
        <w:t xml:space="preserve">df_chunks </w:t>
      </w:r>
      <w:r>
        <w:rPr>
          <w:rStyle w:val="OperatorTok"/>
        </w:rPr>
        <w:t xml:space="preserve">=</w:t>
      </w:r>
      <w:r>
        <w:rPr>
          <w:rStyle w:val="NormalTok"/>
        </w:rPr>
        <w:t xml:space="preserve"> pd.read_csv(CHUNKS_FILE)</w:t>
      </w:r>
      <w:r>
        <w:br/>
      </w:r>
      <w:r>
        <w:rPr>
          <w:rStyle w:val="NormalTok"/>
        </w:rPr>
        <w:t xml:space="preserve">df_sections </w:t>
      </w:r>
      <w:r>
        <w:rPr>
          <w:rStyle w:val="OperatorTok"/>
        </w:rPr>
        <w:t xml:space="preserve">=</w:t>
      </w:r>
      <w:r>
        <w:rPr>
          <w:rStyle w:val="NormalTok"/>
        </w:rPr>
        <w:t xml:space="preserve"> pd.read_csv(SECTIONS_FILE)</w:t>
      </w:r>
      <w:r>
        <w:br/>
      </w:r>
      <w:r>
        <w:br/>
      </w:r>
      <w:r>
        <w:rPr>
          <w:rStyle w:val="BuiltInTok"/>
        </w:rPr>
        <w:t xml:space="preserve">print</w:t>
      </w:r>
      <w:r>
        <w:rPr>
          <w:rStyle w:val="NormalTok"/>
        </w:rPr>
        <w:t xml:space="preserve">(</w:t>
      </w:r>
      <w:r>
        <w:rPr>
          <w:rStyle w:val="StringTok"/>
        </w:rPr>
        <w:t xml:space="preserve">"Chunks shape:"</w:t>
      </w:r>
      <w:r>
        <w:rPr>
          <w:rStyle w:val="NormalTok"/>
        </w:rPr>
        <w:t xml:space="preserve">, df_chunks.shape)</w:t>
      </w:r>
      <w:r>
        <w:br/>
      </w:r>
      <w:r>
        <w:rPr>
          <w:rStyle w:val="BuiltInTok"/>
        </w:rPr>
        <w:t xml:space="preserve">print</w:t>
      </w:r>
      <w:r>
        <w:rPr>
          <w:rStyle w:val="NormalTok"/>
        </w:rPr>
        <w:t xml:space="preserve">(</w:t>
      </w:r>
      <w:r>
        <w:rPr>
          <w:rStyle w:val="StringTok"/>
        </w:rPr>
        <w:t xml:space="preserve">"Sections shape:"</w:t>
      </w:r>
      <w:r>
        <w:rPr>
          <w:rStyle w:val="NormalTok"/>
        </w:rPr>
        <w:t xml:space="preserve">, df_sections.shape)</w:t>
      </w:r>
    </w:p>
    <w:bookmarkEnd w:id="87"/>
    <w:bookmarkStart w:id="88" w:name="inspect-available-columns"/>
    <w:p>
      <w:pPr>
        <w:pStyle w:val="Heading2"/>
      </w:pPr>
      <w:r>
        <w:t xml:space="preserve">10.2 Inspect available columns</w:t>
      </w:r>
    </w:p>
    <w:p>
      <w:pPr>
        <w:pStyle w:val="FirstParagraph"/>
      </w:pPr>
      <w:r>
        <w:t xml:space="preserve">This helps confirm what metadata is already present.</w:t>
      </w:r>
    </w:p>
    <w:p>
      <w:pPr>
        <w:pStyle w:val="SourceCode"/>
      </w:pPr>
      <w:r>
        <w:rPr>
          <w:rStyle w:val="BuiltInTok"/>
        </w:rPr>
        <w:t xml:space="preserve">print</w:t>
      </w:r>
      <w:r>
        <w:rPr>
          <w:rStyle w:val="NormalTok"/>
        </w:rPr>
        <w:t xml:space="preserve">(</w:t>
      </w:r>
      <w:r>
        <w:rPr>
          <w:rStyle w:val="StringTok"/>
        </w:rPr>
        <w:t xml:space="preserve">"Chunk columns:"</w:t>
      </w:r>
      <w:r>
        <w:rPr>
          <w:rStyle w:val="NormalTok"/>
        </w:rPr>
        <w:t xml:space="preserve">)</w:t>
      </w:r>
      <w:r>
        <w:br/>
      </w:r>
      <w:r>
        <w:rPr>
          <w:rStyle w:val="BuiltInTok"/>
        </w:rPr>
        <w:t xml:space="preserve">print</w:t>
      </w:r>
      <w:r>
        <w:rPr>
          <w:rStyle w:val="NormalTok"/>
        </w:rPr>
        <w:t xml:space="preserve">(df_chunks.columns.tolist())</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Section columns:"</w:t>
      </w:r>
      <w:r>
        <w:rPr>
          <w:rStyle w:val="NormalTok"/>
        </w:rPr>
        <w:t xml:space="preserve">)</w:t>
      </w:r>
      <w:r>
        <w:br/>
      </w:r>
      <w:r>
        <w:rPr>
          <w:rStyle w:val="BuiltInTok"/>
        </w:rPr>
        <w:t xml:space="preserve">print</w:t>
      </w:r>
      <w:r>
        <w:rPr>
          <w:rStyle w:val="NormalTok"/>
        </w:rPr>
        <w:t xml:space="preserve">(df_sections.columns.tolist())</w:t>
      </w:r>
    </w:p>
    <w:p>
      <w:pPr>
        <w:pStyle w:val="SourceCode"/>
      </w:pPr>
      <w:r>
        <w:rPr>
          <w:rStyle w:val="VerbatimChar"/>
        </w:rPr>
        <w:t xml:space="preserve">Chunk columns:</w:t>
      </w:r>
      <w:r>
        <w:br/>
      </w:r>
      <w:r>
        <w:rPr>
          <w:rStyle w:val="VerbatimChar"/>
        </w:rPr>
        <w:t xml:space="preserve">['chunk_id', 'file_name', 'file_path', 'section_name', 'start_sentence', 'end_sentence', 'n_sentences', 'chunk_text', 'chunk_length_chars', 'approx_token_count']</w:t>
      </w:r>
      <w:r>
        <w:br/>
      </w:r>
      <w:r>
        <w:br/>
      </w:r>
      <w:r>
        <w:rPr>
          <w:rStyle w:val="VerbatimChar"/>
        </w:rPr>
        <w:t xml:space="preserve">Section columns:</w:t>
      </w:r>
      <w:r>
        <w:br/>
      </w:r>
      <w:r>
        <w:rPr>
          <w:rStyle w:val="VerbatimChar"/>
        </w:rPr>
        <w:t xml:space="preserve">['file_name', 'file_path', 'raw_text_length', 'item_1', 'item_1a', 'item_7', 'item_1_len', 'item_1a_len', 'item_7_len', 'missing_item_1', 'missing_item_1a', 'missing_item_7', 'status', 'error']</w:t>
      </w:r>
    </w:p>
    <w:bookmarkEnd w:id="88"/>
    <w:bookmarkStart w:id="90" w:name="create-minimal-filing-level-metadata"/>
    <w:p>
      <w:pPr>
        <w:pStyle w:val="Heading2"/>
      </w:pPr>
      <w:r>
        <w:t xml:space="preserve">10.3 Create minimal filing-level metadata</w:t>
      </w:r>
    </w:p>
    <w:p>
      <w:pPr>
        <w:pStyle w:val="FirstParagraph"/>
      </w:pPr>
      <w:r>
        <w:t xml:space="preserve">If the current extraction pipeline only preserved</w:t>
      </w:r>
      <w:r>
        <w:t xml:space="preserve"> </w:t>
      </w:r>
      <w:r>
        <w:rPr>
          <w:rStyle w:val="VerbatimChar"/>
        </w:rPr>
        <w:t xml:space="preserve">file_name</w:t>
      </w:r>
      <w:r>
        <w:t xml:space="preserve"> </w:t>
      </w:r>
      <w:r>
        <w:t xml:space="preserve">and</w:t>
      </w:r>
      <w:r>
        <w:t xml:space="preserve"> </w:t>
      </w:r>
      <w:r>
        <w:rPr>
          <w:rStyle w:val="VerbatimChar"/>
        </w:rPr>
        <w:t xml:space="preserve">file_path</w:t>
      </w:r>
      <w:r>
        <w:t xml:space="preserve">, we can still build a useful retrieval table with those.</w:t>
      </w:r>
    </w:p>
    <w:p>
      <w:pPr>
        <w:pStyle w:val="BodyText"/>
      </w:pPr>
      <w:r>
        <w:t xml:space="preserve">If later you add richer metadata such as</w:t>
      </w:r>
      <w:r>
        <w:t xml:space="preserve"> </w:t>
      </w:r>
      <w:r>
        <w:rPr>
          <w:rStyle w:val="VerbatimChar"/>
        </w:rPr>
        <w:t xml:space="preserve">company_name</w:t>
      </w:r>
      <w:r>
        <w:t xml:space="preserve">,</w:t>
      </w:r>
      <w:r>
        <w:t xml:space="preserve"> </w:t>
      </w:r>
      <w:r>
        <w:rPr>
          <w:rStyle w:val="VerbatimChar"/>
        </w:rPr>
        <w:t xml:space="preserve">cik</w:t>
      </w:r>
      <w:r>
        <w:t xml:space="preserve">,</w:t>
      </w:r>
      <w:r>
        <w:t xml:space="preserve"> </w:t>
      </w:r>
      <w:r>
        <w:rPr>
          <w:rStyle w:val="VerbatimChar"/>
        </w:rPr>
        <w:t xml:space="preserve">filing_date</w:t>
      </w:r>
      <w:r>
        <w:t xml:space="preserve">,</w:t>
      </w:r>
      <w:r>
        <w:t xml:space="preserve"> </w:t>
      </w:r>
      <w:r>
        <w:rPr>
          <w:rStyle w:val="VerbatimChar"/>
        </w:rPr>
        <w:t xml:space="preserve">accession_number</w:t>
      </w:r>
      <w:r>
        <w:t xml:space="preserve">, or</w:t>
      </w:r>
      <w:r>
        <w:t xml:space="preserve"> </w:t>
      </w:r>
      <w:r>
        <w:rPr>
          <w:rStyle w:val="VerbatimChar"/>
        </w:rPr>
        <w:t xml:space="preserve">sic</w:t>
      </w:r>
      <w:r>
        <w:t xml:space="preserve">, this merge step can be extended.</w:t>
      </w:r>
    </w:p>
    <w:p>
      <w:pPr>
        <w:pStyle w:val="BodyText"/>
      </w:pPr>
      <w:r>
        <w:t xml:space="preserve">For now, we will derive a minimal metadata table from</w:t>
      </w:r>
      <w:r>
        <w:t xml:space="preserve"> </w:t>
      </w:r>
      <w:r>
        <w:rPr>
          <w:rStyle w:val="VerbatimChar"/>
        </w:rPr>
        <w:t xml:space="preserve">df_sections</w:t>
      </w:r>
      <w:r>
        <w:t xml:space="preserve">.</w:t>
      </w:r>
    </w:p>
    <w:p>
      <w:pPr>
        <w:pStyle w:val="SourceCode"/>
      </w:pPr>
      <w:r>
        <w:rPr>
          <w:rStyle w:val="NormalTok"/>
        </w:rPr>
        <w:t xml:space="preserve">metadata_cols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w:t>
      </w:r>
      <w:r>
        <w:br/>
      </w:r>
      <w:r>
        <w:rPr>
          <w:rStyle w:val="NormalTok"/>
        </w:rPr>
        <w:t xml:space="preserve">    </w:t>
      </w:r>
      <w:r>
        <w:rPr>
          <w:rStyle w:val="StringTok"/>
        </w:rPr>
        <w:t xml:space="preserve">"file_name"</w:t>
      </w:r>
      <w:r>
        <w:rPr>
          <w:rStyle w:val="NormalTok"/>
        </w:rPr>
        <w:t xml:space="preserve">,</w:t>
      </w:r>
      <w:r>
        <w:br/>
      </w:r>
      <w:r>
        <w:rPr>
          <w:rStyle w:val="NormalTok"/>
        </w:rPr>
        <w:t xml:space="preserve">    </w:t>
      </w:r>
      <w:r>
        <w:rPr>
          <w:rStyle w:val="StringTok"/>
        </w:rPr>
        <w:t xml:space="preserve">"file_path"</w:t>
      </w:r>
      <w:r>
        <w:rPr>
          <w:rStyle w:val="NormalTok"/>
        </w:rPr>
        <w:t xml:space="preserve">,</w:t>
      </w:r>
      <w:r>
        <w:br/>
      </w:r>
      <w:r>
        <w:rPr>
          <w:rStyle w:val="NormalTok"/>
        </w:rPr>
        <w:t xml:space="preserve">    </w:t>
      </w:r>
      <w:r>
        <w:rPr>
          <w:rStyle w:val="StringTok"/>
        </w:rPr>
        <w:t xml:space="preserve">"company_name"</w:t>
      </w:r>
      <w:r>
        <w:rPr>
          <w:rStyle w:val="NormalTok"/>
        </w:rPr>
        <w:t xml:space="preserve">,</w:t>
      </w:r>
      <w:r>
        <w:br/>
      </w:r>
      <w:r>
        <w:rPr>
          <w:rStyle w:val="NormalTok"/>
        </w:rPr>
        <w:t xml:space="preserve">    </w:t>
      </w:r>
      <w:r>
        <w:rPr>
          <w:rStyle w:val="StringTok"/>
        </w:rPr>
        <w:t xml:space="preserve">"cik"</w:t>
      </w:r>
      <w:r>
        <w:rPr>
          <w:rStyle w:val="NormalTok"/>
        </w:rPr>
        <w:t xml:space="preserve">,</w:t>
      </w:r>
      <w:r>
        <w:br/>
      </w:r>
      <w:r>
        <w:rPr>
          <w:rStyle w:val="NormalTok"/>
        </w:rPr>
        <w:t xml:space="preserve">    </w:t>
      </w:r>
      <w:r>
        <w:rPr>
          <w:rStyle w:val="StringTok"/>
        </w:rPr>
        <w:t xml:space="preserve">"filing_date"</w:t>
      </w:r>
      <w:r>
        <w:rPr>
          <w:rStyle w:val="NormalTok"/>
        </w:rPr>
        <w:t xml:space="preserve">,</w:t>
      </w:r>
      <w:r>
        <w:br/>
      </w:r>
      <w:r>
        <w:rPr>
          <w:rStyle w:val="NormalTok"/>
        </w:rPr>
        <w:t xml:space="preserve">    </w:t>
      </w:r>
      <w:r>
        <w:rPr>
          <w:rStyle w:val="StringTok"/>
        </w:rPr>
        <w:t xml:space="preserve">"accession_number"</w:t>
      </w:r>
      <w:r>
        <w:rPr>
          <w:rStyle w:val="NormalTok"/>
        </w:rPr>
        <w:t xml:space="preserve">,</w:t>
      </w:r>
      <w:r>
        <w:br/>
      </w:r>
      <w:r>
        <w:rPr>
          <w:rStyle w:val="NormalTok"/>
        </w:rPr>
        <w:t xml:space="preserve">    </w:t>
      </w:r>
      <w:r>
        <w:rPr>
          <w:rStyle w:val="StringTok"/>
        </w:rPr>
        <w:t xml:space="preserve">"sic"</w:t>
      </w:r>
      <w:r>
        <w:rPr>
          <w:rStyle w:val="NormalTok"/>
        </w:rPr>
        <w:t xml:space="preserve">,</w:t>
      </w:r>
      <w:r>
        <w:br/>
      </w:r>
      <w:r>
        <w:rPr>
          <w:rStyle w:val="NormalTok"/>
        </w:rPr>
        <w:t xml:space="preserve">    </w:t>
      </w:r>
      <w:r>
        <w:rPr>
          <w:rStyle w:val="StringTok"/>
        </w:rPr>
        <w:t xml:space="preserve">"sector"</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df_sections.columns]</w:t>
      </w:r>
      <w:r>
        <w:br/>
      </w:r>
      <w:r>
        <w:br/>
      </w:r>
      <w:r>
        <w:rPr>
          <w:rStyle w:val="NormalTok"/>
        </w:rPr>
        <w:t xml:space="preserve">df_metadata </w:t>
      </w:r>
      <w:r>
        <w:rPr>
          <w:rStyle w:val="OperatorTok"/>
        </w:rPr>
        <w:t xml:space="preserve">=</w:t>
      </w:r>
      <w:r>
        <w:rPr>
          <w:rStyle w:val="NormalTok"/>
        </w:rPr>
        <w:t xml:space="preserve"> df_sections[metadata_cols].drop_duplicates().copy()</w:t>
      </w:r>
      <w:r>
        <w:br/>
      </w:r>
      <w:r>
        <w:br/>
      </w:r>
      <w:r>
        <w:rPr>
          <w:rStyle w:val="BuiltInTok"/>
        </w:rPr>
        <w:t xml:space="preserve">print</w:t>
      </w:r>
      <w:r>
        <w:rPr>
          <w:rStyle w:val="NormalTok"/>
        </w:rPr>
        <w:t xml:space="preserve">(df_metadata.shape)</w:t>
      </w:r>
      <w:r>
        <w:br/>
      </w:r>
      <w:r>
        <w:rPr>
          <w:rStyle w:val="NormalTok"/>
        </w:rPr>
        <w:t xml:space="preserve">df_metadata.head().style.hide(axis</w:t>
      </w:r>
      <w:r>
        <w:rPr>
          <w:rStyle w:val="OperatorTok"/>
        </w:rPr>
        <w:t xml:space="preserve">=</w:t>
      </w:r>
      <w:r>
        <w:rPr>
          <w:rStyle w:val="StringTok"/>
        </w:rPr>
        <w:t xml:space="preserve">"index"</w:t>
      </w:r>
      <w:r>
        <w:rPr>
          <w:rStyle w:val="NormalTok"/>
        </w:rPr>
        <w:t xml:space="preserve">)</w:t>
      </w:r>
    </w:p>
    <w:p>
      <w:pPr>
        <w:pStyle w:val="SourceCode"/>
      </w:pPr>
      <w:r>
        <w:rPr>
          <w:rStyle w:val="VerbatimChar"/>
        </w:rPr>
        <w:t xml:space="preserve">(25, 2)</w:t>
      </w:r>
    </w:p>
    <w:bookmarkStart w:id="89" w:name="T_95f87"/>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file_name</w:t>
            </w:r>
          </w:p>
        </w:tc>
        <w:tc>
          <w:tcPr/>
          <w:p>
            <w:pPr>
              <w:pStyle w:val="Compact"/>
            </w:pPr>
            <w:r>
              <w:t xml:space="preserve">file_path</w:t>
            </w:r>
          </w:p>
        </w:tc>
      </w:tr>
      <w:tr>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r>
      <w:tr>
        <w:tc>
          <w:tcPr/>
          <w:p>
            <w:pPr>
              <w:pStyle w:val="Compact"/>
            </w:pPr>
            <w:r>
              <w:t xml:space="preserve">20240102_10-K_edgar_data_1827855_0001683168-24-000004.html</w:t>
            </w:r>
          </w:p>
        </w:tc>
        <w:tc>
          <w:tcPr/>
          <w:p>
            <w:pPr>
              <w:pStyle w:val="Compact"/>
            </w:pPr>
            <w:r>
              <w:t xml:space="preserve">..\data\SEC-10K-2024-HTML\20240102_10-K_edgar_data_1827855_0001683168-24-000004.html</w:t>
            </w:r>
          </w:p>
        </w:tc>
      </w:tr>
      <w:tr>
        <w:tc>
          <w:tcPr/>
          <w:p>
            <w:pPr>
              <w:pStyle w:val="Compact"/>
            </w:pPr>
            <w:r>
              <w:t xml:space="preserve">20240102_10-K_edgar_data_90168_0000090168-23-000083.html</w:t>
            </w:r>
          </w:p>
        </w:tc>
        <w:tc>
          <w:tcPr/>
          <w:p>
            <w:pPr>
              <w:pStyle w:val="Compact"/>
            </w:pPr>
            <w:r>
              <w:t xml:space="preserve">..\data\SEC-10K-2024-HTML\20240102_10-K_edgar_data_90168_0000090168-23-000083.html</w:t>
            </w:r>
          </w:p>
        </w:tc>
      </w:tr>
      <w:tr>
        <w:tc>
          <w:tcPr/>
          <w:p>
            <w:pPr>
              <w:pStyle w:val="Compact"/>
            </w:pPr>
            <w:r>
              <w:t xml:space="preserve">20240103_10-K_edgar_data_1610718_0001213900-24-000769.html</w:t>
            </w:r>
          </w:p>
        </w:tc>
        <w:tc>
          <w:tcPr/>
          <w:p>
            <w:pPr>
              <w:pStyle w:val="Compact"/>
            </w:pPr>
            <w:r>
              <w:t xml:space="preserve">..\data\SEC-10K-2024-HTML\20240103_10-K_edgar_data_1610718_0001213900-24-000769.html</w:t>
            </w:r>
          </w:p>
        </w:tc>
      </w:tr>
      <w:tr>
        <w:tc>
          <w:tcPr/>
          <w:p>
            <w:pPr>
              <w:pStyle w:val="Compact"/>
            </w:pPr>
            <w:r>
              <w:t xml:space="preserve">20240104_10-K_edgar_data_1029744_0001437749-24-000616.html</w:t>
            </w:r>
          </w:p>
        </w:tc>
        <w:tc>
          <w:tcPr/>
          <w:p>
            <w:pPr>
              <w:pStyle w:val="Compact"/>
            </w:pPr>
            <w:r>
              <w:t xml:space="preserve">..\data\SEC-10K-2024-HTML\20240104_10-K_edgar_data_1029744_0001437749-24-000616.html</w:t>
            </w:r>
          </w:p>
        </w:tc>
      </w:tr>
    </w:tbl>
    <w:bookmarkEnd w:id="89"/>
    <w:p>
      <w:pPr>
        <w:pStyle w:val="BodyText"/>
      </w:pPr>
      <w:r>
        <w:t xml:space="preserve">If only</w:t>
      </w:r>
      <w:r>
        <w:t xml:space="preserve"> </w:t>
      </w:r>
      <w:r>
        <w:rPr>
          <w:rStyle w:val="VerbatimChar"/>
        </w:rPr>
        <w:t xml:space="preserve">file_name</w:t>
      </w:r>
      <w:r>
        <w:t xml:space="preserve"> </w:t>
      </w:r>
      <w:r>
        <w:t xml:space="preserve">and</w:t>
      </w:r>
      <w:r>
        <w:t xml:space="preserve"> </w:t>
      </w:r>
      <w:r>
        <w:rPr>
          <w:rStyle w:val="VerbatimChar"/>
        </w:rPr>
        <w:t xml:space="preserve">file_path</w:t>
      </w:r>
      <w:r>
        <w:t xml:space="preserve"> </w:t>
      </w:r>
      <w:r>
        <w:t xml:space="preserve">exist, that is fine.</w:t>
      </w:r>
    </w:p>
    <w:bookmarkEnd w:id="90"/>
    <w:bookmarkStart w:id="92" w:name="merge-metadata-into-chunk-corpus"/>
    <w:p>
      <w:pPr>
        <w:pStyle w:val="Heading2"/>
      </w:pPr>
      <w:r>
        <w:t xml:space="preserve">10.4 Merge metadata into chunk corpus</w:t>
      </w:r>
    </w:p>
    <w:p>
      <w:pPr>
        <w:pStyle w:val="SourceCode"/>
      </w:pPr>
      <w:r>
        <w:rPr>
          <w:rStyle w:val="NormalTok"/>
        </w:rPr>
        <w:t xml:space="preserve">merge_keys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"file_name"</w:t>
      </w:r>
      <w:r>
        <w:rPr>
          <w:rStyle w:val="NormalTok"/>
        </w:rPr>
        <w:t xml:space="preserve">, </w:t>
      </w:r>
      <w:r>
        <w:rPr>
          <w:rStyle w:val="StringTok"/>
        </w:rPr>
        <w:t xml:space="preserve">"file_path"</w:t>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df_chunks.columns </w:t>
      </w:r>
      <w:r>
        <w:rPr>
          <w:rStyle w:val="KeywordTok"/>
        </w:rPr>
        <w:t xml:space="preserve">and</w:t>
      </w:r>
      <w:r>
        <w:rPr>
          <w:rStyle w:val="NormalTok"/>
        </w:rPr>
        <w:t xml:space="preserve"> col </w:t>
      </w:r>
      <w:r>
        <w:rPr>
          <w:rStyle w:val="KeywordTok"/>
        </w:rPr>
        <w:t xml:space="preserve">in</w:t>
      </w:r>
      <w:r>
        <w:rPr>
          <w:rStyle w:val="NormalTok"/>
        </w:rPr>
        <w:t xml:space="preserve"> df_metadata.columns]</w:t>
      </w:r>
      <w:r>
        <w:br/>
      </w:r>
      <w:r>
        <w:br/>
      </w:r>
      <w:r>
        <w:rPr>
          <w:rStyle w:val="NormalTok"/>
        </w:rPr>
        <w:t xml:space="preserve">df_retrieval </w:t>
      </w:r>
      <w:r>
        <w:rPr>
          <w:rStyle w:val="OperatorTok"/>
        </w:rPr>
        <w:t xml:space="preserve">=</w:t>
      </w:r>
      <w:r>
        <w:rPr>
          <w:rStyle w:val="NormalTok"/>
        </w:rPr>
        <w:t xml:space="preserve"> df_chunks.merge(</w:t>
      </w:r>
      <w:r>
        <w:br/>
      </w:r>
      <w:r>
        <w:rPr>
          <w:rStyle w:val="NormalTok"/>
        </w:rPr>
        <w:t xml:space="preserve">    df_metadata,</w:t>
      </w:r>
      <w:r>
        <w:br/>
      </w:r>
      <w:r>
        <w:rPr>
          <w:rStyle w:val="NormalTok"/>
        </w:rPr>
        <w:t xml:space="preserve">    on</w:t>
      </w:r>
      <w:r>
        <w:rPr>
          <w:rStyle w:val="OperatorTok"/>
        </w:rPr>
        <w:t xml:space="preserve">=</w:t>
      </w:r>
      <w:r>
        <w:rPr>
          <w:rStyle w:val="NormalTok"/>
        </w:rPr>
        <w:t xml:space="preserve">merge_keys,</w:t>
      </w:r>
      <w:r>
        <w:br/>
      </w:r>
      <w:r>
        <w:rPr>
          <w:rStyle w:val="NormalTok"/>
        </w:rPr>
        <w:t xml:space="preserve">    how</w:t>
      </w:r>
      <w:r>
        <w:rPr>
          <w:rStyle w:val="OperatorTok"/>
        </w:rPr>
        <w:t xml:space="preserve">=</w:t>
      </w:r>
      <w:r>
        <w:rPr>
          <w:rStyle w:val="StringTok"/>
        </w:rPr>
        <w:t xml:space="preserve">"left"</w:t>
      </w:r>
      <w:r>
        <w:br/>
      </w:r>
      <w:r>
        <w:rPr>
          <w:rStyle w:val="NormalTok"/>
        </w:rPr>
        <w:t xml:space="preserve">)</w:t>
      </w:r>
      <w:r>
        <w:br/>
      </w:r>
      <w:r>
        <w:br/>
      </w:r>
      <w:r>
        <w:rPr>
          <w:rStyle w:val="BuiltInTok"/>
        </w:rPr>
        <w:t xml:space="preserve">print</w:t>
      </w:r>
      <w:r>
        <w:rPr>
          <w:rStyle w:val="NormalTok"/>
        </w:rPr>
        <w:t xml:space="preserve">(df_retrieval.shape)</w:t>
      </w:r>
      <w:r>
        <w:br/>
      </w:r>
      <w:r>
        <w:rPr>
          <w:rStyle w:val="NormalTok"/>
        </w:rPr>
        <w:t xml:space="preserve">df_retrieval.head().style.hide(axis</w:t>
      </w:r>
      <w:r>
        <w:rPr>
          <w:rStyle w:val="OperatorTok"/>
        </w:rPr>
        <w:t xml:space="preserve">=</w:t>
      </w:r>
      <w:r>
        <w:rPr>
          <w:rStyle w:val="StringTok"/>
        </w:rPr>
        <w:t xml:space="preserve">"index"</w:t>
      </w:r>
      <w:r>
        <w:rPr>
          <w:rStyle w:val="NormalTok"/>
        </w:rPr>
        <w:t xml:space="preserve">)</w:t>
      </w:r>
    </w:p>
    <w:p>
      <w:pPr>
        <w:pStyle w:val="SourceCode"/>
      </w:pPr>
      <w:r>
        <w:rPr>
          <w:rStyle w:val="VerbatimChar"/>
        </w:rPr>
        <w:t xml:space="preserve">(2664, 10)</w:t>
      </w:r>
    </w:p>
    <w:bookmarkStart w:id="91" w:name="T_67012"/>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chunk_id</w:t>
            </w:r>
          </w:p>
        </w:tc>
        <w:tc>
          <w:tcPr/>
          <w:p>
            <w:pPr>
              <w:pStyle w:val="Compact"/>
            </w:pPr>
            <w:r>
              <w:t xml:space="preserve">file_name</w:t>
            </w:r>
          </w:p>
        </w:tc>
        <w:tc>
          <w:tcPr/>
          <w:p>
            <w:pPr>
              <w:pStyle w:val="Compact"/>
            </w:pPr>
            <w:r>
              <w:t xml:space="preserve">file_path</w:t>
            </w:r>
          </w:p>
        </w:tc>
        <w:tc>
          <w:tcPr/>
          <w:p>
            <w:pPr>
              <w:pStyle w:val="Compact"/>
            </w:pPr>
            <w:r>
              <w:t xml:space="preserve">section_name</w:t>
            </w:r>
          </w:p>
        </w:tc>
        <w:tc>
          <w:tcPr/>
          <w:p>
            <w:pPr>
              <w:pStyle w:val="Compact"/>
            </w:pPr>
            <w:r>
              <w:t xml:space="preserve">start_sentence</w:t>
            </w:r>
          </w:p>
        </w:tc>
        <w:tc>
          <w:tcPr/>
          <w:p>
            <w:pPr>
              <w:pStyle w:val="Compact"/>
            </w:pPr>
            <w:r>
              <w:t xml:space="preserve">end_sentence</w:t>
            </w:r>
          </w:p>
        </w:tc>
        <w:tc>
          <w:tcPr/>
          <w:p>
            <w:pPr>
              <w:pStyle w:val="Compact"/>
            </w:pPr>
            <w:r>
              <w:t xml:space="preserve">n_sentences</w:t>
            </w:r>
          </w:p>
        </w:tc>
        <w:tc>
          <w:tcPr/>
          <w:p>
            <w:pPr>
              <w:pStyle w:val="Compact"/>
            </w:pPr>
            <w:r>
              <w:t xml:space="preserve">chunk_text</w:t>
            </w:r>
          </w:p>
        </w:tc>
        <w:tc>
          <w:tcPr/>
          <w:p>
            <w:pPr>
              <w:pStyle w:val="Compact"/>
            </w:pPr>
            <w:r>
              <w:t xml:space="preserve">chunk_length_chars</w:t>
            </w:r>
          </w:p>
        </w:tc>
        <w:tc>
          <w:tcPr/>
          <w:p>
            <w:pPr>
              <w:pStyle w:val="Compact"/>
            </w:pPr>
            <w:r>
              <w:t xml:space="preserve">approx_token_count</w:t>
            </w:r>
          </w:p>
        </w:tc>
      </w:tr>
      <w:tr>
        <w:tc>
          <w:tcPr/>
          <w:p>
            <w:pPr>
              <w:pStyle w:val="Compact"/>
            </w:pPr>
            <w:r>
              <w:t xml:space="preserve">20240102_10-K_edgar_data_1288750_0001654954-24-000069.html::item_1::c1</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1</w:t>
            </w:r>
          </w:p>
        </w:tc>
        <w:tc>
          <w:tcPr/>
          <w:p>
            <w:pPr>
              <w:pStyle w:val="Compact"/>
            </w:pPr>
            <w:r>
              <w:t xml:space="preserve">10</w:t>
            </w:r>
          </w:p>
        </w:tc>
        <w:tc>
          <w:tcPr/>
          <w:p>
            <w:pPr>
              <w:pStyle w:val="Compact"/>
            </w:pPr>
            <w:r>
              <w:t xml:space="preserve">10</w:t>
            </w:r>
          </w:p>
        </w:tc>
        <w:tc>
          <w:tcPr/>
          <w:p>
            <w:pPr>
              <w:pStyle w:val="Compact"/>
            </w:pPr>
            <w:r>
              <w:t xml:space="preserve">DESCRIPTION OF BUSINESS Incorporation and Early History We were incorporated in the State of Idaho in August 1968 under the name Silver Crystal Mines, Inc., to engage in the business of exploring for precious metal deposits and advancing them toward production. We ceased exploration activities during the 1990’s and became virtually inactive. In December 2003, a group of investors purchased 80-percent of the issued and outstanding common stock from the then-controlling management team. In January 2004, we affected a one-for-four reverse split of our issued and outstanding shares of common stock and increased the number of our authorized shares of common stock to 100,000,000 with a par value of $0.001. In February 2004, our name was changed to Timberline Resources Corporation. Since the reorganization, we have been in an exploration stage evaluating, acquiring, and exploring mineral prospects with potential for economic deposits of precious and base metals. We define a prospect as a mining property, the value of which has not been determined by exploration. In August 2008, we reincorporated into the State of Delaware pursuant to a merger agreement approved by our shareholders. In July 2007, we closed our purchase of the Butte Highlands Gold Project. In October 2008, we announced that we had agreed to form a 50/50 joint venture at the Butte Highlands Project.</w:t>
            </w:r>
          </w:p>
        </w:tc>
        <w:tc>
          <w:tcPr/>
          <w:p>
            <w:pPr>
              <w:pStyle w:val="Compact"/>
            </w:pPr>
            <w:r>
              <w:t xml:space="preserve">1378</w:t>
            </w:r>
          </w:p>
        </w:tc>
        <w:tc>
          <w:tcPr/>
          <w:p>
            <w:pPr>
              <w:pStyle w:val="Compact"/>
            </w:pPr>
            <w:r>
              <w:t xml:space="preserve">259</w:t>
            </w:r>
          </w:p>
        </w:tc>
      </w:tr>
      <w:tr>
        <w:tc>
          <w:tcPr/>
          <w:p>
            <w:pPr>
              <w:pStyle w:val="Compact"/>
            </w:pPr>
            <w:r>
              <w:t xml:space="preserve">20240102_10-K_edgar_data_1288750_0001654954-24-000069.html::item_1::c2</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9</w:t>
            </w:r>
          </w:p>
        </w:tc>
        <w:tc>
          <w:tcPr/>
          <w:p>
            <w:pPr>
              <w:pStyle w:val="Compact"/>
            </w:pPr>
            <w:r>
              <w:t xml:space="preserve">16</w:t>
            </w:r>
          </w:p>
        </w:tc>
        <w:tc>
          <w:tcPr/>
          <w:p>
            <w:pPr>
              <w:pStyle w:val="Compact"/>
            </w:pPr>
            <w:r>
              <w:t xml:space="preserve">8</w:t>
            </w:r>
          </w:p>
        </w:tc>
        <w:tc>
          <w:tcPr/>
          <w:p>
            <w:pPr>
              <w:pStyle w:val="Compact"/>
            </w:pPr>
            <w:r>
              <w:t xml:space="preserve">In July 2007, we closed our purchase of the Butte Highlands Gold Project. In October 2008, we announced that we had agreed to form a 50/50 joint venture at the Butte Highlands Project. In July 2009, we finalized the joint venture agreement with Highland Mining, LLC (“Highland”) to create Butte Highlands JV, LLC (“BHJV”). Under terms of the joint venture agreement, development began in the summer of 2009, with Highland funding all mine development costs through development. Both Timberline’s and Highland’s 50-percent share of costs were to be paid out of net proceeds from future mine production. On January 29, 2016, we executed a Member Interest Purchase Agreement (the “Purchase Agreement”) with New Jersey Mining Company pursuant to which we sold all of our 50% interest in BHJV. In June 2010, we closed our acquisition of Staccato Gold Resources Ltd. (“Staccato Gold”), a Canadian-based resource company that was in the business of acquiring, exploring, and developing mineral properties with a focus on gold exploration in the dominant gold producing trends in Nevada. As a result of this acquisition, we obtained Staccato’s flagship gold exploration project (“Lookout Mountain”), and several other projects at various stages of exploration in the Battle Mountain/Eureka gold trend in north-central Nevada, along with Staccato Gold’s wholly owned U.S. subsidiary, BH Minerals USA, Inc. (“BH Minerals”).</w:t>
            </w:r>
          </w:p>
        </w:tc>
        <w:tc>
          <w:tcPr/>
          <w:p>
            <w:pPr>
              <w:pStyle w:val="Compact"/>
            </w:pPr>
            <w:r>
              <w:t xml:space="preserve">1413</w:t>
            </w:r>
          </w:p>
        </w:tc>
        <w:tc>
          <w:tcPr/>
          <w:p>
            <w:pPr>
              <w:pStyle w:val="Compact"/>
            </w:pPr>
            <w:r>
              <w:t xml:space="preserve">293</w:t>
            </w:r>
          </w:p>
        </w:tc>
      </w:tr>
      <w:tr>
        <w:tc>
          <w:tcPr/>
          <w:p>
            <w:pPr>
              <w:pStyle w:val="Compact"/>
            </w:pPr>
            <w:r>
              <w:t xml:space="preserve">20240102_10-K_edgar_data_1288750_0001654954-24-000069.html::item_1::c3</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15</w:t>
            </w:r>
          </w:p>
        </w:tc>
        <w:tc>
          <w:tcPr/>
          <w:p>
            <w:pPr>
              <w:pStyle w:val="Compact"/>
            </w:pPr>
            <w:r>
              <w:t xml:space="preserve">19</w:t>
            </w:r>
          </w:p>
        </w:tc>
        <w:tc>
          <w:tcPr/>
          <w:p>
            <w:pPr>
              <w:pStyle w:val="Compact"/>
            </w:pPr>
            <w:r>
              <w:t xml:space="preserve">5</w:t>
            </w:r>
          </w:p>
        </w:tc>
        <w:tc>
          <w:tcPr/>
          <w:p>
            <w:pPr>
              <w:pStyle w:val="Compact"/>
            </w:pPr>
            <w:r>
              <w:t xml:space="preserve">In June 2010, we closed our acquisition of Staccato Gold Resources Ltd. (“Staccato Gold”), a Canadian-based resource company that was in the business of acquiring, exploring, and developing mineral properties with a focus on gold exploration in the dominant gold producing trends in Nevada. As a result of this acquisition, we obtained Staccato’s flagship gold exploration project (“Lookout Mountain”), and several other projects at various stages of exploration in the Battle Mountain/Eureka gold trend in north-central Nevada, along with Staccato Gold’s wholly owned U.S. subsidiary, BH Minerals USA, Inc. (“BH Minerals”). In August 2014, we closed our acquisition of Wolfpack Gold (Nevada) Corp. (“Wolfpack US”), a U.S. company and a wholly owned subsidiary of Wolfpack Gold Corp., a Canadian-based resource company (“Wolfpack Gold”), that was in the business of acquiring, exploring, and developing mineral properties with a focus on gold exploration in the dominant gold producing trends in Nevada. As a result of this acquisition, we obtained cash and several projects at various stages of exploration in the gold trends in Nevada. 5 Table of Contents On March 17, 2015, Timberline signed a definitive option agreement to purchase 100% ownership in the Talapoosa Project in Nevada from Gunpoint Exploration Ltd. (Gunpoint).</w:t>
            </w:r>
          </w:p>
        </w:tc>
        <w:tc>
          <w:tcPr/>
          <w:p>
            <w:pPr>
              <w:pStyle w:val="Compact"/>
            </w:pPr>
            <w:r>
              <w:t xml:space="preserve">1329</w:t>
            </w:r>
          </w:p>
        </w:tc>
        <w:tc>
          <w:tcPr/>
          <w:p>
            <w:pPr>
              <w:pStyle w:val="Compact"/>
            </w:pPr>
            <w:r>
              <w:t xml:space="preserve">272</w:t>
            </w:r>
          </w:p>
        </w:tc>
      </w:tr>
      <w:tr>
        <w:tc>
          <w:tcPr/>
          <w:p>
            <w:pPr>
              <w:pStyle w:val="Compact"/>
            </w:pPr>
            <w:r>
              <w:t xml:space="preserve">20240102_10-K_edgar_data_1288750_0001654954-24-000069.html::item_1::c4</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18</w:t>
            </w:r>
          </w:p>
        </w:tc>
        <w:tc>
          <w:tcPr/>
          <w:p>
            <w:pPr>
              <w:pStyle w:val="Compact"/>
            </w:pPr>
            <w:r>
              <w:t xml:space="preserve">22</w:t>
            </w:r>
          </w:p>
        </w:tc>
        <w:tc>
          <w:tcPr/>
          <w:p>
            <w:pPr>
              <w:pStyle w:val="Compact"/>
            </w:pPr>
            <w:r>
              <w:t xml:space="preserve">5</w:t>
            </w:r>
          </w:p>
        </w:tc>
        <w:tc>
          <w:tcPr/>
          <w:p>
            <w:pPr>
              <w:pStyle w:val="Compact"/>
            </w:pPr>
            <w:r>
              <w:t xml:space="preserve">As a result of this acquisition, we obtained cash and several projects at various stages of exploration in the gold trends in Nevada. 5 Table of Contents On March 17, 2015, Timberline signed a definitive option agreement to purchase 100% ownership in the Talapoosa Project in Nevada from Gunpoint Exploration Ltd. (Gunpoint). The Talapoosa Project is located in western Nevada and contains a resource of over 1 million ounces of gold. Under terms of the agreement Timberline paid Gunpoint $300,000 in cash and 2,000,000 shares of common stock on signing the agreement and was required to pay $10,000,000 (“Option Payment”) within 30 months of the agreement date to acquire 100% ownership, subject to significant contingent payments if the price of gold traded above US $1,600 per ounce for extended periods in the five (5) ensuing years. On October 26, 2016, the agreement was amended to extend the option exercise period to March 31, 2019 with the following schedule: payment of $1,000,000 and 1,000,000 common shares of the Company by March 31, 2017, payment of $2,000,000 and 1,000,000 common shares by March 31, 2018, and a final payment of $8,000,000 and 1.5 million common shares by March 31, 2019.</w:t>
            </w:r>
          </w:p>
        </w:tc>
        <w:tc>
          <w:tcPr/>
          <w:p>
            <w:pPr>
              <w:pStyle w:val="Compact"/>
            </w:pPr>
            <w:r>
              <w:t xml:space="preserve">1204</w:t>
            </w:r>
          </w:p>
        </w:tc>
        <w:tc>
          <w:tcPr/>
          <w:p>
            <w:pPr>
              <w:pStyle w:val="Compact"/>
            </w:pPr>
            <w:r>
              <w:t xml:space="preserve">267</w:t>
            </w:r>
          </w:p>
        </w:tc>
      </w:tr>
      <w:tr>
        <w:tc>
          <w:tcPr/>
          <w:p>
            <w:pPr>
              <w:pStyle w:val="Compact"/>
            </w:pPr>
            <w:r>
              <w:t xml:space="preserve">20240102_10-K_edgar_data_1288750_0001654954-24-000069.html::item_1::c5</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item_1</w:t>
            </w:r>
          </w:p>
        </w:tc>
        <w:tc>
          <w:tcPr/>
          <w:p>
            <w:pPr>
              <w:pStyle w:val="Compact"/>
            </w:pPr>
            <w:r>
              <w:t xml:space="preserve">21</w:t>
            </w:r>
          </w:p>
        </w:tc>
        <w:tc>
          <w:tcPr/>
          <w:p>
            <w:pPr>
              <w:pStyle w:val="Compact"/>
            </w:pPr>
            <w:r>
              <w:t xml:space="preserve">24</w:t>
            </w:r>
          </w:p>
        </w:tc>
        <w:tc>
          <w:tcPr/>
          <w:p>
            <w:pPr>
              <w:pStyle w:val="Compact"/>
            </w:pPr>
            <w:r>
              <w:t xml:space="preserve">4</w:t>
            </w:r>
          </w:p>
        </w:tc>
        <w:tc>
          <w:tcPr/>
          <w:p>
            <w:pPr>
              <w:pStyle w:val="Compact"/>
            </w:pPr>
            <w:r>
              <w:t xml:space="preserve">Under terms of the agreement Timberline paid Gunpoint $300,000 in cash and 2,000,000 shares of common stock on signing the agreement and was required to pay $10,000,000 (“Option Payment”) within 30 months of the agreement date to acquire 100% ownership, subject to significant contingent payments if the price of gold traded above US $1,600 per ounce for extended periods in the five (5) ensuing years. On October 26, 2016, the agreement was amended to extend the option exercise period to March 31, 2019 with the following schedule: payment of $1,000,000 and 1,000,000 common shares of the Company by March 31, 2017, payment of $2,000,000 and 1,000,000 common shares by March 31, 2018, and a final payment of $8,000,000 and 1.5 million common shares by March 31, 2019. Timberline chose to not make the required payment due on March 31, 2018, and, therefore, the Agreement was terminated, resulting in a $3.2 million write off of a loss on abandonment of mineral rights. In May 2018, we entered into a definitive agreement to acquire ownership interests in two joint venture agreements in Nevada from Americas Gold Exploration, Inc (“AGEI”).</w:t>
            </w:r>
          </w:p>
        </w:tc>
        <w:tc>
          <w:tcPr/>
          <w:p>
            <w:pPr>
              <w:pStyle w:val="Compact"/>
            </w:pPr>
            <w:r>
              <w:t xml:space="preserve">1141</w:t>
            </w:r>
          </w:p>
        </w:tc>
        <w:tc>
          <w:tcPr/>
          <w:p>
            <w:pPr>
              <w:pStyle w:val="Compact"/>
            </w:pPr>
            <w:r>
              <w:t xml:space="preserve">262</w:t>
            </w:r>
          </w:p>
        </w:tc>
      </w:tr>
    </w:tbl>
    <w:bookmarkEnd w:id="91"/>
    <w:bookmarkEnd w:id="92"/>
    <w:bookmarkStart w:id="93" w:name="add-retrieval-friendly-metadata-fields"/>
    <w:p>
      <w:pPr>
        <w:pStyle w:val="Heading2"/>
      </w:pPr>
      <w:r>
        <w:t xml:space="preserve">10.5 Add retrieval-friendly metadata fields</w:t>
      </w:r>
    </w:p>
    <w:p>
      <w:pPr>
        <w:pStyle w:val="FirstParagraph"/>
      </w:pPr>
      <w:r>
        <w:t xml:space="preserve">Now we create a few standardized fields that will be useful later for vector search and RAG filtering.</w:t>
      </w:r>
    </w:p>
    <w:p>
      <w:pPr>
        <w:pStyle w:val="SourceCode"/>
      </w:pPr>
      <w:r>
        <w:rPr>
          <w:rStyle w:val="NormalTok"/>
        </w:rPr>
        <w:t xml:space="preserve">df_retrieval[</w:t>
      </w:r>
      <w:r>
        <w:rPr>
          <w:rStyle w:val="StringTok"/>
        </w:rPr>
        <w:t xml:space="preserve">"document_type"</w:t>
      </w:r>
      <w:r>
        <w:rPr>
          <w:rStyle w:val="NormalTok"/>
        </w:rPr>
        <w:t xml:space="preserve">] </w:t>
      </w:r>
      <w:r>
        <w:rPr>
          <w:rStyle w:val="OperatorTok"/>
        </w:rPr>
        <w:t xml:space="preserve">=</w:t>
      </w:r>
      <w:r>
        <w:rPr>
          <w:rStyle w:val="NormalTok"/>
        </w:rPr>
        <w:t xml:space="preserve"> </w:t>
      </w:r>
      <w:r>
        <w:rPr>
          <w:rStyle w:val="StringTok"/>
        </w:rPr>
        <w:t xml:space="preserve">"10-K"</w:t>
      </w:r>
      <w:r>
        <w:br/>
      </w:r>
      <w:r>
        <w:rPr>
          <w:rStyle w:val="NormalTok"/>
        </w:rPr>
        <w:t xml:space="preserve">df_retrieval[</w:t>
      </w:r>
      <w:r>
        <w:rPr>
          <w:rStyle w:val="StringTok"/>
        </w:rPr>
        <w:t xml:space="preserve">"filing_year"</w:t>
      </w:r>
      <w:r>
        <w:rPr>
          <w:rStyle w:val="NormalTok"/>
        </w:rPr>
        <w:t xml:space="preserve">] </w:t>
      </w:r>
      <w:r>
        <w:rPr>
          <w:rStyle w:val="OperatorTok"/>
        </w:rPr>
        <w:t xml:space="preserve">=</w:t>
      </w:r>
      <w:r>
        <w:rPr>
          <w:rStyle w:val="NormalTok"/>
        </w:rPr>
        <w:t xml:space="preserve"> </w:t>
      </w:r>
      <w:r>
        <w:rPr>
          <w:rStyle w:val="DecValTok"/>
        </w:rPr>
        <w:t xml:space="preserve">2024</w:t>
      </w:r>
      <w:r>
        <w:br/>
      </w:r>
      <w:r>
        <w:rPr>
          <w:rStyle w:val="NormalTok"/>
        </w:rPr>
        <w:t xml:space="preserve">df_retrieval[</w:t>
      </w:r>
      <w:r>
        <w:rPr>
          <w:rStyle w:val="StringTok"/>
        </w:rPr>
        <w:t xml:space="preserve">"source_type"</w:t>
      </w:r>
      <w:r>
        <w:rPr>
          <w:rStyle w:val="NormalTok"/>
        </w:rPr>
        <w:t xml:space="preserve">] </w:t>
      </w:r>
      <w:r>
        <w:rPr>
          <w:rStyle w:val="OperatorTok"/>
        </w:rPr>
        <w:t xml:space="preserve">=</w:t>
      </w:r>
      <w:r>
        <w:rPr>
          <w:rStyle w:val="NormalTok"/>
        </w:rPr>
        <w:t xml:space="preserve"> </w:t>
      </w:r>
      <w:r>
        <w:rPr>
          <w:rStyle w:val="StringTok"/>
        </w:rPr>
        <w:t xml:space="preserve">"sec_html_extracted"</w:t>
      </w:r>
      <w:r>
        <w:br/>
      </w:r>
      <w:r>
        <w:rPr>
          <w:rStyle w:val="NormalTok"/>
        </w:rPr>
        <w:t xml:space="preserve">df_retrieval[</w:t>
      </w:r>
      <w:r>
        <w:rPr>
          <w:rStyle w:val="StringTok"/>
        </w:rPr>
        <w:t xml:space="preserve">"retrieval_unit"</w:t>
      </w:r>
      <w:r>
        <w:rPr>
          <w:rStyle w:val="NormalTok"/>
        </w:rPr>
        <w:t xml:space="preserve">] </w:t>
      </w:r>
      <w:r>
        <w:rPr>
          <w:rStyle w:val="OperatorTok"/>
        </w:rPr>
        <w:t xml:space="preserve">=</w:t>
      </w:r>
      <w:r>
        <w:rPr>
          <w:rStyle w:val="NormalTok"/>
        </w:rPr>
        <w:t xml:space="preserve"> </w:t>
      </w:r>
      <w:r>
        <w:rPr>
          <w:rStyle w:val="StringTok"/>
        </w:rPr>
        <w:t xml:space="preserve">"sentence_window_chunk"</w:t>
      </w:r>
    </w:p>
    <w:p>
      <w:pPr>
        <w:pStyle w:val="FirstParagraph"/>
      </w:pPr>
      <w:r>
        <w:t xml:space="preserve">If</w:t>
      </w:r>
      <w:r>
        <w:t xml:space="preserve"> </w:t>
      </w:r>
      <w:r>
        <w:rPr>
          <w:rStyle w:val="VerbatimChar"/>
        </w:rPr>
        <w:t xml:space="preserve">section_name</w:t>
      </w:r>
      <w:r>
        <w:t xml:space="preserve"> </w:t>
      </w:r>
      <w:r>
        <w:t xml:space="preserve">exists, normalize it:</w:t>
      </w:r>
    </w:p>
    <w:p>
      <w:pPr>
        <w:pStyle w:val="SourceCode"/>
      </w:pPr>
      <w:r>
        <w:rPr>
          <w:rStyle w:val="NormalTok"/>
        </w:rPr>
        <w:t xml:space="preserve">SECTION_LABELS </w:t>
      </w:r>
      <w:r>
        <w:rPr>
          <w:rStyle w:val="OperatorTok"/>
        </w:rPr>
        <w:t xml:space="preserve">=</w:t>
      </w:r>
      <w:r>
        <w:rPr>
          <w:rStyle w:val="NormalTok"/>
        </w:rPr>
        <w:t xml:space="preserve"> {</w:t>
      </w:r>
      <w:r>
        <w:br/>
      </w:r>
      <w:r>
        <w:rPr>
          <w:rStyle w:val="NormalTok"/>
        </w:rPr>
        <w:t xml:space="preserve">    </w:t>
      </w:r>
      <w:r>
        <w:rPr>
          <w:rStyle w:val="StringTok"/>
        </w:rPr>
        <w:t xml:space="preserve">"item_1"</w:t>
      </w:r>
      <w:r>
        <w:rPr>
          <w:rStyle w:val="NormalTok"/>
        </w:rPr>
        <w:t xml:space="preserve">: </w:t>
      </w:r>
      <w:r>
        <w:rPr>
          <w:rStyle w:val="StringTok"/>
        </w:rPr>
        <w:t xml:space="preserve">"Item 1 - Business"</w:t>
      </w:r>
      <w:r>
        <w:rPr>
          <w:rStyle w:val="NormalTok"/>
        </w:rPr>
        <w:t xml:space="preserve">,</w:t>
      </w:r>
      <w:r>
        <w:br/>
      </w:r>
      <w:r>
        <w:rPr>
          <w:rStyle w:val="NormalTok"/>
        </w:rPr>
        <w:t xml:space="preserve">    </w:t>
      </w:r>
      <w:r>
        <w:rPr>
          <w:rStyle w:val="StringTok"/>
        </w:rPr>
        <w:t xml:space="preserve">"item_1a"</w:t>
      </w:r>
      <w:r>
        <w:rPr>
          <w:rStyle w:val="NormalTok"/>
        </w:rPr>
        <w:t xml:space="preserve">: </w:t>
      </w:r>
      <w:r>
        <w:rPr>
          <w:rStyle w:val="StringTok"/>
        </w:rPr>
        <w:t xml:space="preserve">"Item 1A - Risk Factors"</w:t>
      </w:r>
      <w:r>
        <w:rPr>
          <w:rStyle w:val="NormalTok"/>
        </w:rPr>
        <w:t xml:space="preserve">,</w:t>
      </w:r>
      <w:r>
        <w:br/>
      </w:r>
      <w:r>
        <w:rPr>
          <w:rStyle w:val="NormalTok"/>
        </w:rPr>
        <w:t xml:space="preserve">    </w:t>
      </w:r>
      <w:r>
        <w:rPr>
          <w:rStyle w:val="StringTok"/>
        </w:rPr>
        <w:t xml:space="preserve">"item_7"</w:t>
      </w:r>
      <w:r>
        <w:rPr>
          <w:rStyle w:val="NormalTok"/>
        </w:rPr>
        <w:t xml:space="preserve">: </w:t>
      </w:r>
      <w:r>
        <w:rPr>
          <w:rStyle w:val="StringTok"/>
        </w:rPr>
        <w:t xml:space="preserve">"Item 7 - MD&amp;A"</w:t>
      </w:r>
      <w:r>
        <w:br/>
      </w:r>
      <w:r>
        <w:rPr>
          <w:rStyle w:val="NormalTok"/>
        </w:rPr>
        <w:t xml:space="preserve">}</w:t>
      </w:r>
      <w:r>
        <w:br/>
      </w:r>
      <w:r>
        <w:br/>
      </w:r>
      <w:r>
        <w:rPr>
          <w:rStyle w:val="NormalTok"/>
        </w:rPr>
        <w:t xml:space="preserve">df_retrieval[</w:t>
      </w:r>
      <w:r>
        <w:rPr>
          <w:rStyle w:val="StringTok"/>
        </w:rPr>
        <w:t xml:space="preserve">"section_label"</w:t>
      </w:r>
      <w:r>
        <w:rPr>
          <w:rStyle w:val="NormalTok"/>
        </w:rPr>
        <w:t xml:space="preserve">] </w:t>
      </w:r>
      <w:r>
        <w:rPr>
          <w:rStyle w:val="OperatorTok"/>
        </w:rPr>
        <w:t xml:space="preserve">=</w:t>
      </w:r>
      <w:r>
        <w:rPr>
          <w:rStyle w:val="NormalTok"/>
        </w:rPr>
        <w:t xml:space="preserve"> df_retrieval[</w:t>
      </w:r>
      <w:r>
        <w:rPr>
          <w:rStyle w:val="StringTok"/>
        </w:rPr>
        <w:t xml:space="preserve">"section_name"</w:t>
      </w:r>
      <w:r>
        <w:rPr>
          <w:rStyle w:val="NormalTok"/>
        </w:rPr>
        <w:t xml:space="preserve">].</w:t>
      </w:r>
      <w:r>
        <w:rPr>
          <w:rStyle w:val="BuiltInTok"/>
        </w:rPr>
        <w:t xml:space="preserve">map</w:t>
      </w:r>
      <w:r>
        <w:rPr>
          <w:rStyle w:val="NormalTok"/>
        </w:rPr>
        <w:t xml:space="preserve">(SECTION_LABELS).fillna(df_retrieval[</w:t>
      </w:r>
      <w:r>
        <w:rPr>
          <w:rStyle w:val="StringTok"/>
        </w:rPr>
        <w:t xml:space="preserve">"section_name"</w:t>
      </w:r>
      <w:r>
        <w:rPr>
          <w:rStyle w:val="NormalTok"/>
        </w:rPr>
        <w:t xml:space="preserve">])</w:t>
      </w:r>
    </w:p>
    <w:bookmarkEnd w:id="93"/>
    <w:bookmarkStart w:id="94" w:name="clean-and-standardize-chunk-text"/>
    <w:p>
      <w:pPr>
        <w:pStyle w:val="Heading2"/>
      </w:pPr>
      <w:r>
        <w:t xml:space="preserve">10.6 Clean and standardize chunk text</w:t>
      </w:r>
    </w:p>
    <w:p>
      <w:pPr>
        <w:pStyle w:val="FirstParagraph"/>
      </w:pPr>
      <w:r>
        <w:t xml:space="preserve">We want the final retrieval text to be consistently formatted.</w:t>
      </w:r>
    </w:p>
    <w:p>
      <w:pPr>
        <w:pStyle w:val="SourceCode"/>
      </w:pPr>
      <w:r>
        <w:rPr>
          <w:rStyle w:val="KeywordTok"/>
        </w:rPr>
        <w:t xml:space="preserve">def</w:t>
      </w:r>
      <w:r>
        <w:rPr>
          <w:rStyle w:val="NormalTok"/>
        </w:rPr>
        <w:t xml:space="preserve"> clean_chunk_text(text: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BuiltInTok"/>
        </w:rPr>
        <w:t xml:space="preserve">str</w:t>
      </w:r>
      <w:r>
        <w:rPr>
          <w:rStyle w:val="NormalTok"/>
        </w:rPr>
        <w:t xml:space="preserve">(text)</w:t>
      </w:r>
      <w:r>
        <w:br/>
      </w:r>
      <w:r>
        <w:rPr>
          <w:rStyle w:val="NormalTok"/>
        </w:rPr>
        <w:t xml:space="preserve">    text </w:t>
      </w:r>
      <w:r>
        <w:rPr>
          <w:rStyle w:val="OperatorTok"/>
        </w:rPr>
        <w:t xml:space="preserve">=</w:t>
      </w:r>
      <w:r>
        <w:rPr>
          <w:rStyle w:val="NormalTok"/>
        </w:rPr>
        <w:t xml:space="preserve"> text.replace(</w:t>
      </w:r>
      <w:r>
        <w:rPr>
          <w:rStyle w:val="StringTok"/>
        </w:rPr>
        <w:t xml:space="preserve">"</w:t>
      </w:r>
      <w:r>
        <w:rPr>
          <w:rStyle w:val="CharTok"/>
        </w:rPr>
        <w:t xml:space="preserve">\xa0</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text)</w:t>
      </w:r>
      <w:r>
        <w:br/>
      </w:r>
      <w:r>
        <w:rPr>
          <w:rStyle w:val="NormalTok"/>
        </w:rPr>
        <w:t xml:space="preserve">    </w:t>
      </w:r>
      <w:r>
        <w:rPr>
          <w:rStyle w:val="ControlFlowTok"/>
        </w:rPr>
        <w:t xml:space="preserve">return</w:t>
      </w:r>
      <w:r>
        <w:rPr>
          <w:rStyle w:val="NormalTok"/>
        </w:rPr>
        <w:t xml:space="preserve"> text.strip()</w:t>
      </w:r>
    </w:p>
    <w:p>
      <w:pPr>
        <w:pStyle w:val="SourceCode"/>
      </w:pPr>
      <w:r>
        <w:rPr>
          <w:rStyle w:val="NormalTok"/>
        </w:rPr>
        <w:t xml:space="preserve">df_retrieval[</w:t>
      </w:r>
      <w:r>
        <w:rPr>
          <w:rStyle w:val="StringTok"/>
        </w:rPr>
        <w:t xml:space="preserve">"chunk_text"</w:t>
      </w:r>
      <w:r>
        <w:rPr>
          <w:rStyle w:val="NormalTok"/>
        </w:rPr>
        <w:t xml:space="preserve">] </w:t>
      </w:r>
      <w:r>
        <w:rPr>
          <w:rStyle w:val="OperatorTok"/>
        </w:rPr>
        <w:t xml:space="preserve">=</w:t>
      </w:r>
      <w:r>
        <w:rPr>
          <w:rStyle w:val="NormalTok"/>
        </w:rPr>
        <w:t xml:space="preserve"> df_retrieval[</w:t>
      </w:r>
      <w:r>
        <w:rPr>
          <w:rStyle w:val="StringTok"/>
        </w:rPr>
        <w:t xml:space="preserve">"chunk_text"</w:t>
      </w:r>
      <w:r>
        <w:rPr>
          <w:rStyle w:val="NormalTok"/>
        </w:rPr>
        <w:t xml:space="preserve">].</w:t>
      </w:r>
      <w:r>
        <w:rPr>
          <w:rStyle w:val="BuiltInTok"/>
        </w:rPr>
        <w:t xml:space="preserve">apply</w:t>
      </w:r>
      <w:r>
        <w:rPr>
          <w:rStyle w:val="NormalTok"/>
        </w:rPr>
        <w:t xml:space="preserve">(clean_chunk_text)</w:t>
      </w:r>
    </w:p>
    <w:p>
      <w:pPr>
        <w:pStyle w:val="FirstParagraph"/>
      </w:pPr>
      <w:r>
        <w:t xml:space="preserve">Remove empty chunks if any slipped through:</w:t>
      </w:r>
    </w:p>
    <w:p>
      <w:pPr>
        <w:pStyle w:val="SourceCode"/>
      </w:pPr>
      <w:r>
        <w:rPr>
          <w:rStyle w:val="NormalTok"/>
        </w:rPr>
        <w:t xml:space="preserve">df_retrieval </w:t>
      </w:r>
      <w:r>
        <w:rPr>
          <w:rStyle w:val="OperatorTok"/>
        </w:rPr>
        <w:t xml:space="preserve">=</w:t>
      </w:r>
      <w:r>
        <w:rPr>
          <w:rStyle w:val="NormalTok"/>
        </w:rPr>
        <w:t xml:space="preserve"> df_retrieval[df_retrieval[</w:t>
      </w:r>
      <w:r>
        <w:rPr>
          <w:rStyle w:val="StringTok"/>
        </w:rPr>
        <w:t xml:space="preserve">"chunk_text"</w:t>
      </w:r>
      <w:r>
        <w:rPr>
          <w:rStyle w:val="NormalTok"/>
        </w:rPr>
        <w:t xml:space="preserve">].</w:t>
      </w:r>
      <w:r>
        <w:rPr>
          <w:rStyle w:val="BuiltInTok"/>
        </w:rPr>
        <w:t xml:space="preserve">str</w:t>
      </w:r>
      <w:r>
        <w:rPr>
          <w:rStyle w:val="NormalTok"/>
        </w:rPr>
        <w:t xml:space="preserve">.</w:t>
      </w:r>
      <w:r>
        <w:rPr>
          <w:rStyle w:val="BuiltInTok"/>
        </w:rPr>
        <w:t xml:space="preserve">len</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].copy()</w:t>
      </w:r>
      <w:r>
        <w:br/>
      </w:r>
      <w:r>
        <w:rPr>
          <w:rStyle w:val="BuiltInTok"/>
        </w:rPr>
        <w:t xml:space="preserve">print</w:t>
      </w:r>
      <w:r>
        <w:rPr>
          <w:rStyle w:val="NormalTok"/>
        </w:rPr>
        <w:t xml:space="preserve">(df_retrieval.shape)</w:t>
      </w:r>
    </w:p>
    <w:p>
      <w:pPr>
        <w:pStyle w:val="SourceCode"/>
      </w:pPr>
      <w:r>
        <w:rPr>
          <w:rStyle w:val="VerbatimChar"/>
        </w:rPr>
        <w:t xml:space="preserve">(2664, 15)</w:t>
      </w:r>
    </w:p>
    <w:bookmarkEnd w:id="94"/>
    <w:bookmarkStart w:id="96" w:name="optional-signal-flags"/>
    <w:p>
      <w:pPr>
        <w:pStyle w:val="Heading2"/>
      </w:pPr>
      <w:r>
        <w:t xml:space="preserve">10.7 Optional signal flags</w:t>
      </w:r>
    </w:p>
    <w:p>
      <w:pPr>
        <w:pStyle w:val="FirstParagraph"/>
      </w:pPr>
      <w:r>
        <w:t xml:space="preserve">If you want the retrieval corpus to remember whether a chunk was flagged in the earlier extraction step, merge that in as a lightweight flag.</w:t>
      </w:r>
    </w:p>
    <w:p>
      <w:pPr>
        <w:pStyle w:val="BodyText"/>
      </w:pPr>
      <w:r>
        <w:t xml:space="preserve">This is optional but useful.</w:t>
      </w:r>
    </w:p>
    <w:bookmarkStart w:id="95" w:name="if-you-saved-the-signal-evidence-file"/>
    <w:p>
      <w:pPr>
        <w:pStyle w:val="Heading3"/>
      </w:pPr>
      <w:r>
        <w:t xml:space="preserve">10.7.1 If you saved the signal evidence file</w:t>
      </w:r>
    </w:p>
    <w:p>
      <w:pPr>
        <w:pStyle w:val="FirstParagraph"/>
      </w:pPr>
      <w:r>
        <w:t xml:space="preserve">Example:</w:t>
      </w:r>
    </w:p>
    <w:p>
      <w:pPr>
        <w:pStyle w:val="SourceCode"/>
      </w:pPr>
      <w:r>
        <w:rPr>
          <w:rStyle w:val="NormalTok"/>
        </w:rPr>
        <w:t xml:space="preserve">TARGET_SIGNAL </w:t>
      </w:r>
      <w:r>
        <w:rPr>
          <w:rStyle w:val="OperatorTok"/>
        </w:rPr>
        <w:t xml:space="preserve">=</w:t>
      </w:r>
      <w:r>
        <w:rPr>
          <w:rStyle w:val="NormalTok"/>
        </w:rPr>
        <w:t xml:space="preserve"> </w:t>
      </w:r>
      <w:r>
        <w:rPr>
          <w:rStyle w:val="StringTok"/>
        </w:rPr>
        <w:t xml:space="preserve">"ai_investment"</w:t>
      </w:r>
      <w:r>
        <w:br/>
      </w:r>
      <w:r>
        <w:rPr>
          <w:rStyle w:val="NormalTok"/>
        </w:rPr>
        <w:t xml:space="preserve">EVIDENCE_FILE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pecialStringTok"/>
        </w:rPr>
        <w:t xml:space="preserve">f"sec_10k_2024_</w:t>
      </w:r>
      <w:r>
        <w:rPr>
          <w:rStyle w:val="SpecialCharTok"/>
        </w:rPr>
        <w:t xml:space="preserve">{</w:t>
      </w:r>
      <w:r>
        <w:rPr>
          <w:rStyle w:val="NormalTok"/>
        </w:rPr>
        <w:t xml:space="preserve">TARGET_SIGNAL</w:t>
      </w:r>
      <w:r>
        <w:rPr>
          <w:rStyle w:val="SpecialCharTok"/>
        </w:rPr>
        <w:t xml:space="preserve">}</w:t>
      </w:r>
      <w:r>
        <w:rPr>
          <w:rStyle w:val="SpecialStringTok"/>
        </w:rPr>
        <w:t xml:space="preserve">_evidence_chunks.csv"</w:t>
      </w:r>
    </w:p>
    <w:p>
      <w:pPr>
        <w:pStyle w:val="SourceCode"/>
      </w:pPr>
      <w:r>
        <w:rPr>
          <w:rStyle w:val="ControlFlowTok"/>
        </w:rPr>
        <w:t xml:space="preserve">if</w:t>
      </w:r>
      <w:r>
        <w:rPr>
          <w:rStyle w:val="NormalTok"/>
        </w:rPr>
        <w:t xml:space="preserve"> EVIDENCE_FILE.exists():</w:t>
      </w:r>
      <w:r>
        <w:br/>
      </w:r>
      <w:r>
        <w:rPr>
          <w:rStyle w:val="NormalTok"/>
        </w:rPr>
        <w:t xml:space="preserve">    df_evidence </w:t>
      </w:r>
      <w:r>
        <w:rPr>
          <w:rStyle w:val="OperatorTok"/>
        </w:rPr>
        <w:t xml:space="preserve">=</w:t>
      </w:r>
      <w:r>
        <w:rPr>
          <w:rStyle w:val="NormalTok"/>
        </w:rPr>
        <w:t xml:space="preserve"> pd.read_csv(EVIDENCE_FILE)</w:t>
      </w:r>
      <w:r>
        <w:br/>
      </w:r>
      <w:r>
        <w:br/>
      </w:r>
      <w:r>
        <w:rPr>
          <w:rStyle w:val="NormalTok"/>
        </w:rPr>
        <w:t xml:space="preserve">    signal_cols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w:t>
      </w:r>
      <w:r>
        <w:br/>
      </w:r>
      <w:r>
        <w:rPr>
          <w:rStyle w:val="NormalTok"/>
        </w:rPr>
        <w:t xml:space="preserve">        </w:t>
      </w:r>
      <w:r>
        <w:rPr>
          <w:rStyle w:val="StringTok"/>
        </w:rPr>
        <w:t xml:space="preserve">"chunk_id"</w:t>
      </w:r>
      <w:r>
        <w:rPr>
          <w:rStyle w:val="NormalTok"/>
        </w:rPr>
        <w:t xml:space="preserve">,</w:t>
      </w:r>
      <w:r>
        <w:br/>
      </w:r>
      <w:r>
        <w:rPr>
          <w:rStyle w:val="NormalTok"/>
        </w:rPr>
        <w:t xml:space="preserve">        </w:t>
      </w:r>
      <w:r>
        <w:rPr>
          <w:rStyle w:val="StringTok"/>
        </w:rPr>
        <w:t xml:space="preserve">"signal_type"</w:t>
      </w:r>
      <w:r>
        <w:rPr>
          <w:rStyle w:val="NormalTok"/>
        </w:rPr>
        <w:t xml:space="preserve">,</w:t>
      </w:r>
      <w:r>
        <w:br/>
      </w:r>
      <w:r>
        <w:rPr>
          <w:rStyle w:val="NormalTok"/>
        </w:rPr>
        <w:t xml:space="preserve">        </w:t>
      </w:r>
      <w:r>
        <w:rPr>
          <w:rStyle w:val="StringTok"/>
        </w:rPr>
        <w:t xml:space="preserve">"signal_confidence"</w:t>
      </w:r>
      <w:r>
        <w:rPr>
          <w:rStyle w:val="NormalTok"/>
        </w:rPr>
        <w:t xml:space="preserve">,</w:t>
      </w:r>
      <w:r>
        <w:br/>
      </w:r>
      <w:r>
        <w:rPr>
          <w:rStyle w:val="NormalTok"/>
        </w:rPr>
        <w:t xml:space="preserve">        </w:t>
      </w:r>
      <w:r>
        <w:rPr>
          <w:rStyle w:val="StringTok"/>
        </w:rPr>
        <w:t xml:space="preserve">"n_core_matches"</w:t>
      </w:r>
      <w:r>
        <w:rPr>
          <w:rStyle w:val="NormalTok"/>
        </w:rPr>
        <w:t xml:space="preserve">,</w:t>
      </w:r>
      <w:r>
        <w:br/>
      </w:r>
      <w:r>
        <w:rPr>
          <w:rStyle w:val="NormalTok"/>
        </w:rPr>
        <w:t xml:space="preserve">        </w:t>
      </w:r>
      <w:r>
        <w:rPr>
          <w:rStyle w:val="StringTok"/>
        </w:rPr>
        <w:t xml:space="preserve">"n_support_matches"</w:t>
      </w:r>
      <w:r>
        <w:br/>
      </w:r>
      <w:r>
        <w:rPr>
          <w:rStyle w:val="NormalTok"/>
        </w:rPr>
        <w:t xml:space="preserve">    ] </w:t>
      </w:r>
      <w:r>
        <w:rPr>
          <w:rStyle w:val="ControlFlowTok"/>
        </w:rPr>
        <w:t xml:space="preserve">if</w:t>
      </w:r>
      <w:r>
        <w:rPr>
          <w:rStyle w:val="NormalTok"/>
        </w:rPr>
        <w:t xml:space="preserve"> col </w:t>
      </w:r>
      <w:r>
        <w:rPr>
          <w:rStyle w:val="KeywordTok"/>
        </w:rPr>
        <w:t xml:space="preserve">in</w:t>
      </w:r>
      <w:r>
        <w:rPr>
          <w:rStyle w:val="NormalTok"/>
        </w:rPr>
        <w:t xml:space="preserve"> df_evidence.columns]</w:t>
      </w:r>
      <w:r>
        <w:br/>
      </w:r>
      <w:r>
        <w:br/>
      </w:r>
      <w:r>
        <w:rPr>
          <w:rStyle w:val="NormalTok"/>
        </w:rPr>
        <w:t xml:space="preserve">    df_signal_meta </w:t>
      </w:r>
      <w:r>
        <w:rPr>
          <w:rStyle w:val="OperatorTok"/>
        </w:rPr>
        <w:t xml:space="preserve">=</w:t>
      </w:r>
      <w:r>
        <w:rPr>
          <w:rStyle w:val="NormalTok"/>
        </w:rPr>
        <w:t xml:space="preserve"> df_evidence[signal_cols].drop_duplicates().copy()</w:t>
      </w:r>
      <w:r>
        <w:br/>
      </w:r>
      <w:r>
        <w:br/>
      </w:r>
      <w:r>
        <w:rPr>
          <w:rStyle w:val="NormalTok"/>
        </w:rPr>
        <w:t xml:space="preserve">    df_retrieval </w:t>
      </w:r>
      <w:r>
        <w:rPr>
          <w:rStyle w:val="OperatorTok"/>
        </w:rPr>
        <w:t xml:space="preserve">=</w:t>
      </w:r>
      <w:r>
        <w:rPr>
          <w:rStyle w:val="NormalTok"/>
        </w:rPr>
        <w:t xml:space="preserve"> df_retrieval.merge(</w:t>
      </w:r>
      <w:r>
        <w:br/>
      </w:r>
      <w:r>
        <w:rPr>
          <w:rStyle w:val="NormalTok"/>
        </w:rPr>
        <w:t xml:space="preserve">        df_signal_meta,</w:t>
      </w:r>
      <w:r>
        <w:br/>
      </w:r>
      <w:r>
        <w:rPr>
          <w:rStyle w:val="NormalTok"/>
        </w:rPr>
        <w:t xml:space="preserve">        on</w:t>
      </w:r>
      <w:r>
        <w:rPr>
          <w:rStyle w:val="OperatorTok"/>
        </w:rPr>
        <w:t xml:space="preserve">=</w:t>
      </w:r>
      <w:r>
        <w:rPr>
          <w:rStyle w:val="StringTok"/>
        </w:rPr>
        <w:t xml:space="preserve">"chunk_id"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    )</w:t>
      </w:r>
      <w:r>
        <w:br/>
      </w:r>
      <w:r>
        <w:br/>
      </w:r>
      <w:r>
        <w:rPr>
          <w:rStyle w:val="NormalTok"/>
        </w:rPr>
        <w:t xml:space="preserve">    df_retrieval[</w:t>
      </w:r>
      <w:r>
        <w:rPr>
          <w:rStyle w:val="StringTok"/>
        </w:rPr>
        <w:t xml:space="preserve">"has_target_signal"</w:t>
      </w:r>
      <w:r>
        <w:rPr>
          <w:rStyle w:val="NormalTok"/>
        </w:rPr>
        <w:t xml:space="preserve">] </w:t>
      </w:r>
      <w:r>
        <w:rPr>
          <w:rStyle w:val="OperatorTok"/>
        </w:rPr>
        <w:t xml:space="preserve">=</w:t>
      </w:r>
      <w:r>
        <w:rPr>
          <w:rStyle w:val="NormalTok"/>
        </w:rPr>
        <w:t xml:space="preserve"> df_retrieval[</w:t>
      </w:r>
      <w:r>
        <w:rPr>
          <w:rStyle w:val="StringTok"/>
        </w:rPr>
        <w:t xml:space="preserve">"signal_type"</w:t>
      </w:r>
      <w:r>
        <w:rPr>
          <w:rStyle w:val="NormalTok"/>
        </w:rPr>
        <w:t xml:space="preserve">].notna()</w:t>
      </w:r>
      <w:r>
        <w:br/>
      </w:r>
      <w:r>
        <w:rPr>
          <w:rStyle w:val="ControlFlowTok"/>
        </w:rPr>
        <w:t xml:space="preserve">else</w:t>
      </w:r>
      <w:r>
        <w:rPr>
          <w:rStyle w:val="NormalTok"/>
        </w:rPr>
        <w:t xml:space="preserve">:</w:t>
      </w:r>
      <w:r>
        <w:br/>
      </w:r>
      <w:r>
        <w:rPr>
          <w:rStyle w:val="NormalTok"/>
        </w:rPr>
        <w:t xml:space="preserve">    df_retrieval[</w:t>
      </w:r>
      <w:r>
        <w:rPr>
          <w:rStyle w:val="StringTok"/>
        </w:rPr>
        <w:t xml:space="preserve">"signal_type"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df_retrieval[</w:t>
      </w:r>
      <w:r>
        <w:rPr>
          <w:rStyle w:val="StringTok"/>
        </w:rPr>
        <w:t xml:space="preserve">"signal_confidence"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df_retrieval[</w:t>
      </w:r>
      <w:r>
        <w:rPr>
          <w:rStyle w:val="StringTok"/>
        </w:rPr>
        <w:t xml:space="preserve">"n_core_matches"</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df_retrieval[</w:t>
      </w:r>
      <w:r>
        <w:rPr>
          <w:rStyle w:val="StringTok"/>
        </w:rPr>
        <w:t xml:space="preserve">"n_support_matches"</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df_retrieval[</w:t>
      </w:r>
      <w:r>
        <w:rPr>
          <w:rStyle w:val="StringTok"/>
        </w:rPr>
        <w:t xml:space="preserve">"has_target_signal"</w:t>
      </w:r>
      <w:r>
        <w:rPr>
          <w:rStyle w:val="NormalTok"/>
        </w:rPr>
        <w:t xml:space="preserve">] </w:t>
      </w:r>
      <w:r>
        <w:rPr>
          <w:rStyle w:val="OperatorTok"/>
        </w:rPr>
        <w:t xml:space="preserve">=</w:t>
      </w:r>
      <w:r>
        <w:rPr>
          <w:rStyle w:val="NormalTok"/>
        </w:rPr>
        <w:t xml:space="preserve"> </w:t>
      </w:r>
      <w:r>
        <w:rPr>
          <w:rStyle w:val="VariableTok"/>
        </w:rPr>
        <w:t xml:space="preserve">False</w:t>
      </w:r>
    </w:p>
    <w:p>
      <w:pPr>
        <w:pStyle w:val="FirstParagraph"/>
      </w:pPr>
      <w:r>
        <w:t xml:space="preserve">This preserves the full corpus while marking the filtered evidence chunks.</w:t>
      </w:r>
    </w:p>
    <w:bookmarkEnd w:id="95"/>
    <w:bookmarkEnd w:id="96"/>
    <w:bookmarkStart w:id="98" w:name="Xeecff2109ac7fdc8ec7ec7ce27c23476b18c76b"/>
    <w:p>
      <w:pPr>
        <w:pStyle w:val="Heading2"/>
      </w:pPr>
      <w:r>
        <w:t xml:space="preserve">10.8 Reorder columns into a clean retrieval schema</w:t>
      </w:r>
    </w:p>
    <w:p>
      <w:pPr>
        <w:pStyle w:val="FirstParagraph"/>
      </w:pPr>
      <w:r>
        <w:t xml:space="preserve">This is the main schema students should carry forward.</w:t>
      </w:r>
    </w:p>
    <w:p>
      <w:pPr>
        <w:pStyle w:val="SourceCode"/>
      </w:pPr>
      <w:r>
        <w:rPr>
          <w:rStyle w:val="NormalTok"/>
        </w:rPr>
        <w:t xml:space="preserve">preferred_cols </w:t>
      </w:r>
      <w:r>
        <w:rPr>
          <w:rStyle w:val="OperatorTok"/>
        </w:rPr>
        <w:t xml:space="preserve">=</w:t>
      </w:r>
      <w:r>
        <w:rPr>
          <w:rStyle w:val="NormalTok"/>
        </w:rPr>
        <w:t xml:space="preserve"> [</w:t>
      </w:r>
      <w:r>
        <w:br/>
      </w:r>
      <w:r>
        <w:rPr>
          <w:rStyle w:val="NormalTok"/>
        </w:rPr>
        <w:t xml:space="preserve">    </w:t>
      </w:r>
      <w:r>
        <w:rPr>
          <w:rStyle w:val="StringTok"/>
        </w:rPr>
        <w:t xml:space="preserve">"chunk_id"</w:t>
      </w:r>
      <w:r>
        <w:rPr>
          <w:rStyle w:val="NormalTok"/>
        </w:rPr>
        <w:t xml:space="preserve">,</w:t>
      </w:r>
      <w:r>
        <w:br/>
      </w:r>
      <w:r>
        <w:rPr>
          <w:rStyle w:val="NormalTok"/>
        </w:rPr>
        <w:t xml:space="preserve">    </w:t>
      </w:r>
      <w:r>
        <w:rPr>
          <w:rStyle w:val="StringTok"/>
        </w:rPr>
        <w:t xml:space="preserve">"file_name"</w:t>
      </w:r>
      <w:r>
        <w:rPr>
          <w:rStyle w:val="NormalTok"/>
        </w:rPr>
        <w:t xml:space="preserve">,</w:t>
      </w:r>
      <w:r>
        <w:br/>
      </w:r>
      <w:r>
        <w:rPr>
          <w:rStyle w:val="NormalTok"/>
        </w:rPr>
        <w:t xml:space="preserve">    </w:t>
      </w:r>
      <w:r>
        <w:rPr>
          <w:rStyle w:val="StringTok"/>
        </w:rPr>
        <w:t xml:space="preserve">"file_path"</w:t>
      </w:r>
      <w:r>
        <w:rPr>
          <w:rStyle w:val="NormalTok"/>
        </w:rPr>
        <w:t xml:space="preserve">,</w:t>
      </w:r>
      <w:r>
        <w:br/>
      </w:r>
      <w:r>
        <w:rPr>
          <w:rStyle w:val="NormalTok"/>
        </w:rPr>
        <w:t xml:space="preserve">    </w:t>
      </w:r>
      <w:r>
        <w:rPr>
          <w:rStyle w:val="StringTok"/>
        </w:rPr>
        <w:t xml:space="preserve">"company_name"</w:t>
      </w:r>
      <w:r>
        <w:rPr>
          <w:rStyle w:val="NormalTok"/>
        </w:rPr>
        <w:t xml:space="preserve">,</w:t>
      </w:r>
      <w:r>
        <w:br/>
      </w:r>
      <w:r>
        <w:rPr>
          <w:rStyle w:val="NormalTok"/>
        </w:rPr>
        <w:t xml:space="preserve">    </w:t>
      </w:r>
      <w:r>
        <w:rPr>
          <w:rStyle w:val="StringTok"/>
        </w:rPr>
        <w:t xml:space="preserve">"cik"</w:t>
      </w:r>
      <w:r>
        <w:rPr>
          <w:rStyle w:val="NormalTok"/>
        </w:rPr>
        <w:t xml:space="preserve">,</w:t>
      </w:r>
      <w:r>
        <w:br/>
      </w:r>
      <w:r>
        <w:rPr>
          <w:rStyle w:val="NormalTok"/>
        </w:rPr>
        <w:t xml:space="preserve">    </w:t>
      </w:r>
      <w:r>
        <w:rPr>
          <w:rStyle w:val="StringTok"/>
        </w:rPr>
        <w:t xml:space="preserve">"filing_date"</w:t>
      </w:r>
      <w:r>
        <w:rPr>
          <w:rStyle w:val="NormalTok"/>
        </w:rPr>
        <w:t xml:space="preserve">,</w:t>
      </w:r>
      <w:r>
        <w:br/>
      </w:r>
      <w:r>
        <w:rPr>
          <w:rStyle w:val="NormalTok"/>
        </w:rPr>
        <w:t xml:space="preserve">    </w:t>
      </w:r>
      <w:r>
        <w:rPr>
          <w:rStyle w:val="StringTok"/>
        </w:rPr>
        <w:t xml:space="preserve">"accession_number"</w:t>
      </w:r>
      <w:r>
        <w:rPr>
          <w:rStyle w:val="NormalTok"/>
        </w:rPr>
        <w:t xml:space="preserve">,</w:t>
      </w:r>
      <w:r>
        <w:br/>
      </w:r>
      <w:r>
        <w:rPr>
          <w:rStyle w:val="NormalTok"/>
        </w:rPr>
        <w:t xml:space="preserve">    </w:t>
      </w:r>
      <w:r>
        <w:rPr>
          <w:rStyle w:val="StringTok"/>
        </w:rPr>
        <w:t xml:space="preserve">"sic"</w:t>
      </w:r>
      <w:r>
        <w:rPr>
          <w:rStyle w:val="NormalTok"/>
        </w:rPr>
        <w:t xml:space="preserve">,</w:t>
      </w:r>
      <w:r>
        <w:br/>
      </w:r>
      <w:r>
        <w:rPr>
          <w:rStyle w:val="NormalTok"/>
        </w:rPr>
        <w:t xml:space="preserve">    </w:t>
      </w:r>
      <w:r>
        <w:rPr>
          <w:rStyle w:val="StringTok"/>
        </w:rPr>
        <w:t xml:space="preserve">"sector"</w:t>
      </w:r>
      <w:r>
        <w:rPr>
          <w:rStyle w:val="NormalTok"/>
        </w:rPr>
        <w:t xml:space="preserve">,</w:t>
      </w:r>
      <w:r>
        <w:br/>
      </w:r>
      <w:r>
        <w:rPr>
          <w:rStyle w:val="NormalTok"/>
        </w:rPr>
        <w:t xml:space="preserve">    </w:t>
      </w:r>
      <w:r>
        <w:rPr>
          <w:rStyle w:val="StringTok"/>
        </w:rPr>
        <w:t xml:space="preserve">"document_type"</w:t>
      </w:r>
      <w:r>
        <w:rPr>
          <w:rStyle w:val="NormalTok"/>
        </w:rPr>
        <w:t xml:space="preserve">,</w:t>
      </w:r>
      <w:r>
        <w:br/>
      </w:r>
      <w:r>
        <w:rPr>
          <w:rStyle w:val="NormalTok"/>
        </w:rPr>
        <w:t xml:space="preserve">    </w:t>
      </w:r>
      <w:r>
        <w:rPr>
          <w:rStyle w:val="StringTok"/>
        </w:rPr>
        <w:t xml:space="preserve">"filing_year"</w:t>
      </w:r>
      <w:r>
        <w:rPr>
          <w:rStyle w:val="NormalTok"/>
        </w:rPr>
        <w:t xml:space="preserve">,</w:t>
      </w:r>
      <w:r>
        <w:br/>
      </w:r>
      <w:r>
        <w:rPr>
          <w:rStyle w:val="NormalTok"/>
        </w:rPr>
        <w:t xml:space="preserve">    </w:t>
      </w:r>
      <w:r>
        <w:rPr>
          <w:rStyle w:val="StringTok"/>
        </w:rPr>
        <w:t xml:space="preserve">"source_type"</w:t>
      </w:r>
      <w:r>
        <w:rPr>
          <w:rStyle w:val="NormalTok"/>
        </w:rPr>
        <w:t xml:space="preserve">,</w:t>
      </w:r>
      <w:r>
        <w:br/>
      </w:r>
      <w:r>
        <w:rPr>
          <w:rStyle w:val="NormalTok"/>
        </w:rPr>
        <w:t xml:space="preserve">    </w:t>
      </w:r>
      <w:r>
        <w:rPr>
          <w:rStyle w:val="StringTok"/>
        </w:rPr>
        <w:t xml:space="preserve">"retrieval_unit"</w:t>
      </w:r>
      <w:r>
        <w:rPr>
          <w:rStyle w:val="NormalTok"/>
        </w:rPr>
        <w:t xml:space="preserve">,</w:t>
      </w:r>
      <w:r>
        <w:br/>
      </w:r>
      <w:r>
        <w:rPr>
          <w:rStyle w:val="NormalTok"/>
        </w:rPr>
        <w:t xml:space="preserve">    </w:t>
      </w:r>
      <w:r>
        <w:rPr>
          <w:rStyle w:val="StringTok"/>
        </w:rPr>
        <w:t xml:space="preserve">"section_name"</w:t>
      </w:r>
      <w:r>
        <w:rPr>
          <w:rStyle w:val="NormalTok"/>
        </w:rPr>
        <w:t xml:space="preserve">,</w:t>
      </w:r>
      <w:r>
        <w:br/>
      </w:r>
      <w:r>
        <w:rPr>
          <w:rStyle w:val="NormalTok"/>
        </w:rPr>
        <w:t xml:space="preserve">    </w:t>
      </w:r>
      <w:r>
        <w:rPr>
          <w:rStyle w:val="StringTok"/>
        </w:rPr>
        <w:t xml:space="preserve">"section_label"</w:t>
      </w:r>
      <w:r>
        <w:rPr>
          <w:rStyle w:val="NormalTok"/>
        </w:rPr>
        <w:t xml:space="preserve">,</w:t>
      </w:r>
      <w:r>
        <w:br/>
      </w:r>
      <w:r>
        <w:rPr>
          <w:rStyle w:val="NormalTok"/>
        </w:rPr>
        <w:t xml:space="preserve">    </w:t>
      </w:r>
      <w:r>
        <w:rPr>
          <w:rStyle w:val="StringTok"/>
        </w:rPr>
        <w:t xml:space="preserve">"start_sentence"</w:t>
      </w:r>
      <w:r>
        <w:rPr>
          <w:rStyle w:val="NormalTok"/>
        </w:rPr>
        <w:t xml:space="preserve">,</w:t>
      </w:r>
      <w:r>
        <w:br/>
      </w:r>
      <w:r>
        <w:rPr>
          <w:rStyle w:val="NormalTok"/>
        </w:rPr>
        <w:t xml:space="preserve">    </w:t>
      </w:r>
      <w:r>
        <w:rPr>
          <w:rStyle w:val="StringTok"/>
        </w:rPr>
        <w:t xml:space="preserve">"end_sentence"</w:t>
      </w:r>
      <w:r>
        <w:rPr>
          <w:rStyle w:val="NormalTok"/>
        </w:rPr>
        <w:t xml:space="preserve">,</w:t>
      </w:r>
      <w:r>
        <w:br/>
      </w:r>
      <w:r>
        <w:rPr>
          <w:rStyle w:val="NormalTok"/>
        </w:rPr>
        <w:t xml:space="preserve">    </w:t>
      </w:r>
      <w:r>
        <w:rPr>
          <w:rStyle w:val="StringTok"/>
        </w:rPr>
        <w:t xml:space="preserve">"n_sentences"</w:t>
      </w:r>
      <w:r>
        <w:rPr>
          <w:rStyle w:val="NormalTok"/>
        </w:rPr>
        <w:t xml:space="preserve">,</w:t>
      </w:r>
      <w:r>
        <w:br/>
      </w:r>
      <w:r>
        <w:rPr>
          <w:rStyle w:val="NormalTok"/>
        </w:rPr>
        <w:t xml:space="preserve">    </w:t>
      </w:r>
      <w:r>
        <w:rPr>
          <w:rStyle w:val="StringTok"/>
        </w:rPr>
        <w:t xml:space="preserve">"approx_token_count"</w:t>
      </w:r>
      <w:r>
        <w:rPr>
          <w:rStyle w:val="NormalTok"/>
        </w:rPr>
        <w:t xml:space="preserve">,</w:t>
      </w:r>
      <w:r>
        <w:br/>
      </w:r>
      <w:r>
        <w:rPr>
          <w:rStyle w:val="NormalTok"/>
        </w:rPr>
        <w:t xml:space="preserve">    </w:t>
      </w:r>
      <w:r>
        <w:rPr>
          <w:rStyle w:val="StringTok"/>
        </w:rPr>
        <w:t xml:space="preserve">"chunk_length_chars"</w:t>
      </w:r>
      <w:r>
        <w:rPr>
          <w:rStyle w:val="NormalTok"/>
        </w:rPr>
        <w:t xml:space="preserve">,</w:t>
      </w:r>
      <w:r>
        <w:br/>
      </w:r>
      <w:r>
        <w:rPr>
          <w:rStyle w:val="NormalTok"/>
        </w:rPr>
        <w:t xml:space="preserve">    </w:t>
      </w:r>
      <w:r>
        <w:rPr>
          <w:rStyle w:val="StringTok"/>
        </w:rPr>
        <w:t xml:space="preserve">"has_target_signal"</w:t>
      </w:r>
      <w:r>
        <w:rPr>
          <w:rStyle w:val="NormalTok"/>
        </w:rPr>
        <w:t xml:space="preserve">,</w:t>
      </w:r>
      <w:r>
        <w:br/>
      </w:r>
      <w:r>
        <w:rPr>
          <w:rStyle w:val="NormalTok"/>
        </w:rPr>
        <w:t xml:space="preserve">    </w:t>
      </w:r>
      <w:r>
        <w:rPr>
          <w:rStyle w:val="StringTok"/>
        </w:rPr>
        <w:t xml:space="preserve">"signal_type"</w:t>
      </w:r>
      <w:r>
        <w:rPr>
          <w:rStyle w:val="NormalTok"/>
        </w:rPr>
        <w:t xml:space="preserve">,</w:t>
      </w:r>
      <w:r>
        <w:br/>
      </w:r>
      <w:r>
        <w:rPr>
          <w:rStyle w:val="NormalTok"/>
        </w:rPr>
        <w:t xml:space="preserve">    </w:t>
      </w:r>
      <w:r>
        <w:rPr>
          <w:rStyle w:val="StringTok"/>
        </w:rPr>
        <w:t xml:space="preserve">"signal_confidence"</w:t>
      </w:r>
      <w:r>
        <w:rPr>
          <w:rStyle w:val="NormalTok"/>
        </w:rPr>
        <w:t xml:space="preserve">,</w:t>
      </w:r>
      <w:r>
        <w:br/>
      </w:r>
      <w:r>
        <w:rPr>
          <w:rStyle w:val="NormalTok"/>
        </w:rPr>
        <w:t xml:space="preserve">    </w:t>
      </w:r>
      <w:r>
        <w:rPr>
          <w:rStyle w:val="StringTok"/>
        </w:rPr>
        <w:t xml:space="preserve">"n_core_matches"</w:t>
      </w:r>
      <w:r>
        <w:rPr>
          <w:rStyle w:val="NormalTok"/>
        </w:rPr>
        <w:t xml:space="preserve">,</w:t>
      </w:r>
      <w:r>
        <w:br/>
      </w:r>
      <w:r>
        <w:rPr>
          <w:rStyle w:val="NormalTok"/>
        </w:rPr>
        <w:t xml:space="preserve">    </w:t>
      </w:r>
      <w:r>
        <w:rPr>
          <w:rStyle w:val="StringTok"/>
        </w:rPr>
        <w:t xml:space="preserve">"n_support_matches"</w:t>
      </w:r>
      <w:r>
        <w:rPr>
          <w:rStyle w:val="NormalTok"/>
        </w:rPr>
        <w:t xml:space="preserve">,</w:t>
      </w:r>
      <w:r>
        <w:br/>
      </w:r>
      <w:r>
        <w:rPr>
          <w:rStyle w:val="NormalTok"/>
        </w:rPr>
        <w:t xml:space="preserve">    </w:t>
      </w:r>
      <w:r>
        <w:rPr>
          <w:rStyle w:val="StringTok"/>
        </w:rPr>
        <w:t xml:space="preserve">"chunk_text"</w:t>
      </w:r>
      <w:r>
        <w:br/>
      </w:r>
      <w:r>
        <w:rPr>
          <w:rStyle w:val="NormalTok"/>
        </w:rPr>
        <w:t xml:space="preserve">]</w:t>
      </w:r>
      <w:r>
        <w:br/>
      </w:r>
      <w:r>
        <w:br/>
      </w:r>
      <w:r>
        <w:rPr>
          <w:rStyle w:val="NormalTok"/>
        </w:rPr>
        <w:t xml:space="preserve">final_cols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preferred_cols </w:t>
      </w:r>
      <w:r>
        <w:rPr>
          <w:rStyle w:val="ControlFlowTok"/>
        </w:rPr>
        <w:t xml:space="preserve">if</w:t>
      </w:r>
      <w:r>
        <w:rPr>
          <w:rStyle w:val="NormalTok"/>
        </w:rPr>
        <w:t xml:space="preserve"> col </w:t>
      </w:r>
      <w:r>
        <w:rPr>
          <w:rStyle w:val="KeywordTok"/>
        </w:rPr>
        <w:t xml:space="preserve">in</w:t>
      </w:r>
      <w:r>
        <w:rPr>
          <w:rStyle w:val="NormalTok"/>
        </w:rPr>
        <w:t xml:space="preserve"> df_retrieval.columns]</w:t>
      </w:r>
      <w:r>
        <w:br/>
      </w:r>
      <w:r>
        <w:rPr>
          <w:rStyle w:val="NormalTok"/>
        </w:rPr>
        <w:t xml:space="preserve">df_retrieval </w:t>
      </w:r>
      <w:r>
        <w:rPr>
          <w:rStyle w:val="OperatorTok"/>
        </w:rPr>
        <w:t xml:space="preserve">=</w:t>
      </w:r>
      <w:r>
        <w:rPr>
          <w:rStyle w:val="NormalTok"/>
        </w:rPr>
        <w:t xml:space="preserve"> df_retrieval[final_cols].copy()</w:t>
      </w:r>
      <w:r>
        <w:br/>
      </w:r>
      <w:r>
        <w:br/>
      </w:r>
      <w:r>
        <w:rPr>
          <w:rStyle w:val="BuiltInTok"/>
        </w:rPr>
        <w:t xml:space="preserve">print</w:t>
      </w:r>
      <w:r>
        <w:rPr>
          <w:rStyle w:val="NormalTok"/>
        </w:rPr>
        <w:t xml:space="preserve">(df_retrieval.shape)</w:t>
      </w:r>
      <w:r>
        <w:br/>
      </w:r>
      <w:r>
        <w:rPr>
          <w:rStyle w:val="NormalTok"/>
        </w:rPr>
        <w:t xml:space="preserve">df_retrieval.head().style.hide(axis</w:t>
      </w:r>
      <w:r>
        <w:rPr>
          <w:rStyle w:val="OperatorTok"/>
        </w:rPr>
        <w:t xml:space="preserve">=</w:t>
      </w:r>
      <w:r>
        <w:rPr>
          <w:rStyle w:val="StringTok"/>
        </w:rPr>
        <w:t xml:space="preserve">"index"</w:t>
      </w:r>
      <w:r>
        <w:rPr>
          <w:rStyle w:val="NormalTok"/>
        </w:rPr>
        <w:t xml:space="preserve">)</w:t>
      </w:r>
    </w:p>
    <w:p>
      <w:pPr>
        <w:pStyle w:val="SourceCode"/>
      </w:pPr>
      <w:r>
        <w:rPr>
          <w:rStyle w:val="VerbatimChar"/>
        </w:rPr>
        <w:t xml:space="preserve">(2664, 20)</w:t>
      </w:r>
    </w:p>
    <w:bookmarkStart w:id="97" w:name="T_664b5"/>
    <w:tbl>
      <w:tblPr>
        <w:tblStyle w:val="Table"/>
        <w:tblW w:type="auto" w:w="0"/>
        <w:tblLook w:firstRow="1" w:lastRow="0" w:firstColumn="0" w:lastColumn="0" w:noHBand="0" w:noVBand="0" w:val="0020"/>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on"/>
        </w:trPr>
        <w:tc>
          <w:tcPr/>
          <w:p>
            <w:pPr>
              <w:pStyle w:val="Compact"/>
            </w:pPr>
            <w:r>
              <w:t xml:space="preserve">chunk_id</w:t>
            </w:r>
          </w:p>
        </w:tc>
        <w:tc>
          <w:tcPr/>
          <w:p>
            <w:pPr>
              <w:pStyle w:val="Compact"/>
            </w:pPr>
            <w:r>
              <w:t xml:space="preserve">file_name</w:t>
            </w:r>
          </w:p>
        </w:tc>
        <w:tc>
          <w:tcPr/>
          <w:p>
            <w:pPr>
              <w:pStyle w:val="Compact"/>
            </w:pPr>
            <w:r>
              <w:t xml:space="preserve">file_path</w:t>
            </w:r>
          </w:p>
        </w:tc>
        <w:tc>
          <w:tcPr/>
          <w:p>
            <w:pPr>
              <w:pStyle w:val="Compact"/>
            </w:pPr>
            <w:r>
              <w:t xml:space="preserve">document_type</w:t>
            </w:r>
          </w:p>
        </w:tc>
        <w:tc>
          <w:tcPr/>
          <w:p>
            <w:pPr>
              <w:pStyle w:val="Compact"/>
            </w:pPr>
            <w:r>
              <w:t xml:space="preserve">filing_year</w:t>
            </w:r>
          </w:p>
        </w:tc>
        <w:tc>
          <w:tcPr/>
          <w:p>
            <w:pPr>
              <w:pStyle w:val="Compact"/>
            </w:pPr>
            <w:r>
              <w:t xml:space="preserve">source_type</w:t>
            </w:r>
          </w:p>
        </w:tc>
        <w:tc>
          <w:tcPr/>
          <w:p>
            <w:pPr>
              <w:pStyle w:val="Compact"/>
            </w:pPr>
            <w:r>
              <w:t xml:space="preserve">retrieval_unit</w:t>
            </w:r>
          </w:p>
        </w:tc>
        <w:tc>
          <w:tcPr/>
          <w:p>
            <w:pPr>
              <w:pStyle w:val="Compact"/>
            </w:pPr>
            <w:r>
              <w:t xml:space="preserve">section_name</w:t>
            </w:r>
          </w:p>
        </w:tc>
        <w:tc>
          <w:tcPr/>
          <w:p>
            <w:pPr>
              <w:pStyle w:val="Compact"/>
            </w:pPr>
            <w:r>
              <w:t xml:space="preserve">section_label</w:t>
            </w:r>
          </w:p>
        </w:tc>
        <w:tc>
          <w:tcPr/>
          <w:p>
            <w:pPr>
              <w:pStyle w:val="Compact"/>
            </w:pPr>
            <w:r>
              <w:t xml:space="preserve">start_sentence</w:t>
            </w:r>
          </w:p>
        </w:tc>
        <w:tc>
          <w:tcPr/>
          <w:p>
            <w:pPr>
              <w:pStyle w:val="Compact"/>
            </w:pPr>
            <w:r>
              <w:t xml:space="preserve">end_sentence</w:t>
            </w:r>
          </w:p>
        </w:tc>
        <w:tc>
          <w:tcPr/>
          <w:p>
            <w:pPr>
              <w:pStyle w:val="Compact"/>
            </w:pPr>
            <w:r>
              <w:t xml:space="preserve">n_sentences</w:t>
            </w:r>
          </w:p>
        </w:tc>
        <w:tc>
          <w:tcPr/>
          <w:p>
            <w:pPr>
              <w:pStyle w:val="Compact"/>
            </w:pPr>
            <w:r>
              <w:t xml:space="preserve">approx_token_count</w:t>
            </w:r>
          </w:p>
        </w:tc>
        <w:tc>
          <w:tcPr/>
          <w:p>
            <w:pPr>
              <w:pStyle w:val="Compact"/>
            </w:pPr>
            <w:r>
              <w:t xml:space="preserve">chunk_length_chars</w:t>
            </w:r>
          </w:p>
        </w:tc>
        <w:tc>
          <w:tcPr/>
          <w:p>
            <w:pPr>
              <w:pStyle w:val="Compact"/>
            </w:pPr>
            <w:r>
              <w:t xml:space="preserve">has_target_signal</w:t>
            </w:r>
          </w:p>
        </w:tc>
        <w:tc>
          <w:tcPr/>
          <w:p>
            <w:pPr>
              <w:pStyle w:val="Compact"/>
            </w:pPr>
            <w:r>
              <w:t xml:space="preserve">signal_type</w:t>
            </w:r>
          </w:p>
        </w:tc>
        <w:tc>
          <w:tcPr/>
          <w:p>
            <w:pPr>
              <w:pStyle w:val="Compact"/>
            </w:pPr>
            <w:r>
              <w:t xml:space="preserve">signal_confidence</w:t>
            </w:r>
          </w:p>
        </w:tc>
        <w:tc>
          <w:tcPr/>
          <w:p>
            <w:pPr>
              <w:pStyle w:val="Compact"/>
            </w:pPr>
            <w:r>
              <w:t xml:space="preserve">n_core_matches</w:t>
            </w:r>
          </w:p>
        </w:tc>
        <w:tc>
          <w:tcPr/>
          <w:p>
            <w:pPr>
              <w:pStyle w:val="Compact"/>
            </w:pPr>
            <w:r>
              <w:t xml:space="preserve">n_support_matches</w:t>
            </w:r>
          </w:p>
        </w:tc>
        <w:tc>
          <w:tcPr/>
          <w:p>
            <w:pPr>
              <w:pStyle w:val="Compact"/>
            </w:pPr>
            <w:r>
              <w:t xml:space="preserve">chunk_text</w:t>
            </w:r>
          </w:p>
        </w:tc>
      </w:tr>
      <w:tr>
        <w:tc>
          <w:tcPr/>
          <w:p>
            <w:pPr>
              <w:pStyle w:val="Compact"/>
            </w:pPr>
            <w:r>
              <w:t xml:space="preserve">20240102_10-K_edgar_data_1288750_0001654954-24-000069.html::item_1::c1</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10-K</w:t>
            </w:r>
          </w:p>
        </w:tc>
        <w:tc>
          <w:tcPr/>
          <w:p>
            <w:pPr>
              <w:pStyle w:val="Compact"/>
            </w:pPr>
            <w:r>
              <w:t xml:space="preserve">2024</w:t>
            </w:r>
          </w:p>
        </w:tc>
        <w:tc>
          <w:tcPr/>
          <w:p>
            <w:pPr>
              <w:pStyle w:val="Compact"/>
            </w:pPr>
            <w:r>
              <w:t xml:space="preserve">sec_html_extracted</w:t>
            </w:r>
          </w:p>
        </w:tc>
        <w:tc>
          <w:tcPr/>
          <w:p>
            <w:pPr>
              <w:pStyle w:val="Compact"/>
            </w:pPr>
            <w:r>
              <w:t xml:space="preserve">sentence_window_chunk</w:t>
            </w:r>
          </w:p>
        </w:tc>
        <w:tc>
          <w:tcPr/>
          <w:p>
            <w:pPr>
              <w:pStyle w:val="Compact"/>
            </w:pPr>
            <w:r>
              <w:t xml:space="preserve">item_1</w:t>
            </w:r>
          </w:p>
        </w:tc>
        <w:tc>
          <w:tcPr/>
          <w:p>
            <w:pPr>
              <w:pStyle w:val="Compact"/>
            </w:pPr>
            <w:r>
              <w:t xml:space="preserve">Item 1 - Business</w:t>
            </w:r>
          </w:p>
        </w:tc>
        <w:tc>
          <w:tcPr/>
          <w:p>
            <w:pPr>
              <w:pStyle w:val="Compact"/>
            </w:pPr>
            <w:r>
              <w:t xml:space="preserve">1</w:t>
            </w:r>
          </w:p>
        </w:tc>
        <w:tc>
          <w:tcPr/>
          <w:p>
            <w:pPr>
              <w:pStyle w:val="Compact"/>
            </w:pPr>
            <w:r>
              <w:t xml:space="preserve">10</w:t>
            </w:r>
          </w:p>
        </w:tc>
        <w:tc>
          <w:tcPr/>
          <w:p>
            <w:pPr>
              <w:pStyle w:val="Compact"/>
            </w:pPr>
            <w:r>
              <w:t xml:space="preserve">10</w:t>
            </w:r>
          </w:p>
        </w:tc>
        <w:tc>
          <w:tcPr/>
          <w:p>
            <w:pPr>
              <w:pStyle w:val="Compact"/>
            </w:pPr>
            <w:r>
              <w:t xml:space="preserve">259</w:t>
            </w:r>
          </w:p>
        </w:tc>
        <w:tc>
          <w:tcPr/>
          <w:p>
            <w:pPr>
              <w:pStyle w:val="Compact"/>
            </w:pPr>
            <w:r>
              <w:t xml:space="preserve">1378</w:t>
            </w:r>
          </w:p>
        </w:tc>
        <w:tc>
          <w:tcPr/>
          <w:p>
            <w:pPr>
              <w:pStyle w:val="Compact"/>
            </w:pPr>
            <w:r>
              <w:t xml:space="preserve">False</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DESCRIPTION OF BUSINESS Incorporation and Early History We were incorporated in the State of Idaho in August 1968 under the name Silver Crystal Mines, Inc., to engage in the business of exploring for precious metal deposits and advancing them toward production. We ceased exploration activities during the 1990’s and became virtually inactive. In December 2003, a group of investors purchased 80-percent of the issued and outstanding common stock from the then-controlling management team. In January 2004, we affected a one-for-four reverse split of our issued and outstanding shares of common stock and increased the number of our authorized shares of common stock to 100,000,000 with a par value of $0.001. In February 2004, our name was changed to Timberline Resources Corporation. Since the reorganization, we have been in an exploration stage evaluating, acquiring, and exploring mineral prospects with potential for economic deposits of precious and base metals. We define a prospect as a mining property, the value of which has not been determined by exploration. In August 2008, we reincorporated into the State of Delaware pursuant to a merger agreement approved by our shareholders. In July 2007, we closed our purchase of the Butte Highlands Gold Project. In October 2008, we announced that we had agreed to form a 50/50 joint venture at the Butte Highlands Project.</w:t>
            </w:r>
          </w:p>
        </w:tc>
      </w:tr>
      <w:tr>
        <w:tc>
          <w:tcPr/>
          <w:p>
            <w:pPr>
              <w:pStyle w:val="Compact"/>
            </w:pPr>
            <w:r>
              <w:t xml:space="preserve">20240102_10-K_edgar_data_1288750_0001654954-24-000069.html::item_1::c2</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10-K</w:t>
            </w:r>
          </w:p>
        </w:tc>
        <w:tc>
          <w:tcPr/>
          <w:p>
            <w:pPr>
              <w:pStyle w:val="Compact"/>
            </w:pPr>
            <w:r>
              <w:t xml:space="preserve">2024</w:t>
            </w:r>
          </w:p>
        </w:tc>
        <w:tc>
          <w:tcPr/>
          <w:p>
            <w:pPr>
              <w:pStyle w:val="Compact"/>
            </w:pPr>
            <w:r>
              <w:t xml:space="preserve">sec_html_extracted</w:t>
            </w:r>
          </w:p>
        </w:tc>
        <w:tc>
          <w:tcPr/>
          <w:p>
            <w:pPr>
              <w:pStyle w:val="Compact"/>
            </w:pPr>
            <w:r>
              <w:t xml:space="preserve">sentence_window_chunk</w:t>
            </w:r>
          </w:p>
        </w:tc>
        <w:tc>
          <w:tcPr/>
          <w:p>
            <w:pPr>
              <w:pStyle w:val="Compact"/>
            </w:pPr>
            <w:r>
              <w:t xml:space="preserve">item_1</w:t>
            </w:r>
          </w:p>
        </w:tc>
        <w:tc>
          <w:tcPr/>
          <w:p>
            <w:pPr>
              <w:pStyle w:val="Compact"/>
            </w:pPr>
            <w:r>
              <w:t xml:space="preserve">Item 1 - Business</w:t>
            </w:r>
          </w:p>
        </w:tc>
        <w:tc>
          <w:tcPr/>
          <w:p>
            <w:pPr>
              <w:pStyle w:val="Compact"/>
            </w:pPr>
            <w:r>
              <w:t xml:space="preserve">9</w:t>
            </w:r>
          </w:p>
        </w:tc>
        <w:tc>
          <w:tcPr/>
          <w:p>
            <w:pPr>
              <w:pStyle w:val="Compact"/>
            </w:pPr>
            <w:r>
              <w:t xml:space="preserve">16</w:t>
            </w:r>
          </w:p>
        </w:tc>
        <w:tc>
          <w:tcPr/>
          <w:p>
            <w:pPr>
              <w:pStyle w:val="Compact"/>
            </w:pPr>
            <w:r>
              <w:t xml:space="preserve">8</w:t>
            </w:r>
          </w:p>
        </w:tc>
        <w:tc>
          <w:tcPr/>
          <w:p>
            <w:pPr>
              <w:pStyle w:val="Compact"/>
            </w:pPr>
            <w:r>
              <w:t xml:space="preserve">293</w:t>
            </w:r>
          </w:p>
        </w:tc>
        <w:tc>
          <w:tcPr/>
          <w:p>
            <w:pPr>
              <w:pStyle w:val="Compact"/>
            </w:pPr>
            <w:r>
              <w:t xml:space="preserve">1413</w:t>
            </w:r>
          </w:p>
        </w:tc>
        <w:tc>
          <w:tcPr/>
          <w:p>
            <w:pPr>
              <w:pStyle w:val="Compact"/>
            </w:pPr>
            <w:r>
              <w:t xml:space="preserve">False</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In July 2007, we closed our purchase of the Butte Highlands Gold Project. In October 2008, we announced that we had agreed to form a 50/50 joint venture at the Butte Highlands Project. In July 2009, we finalized the joint venture agreement with Highland Mining, LLC (“Highland”) to create Butte Highlands JV, LLC (“BHJV”). Under terms of the joint venture agreement, development began in the summer of 2009, with Highland funding all mine development costs through development. Both Timberline’s and Highland’s 50-percent share of costs were to be paid out of net proceeds from future mine production. On January 29, 2016, we executed a Member Interest Purchase Agreement (the “Purchase Agreement”) with New Jersey Mining Company pursuant to which we sold all of our 50% interest in BHJV. In June 2010, we closed our acquisition of Staccato Gold Resources Ltd. (“Staccato Gold”), a Canadian-based resource company that was in the business of acquiring, exploring, and developing mineral properties with a focus on gold exploration in the dominant gold producing trends in Nevada. As a result of this acquisition, we obtained Staccato’s flagship gold exploration project (“Lookout Mountain”), and several other projects at various stages of exploration in the Battle Mountain/Eureka gold trend in north-central Nevada, along with Staccato Gold’s wholly owned U.S. subsidiary, BH Minerals USA, Inc. (“BH Minerals”).</w:t>
            </w:r>
          </w:p>
        </w:tc>
      </w:tr>
      <w:tr>
        <w:tc>
          <w:tcPr/>
          <w:p>
            <w:pPr>
              <w:pStyle w:val="Compact"/>
            </w:pPr>
            <w:r>
              <w:t xml:space="preserve">20240102_10-K_edgar_data_1288750_0001654954-24-000069.html::item_1::c3</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10-K</w:t>
            </w:r>
          </w:p>
        </w:tc>
        <w:tc>
          <w:tcPr/>
          <w:p>
            <w:pPr>
              <w:pStyle w:val="Compact"/>
            </w:pPr>
            <w:r>
              <w:t xml:space="preserve">2024</w:t>
            </w:r>
          </w:p>
        </w:tc>
        <w:tc>
          <w:tcPr/>
          <w:p>
            <w:pPr>
              <w:pStyle w:val="Compact"/>
            </w:pPr>
            <w:r>
              <w:t xml:space="preserve">sec_html_extracted</w:t>
            </w:r>
          </w:p>
        </w:tc>
        <w:tc>
          <w:tcPr/>
          <w:p>
            <w:pPr>
              <w:pStyle w:val="Compact"/>
            </w:pPr>
            <w:r>
              <w:t xml:space="preserve">sentence_window_chunk</w:t>
            </w:r>
          </w:p>
        </w:tc>
        <w:tc>
          <w:tcPr/>
          <w:p>
            <w:pPr>
              <w:pStyle w:val="Compact"/>
            </w:pPr>
            <w:r>
              <w:t xml:space="preserve">item_1</w:t>
            </w:r>
          </w:p>
        </w:tc>
        <w:tc>
          <w:tcPr/>
          <w:p>
            <w:pPr>
              <w:pStyle w:val="Compact"/>
            </w:pPr>
            <w:r>
              <w:t xml:space="preserve">Item 1 - Business</w:t>
            </w:r>
          </w:p>
        </w:tc>
        <w:tc>
          <w:tcPr/>
          <w:p>
            <w:pPr>
              <w:pStyle w:val="Compact"/>
            </w:pPr>
            <w:r>
              <w:t xml:space="preserve">15</w:t>
            </w:r>
          </w:p>
        </w:tc>
        <w:tc>
          <w:tcPr/>
          <w:p>
            <w:pPr>
              <w:pStyle w:val="Compact"/>
            </w:pPr>
            <w:r>
              <w:t xml:space="preserve">19</w:t>
            </w:r>
          </w:p>
        </w:tc>
        <w:tc>
          <w:tcPr/>
          <w:p>
            <w:pPr>
              <w:pStyle w:val="Compact"/>
            </w:pPr>
            <w:r>
              <w:t xml:space="preserve">5</w:t>
            </w:r>
          </w:p>
        </w:tc>
        <w:tc>
          <w:tcPr/>
          <w:p>
            <w:pPr>
              <w:pStyle w:val="Compact"/>
            </w:pPr>
            <w:r>
              <w:t xml:space="preserve">272</w:t>
            </w:r>
          </w:p>
        </w:tc>
        <w:tc>
          <w:tcPr/>
          <w:p>
            <w:pPr>
              <w:pStyle w:val="Compact"/>
            </w:pPr>
            <w:r>
              <w:t xml:space="preserve">1329</w:t>
            </w:r>
          </w:p>
        </w:tc>
        <w:tc>
          <w:tcPr/>
          <w:p>
            <w:pPr>
              <w:pStyle w:val="Compact"/>
            </w:pPr>
            <w:r>
              <w:t xml:space="preserve">False</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In June 2010, we closed our acquisition of Staccato Gold Resources Ltd. (“Staccato Gold”), a Canadian-based resource company that was in the business of acquiring, exploring, and developing mineral properties with a focus on gold exploration in the dominant gold producing trends in Nevada. As a result of this acquisition, we obtained Staccato’s flagship gold exploration project (“Lookout Mountain”), and several other projects at various stages of exploration in the Battle Mountain/Eureka gold trend in north-central Nevada, along with Staccato Gold’s wholly owned U.S. subsidiary, BH Minerals USA, Inc. (“BH Minerals”). In August 2014, we closed our acquisition of Wolfpack Gold (Nevada) Corp. (“Wolfpack US”), a U.S. company and a wholly owned subsidiary of Wolfpack Gold Corp., a Canadian-based resource company (“Wolfpack Gold”), that was in the business of acquiring, exploring, and developing mineral properties with a focus on gold exploration in the dominant gold producing trends in Nevada. As a result of this acquisition, we obtained cash and several projects at various stages of exploration in the gold trends in Nevada. 5 Table of Contents On March 17, 2015, Timberline signed a definitive option agreement to purchase 100% ownership in the Talapoosa Project in Nevada from Gunpoint Exploration Ltd. (Gunpoint).</w:t>
            </w:r>
          </w:p>
        </w:tc>
      </w:tr>
      <w:tr>
        <w:tc>
          <w:tcPr/>
          <w:p>
            <w:pPr>
              <w:pStyle w:val="Compact"/>
            </w:pPr>
            <w:r>
              <w:t xml:space="preserve">20240102_10-K_edgar_data_1288750_0001654954-24-000069.html::item_1::c4</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10-K</w:t>
            </w:r>
          </w:p>
        </w:tc>
        <w:tc>
          <w:tcPr/>
          <w:p>
            <w:pPr>
              <w:pStyle w:val="Compact"/>
            </w:pPr>
            <w:r>
              <w:t xml:space="preserve">2024</w:t>
            </w:r>
          </w:p>
        </w:tc>
        <w:tc>
          <w:tcPr/>
          <w:p>
            <w:pPr>
              <w:pStyle w:val="Compact"/>
            </w:pPr>
            <w:r>
              <w:t xml:space="preserve">sec_html_extracted</w:t>
            </w:r>
          </w:p>
        </w:tc>
        <w:tc>
          <w:tcPr/>
          <w:p>
            <w:pPr>
              <w:pStyle w:val="Compact"/>
            </w:pPr>
            <w:r>
              <w:t xml:space="preserve">sentence_window_chunk</w:t>
            </w:r>
          </w:p>
        </w:tc>
        <w:tc>
          <w:tcPr/>
          <w:p>
            <w:pPr>
              <w:pStyle w:val="Compact"/>
            </w:pPr>
            <w:r>
              <w:t xml:space="preserve">item_1</w:t>
            </w:r>
          </w:p>
        </w:tc>
        <w:tc>
          <w:tcPr/>
          <w:p>
            <w:pPr>
              <w:pStyle w:val="Compact"/>
            </w:pPr>
            <w:r>
              <w:t xml:space="preserve">Item 1 - Business</w:t>
            </w:r>
          </w:p>
        </w:tc>
        <w:tc>
          <w:tcPr/>
          <w:p>
            <w:pPr>
              <w:pStyle w:val="Compact"/>
            </w:pPr>
            <w:r>
              <w:t xml:space="preserve">18</w:t>
            </w:r>
          </w:p>
        </w:tc>
        <w:tc>
          <w:tcPr/>
          <w:p>
            <w:pPr>
              <w:pStyle w:val="Compact"/>
            </w:pPr>
            <w:r>
              <w:t xml:space="preserve">22</w:t>
            </w:r>
          </w:p>
        </w:tc>
        <w:tc>
          <w:tcPr/>
          <w:p>
            <w:pPr>
              <w:pStyle w:val="Compact"/>
            </w:pPr>
            <w:r>
              <w:t xml:space="preserve">5</w:t>
            </w:r>
          </w:p>
        </w:tc>
        <w:tc>
          <w:tcPr/>
          <w:p>
            <w:pPr>
              <w:pStyle w:val="Compact"/>
            </w:pPr>
            <w:r>
              <w:t xml:space="preserve">267</w:t>
            </w:r>
          </w:p>
        </w:tc>
        <w:tc>
          <w:tcPr/>
          <w:p>
            <w:pPr>
              <w:pStyle w:val="Compact"/>
            </w:pPr>
            <w:r>
              <w:t xml:space="preserve">1204</w:t>
            </w:r>
          </w:p>
        </w:tc>
        <w:tc>
          <w:tcPr/>
          <w:p>
            <w:pPr>
              <w:pStyle w:val="Compact"/>
            </w:pPr>
            <w:r>
              <w:t xml:space="preserve">False</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As a result of this acquisition, we obtained cash and several projects at various stages of exploration in the gold trends in Nevada. 5 Table of Contents On March 17, 2015, Timberline signed a definitive option agreement to purchase 100% ownership in the Talapoosa Project in Nevada from Gunpoint Exploration Ltd. (Gunpoint). The Talapoosa Project is located in western Nevada and contains a resource of over 1 million ounces of gold. Under terms of the agreement Timberline paid Gunpoint $300,000 in cash and 2,000,000 shares of common stock on signing the agreement and was required to pay $10,000,000 (“Option Payment”) within 30 months of the agreement date to acquire 100% ownership, subject to significant contingent payments if the price of gold traded above US $1,600 per ounce for extended periods in the five (5) ensuing years. On October 26, 2016, the agreement was amended to extend the option exercise period to March 31, 2019 with the following schedule: payment of $1,000,000 and 1,000,000 common shares of the Company by March 31, 2017, payment of $2,000,000 and 1,000,000 common shares by March 31, 2018, and a final payment of $8,000,000 and 1.5 million common shares by March 31, 2019.</w:t>
            </w:r>
          </w:p>
        </w:tc>
      </w:tr>
      <w:tr>
        <w:tc>
          <w:tcPr/>
          <w:p>
            <w:pPr>
              <w:pStyle w:val="Compact"/>
            </w:pPr>
            <w:r>
              <w:t xml:space="preserve">20240102_10-K_edgar_data_1288750_0001654954-24-000069.html::item_1::c5</w:t>
            </w:r>
          </w:p>
        </w:tc>
        <w:tc>
          <w:tcPr/>
          <w:p>
            <w:pPr>
              <w:pStyle w:val="Compact"/>
            </w:pPr>
            <w:r>
              <w:t xml:space="preserve">20240102_10-K_edgar_data_1288750_0001654954-24-000069.html</w:t>
            </w:r>
          </w:p>
        </w:tc>
        <w:tc>
          <w:tcPr/>
          <w:p>
            <w:pPr>
              <w:pStyle w:val="Compact"/>
            </w:pPr>
            <w:r>
              <w:t xml:space="preserve">..\data\SEC-10K-2024-HTML\20240102_10-K_edgar_data_1288750_0001654954-24-000069.html</w:t>
            </w:r>
          </w:p>
        </w:tc>
        <w:tc>
          <w:tcPr/>
          <w:p>
            <w:pPr>
              <w:pStyle w:val="Compact"/>
            </w:pPr>
            <w:r>
              <w:t xml:space="preserve">10-K</w:t>
            </w:r>
          </w:p>
        </w:tc>
        <w:tc>
          <w:tcPr/>
          <w:p>
            <w:pPr>
              <w:pStyle w:val="Compact"/>
            </w:pPr>
            <w:r>
              <w:t xml:space="preserve">2024</w:t>
            </w:r>
          </w:p>
        </w:tc>
        <w:tc>
          <w:tcPr/>
          <w:p>
            <w:pPr>
              <w:pStyle w:val="Compact"/>
            </w:pPr>
            <w:r>
              <w:t xml:space="preserve">sec_html_extracted</w:t>
            </w:r>
          </w:p>
        </w:tc>
        <w:tc>
          <w:tcPr/>
          <w:p>
            <w:pPr>
              <w:pStyle w:val="Compact"/>
            </w:pPr>
            <w:r>
              <w:t xml:space="preserve">sentence_window_chunk</w:t>
            </w:r>
          </w:p>
        </w:tc>
        <w:tc>
          <w:tcPr/>
          <w:p>
            <w:pPr>
              <w:pStyle w:val="Compact"/>
            </w:pPr>
            <w:r>
              <w:t xml:space="preserve">item_1</w:t>
            </w:r>
          </w:p>
        </w:tc>
        <w:tc>
          <w:tcPr/>
          <w:p>
            <w:pPr>
              <w:pStyle w:val="Compact"/>
            </w:pPr>
            <w:r>
              <w:t xml:space="preserve">Item 1 - Business</w:t>
            </w:r>
          </w:p>
        </w:tc>
        <w:tc>
          <w:tcPr/>
          <w:p>
            <w:pPr>
              <w:pStyle w:val="Compact"/>
            </w:pPr>
            <w:r>
              <w:t xml:space="preserve">21</w:t>
            </w:r>
          </w:p>
        </w:tc>
        <w:tc>
          <w:tcPr/>
          <w:p>
            <w:pPr>
              <w:pStyle w:val="Compact"/>
            </w:pPr>
            <w:r>
              <w:t xml:space="preserve">24</w:t>
            </w:r>
          </w:p>
        </w:tc>
        <w:tc>
          <w:tcPr/>
          <w:p>
            <w:pPr>
              <w:pStyle w:val="Compact"/>
            </w:pPr>
            <w:r>
              <w:t xml:space="preserve">4</w:t>
            </w:r>
          </w:p>
        </w:tc>
        <w:tc>
          <w:tcPr/>
          <w:p>
            <w:pPr>
              <w:pStyle w:val="Compact"/>
            </w:pPr>
            <w:r>
              <w:t xml:space="preserve">262</w:t>
            </w:r>
          </w:p>
        </w:tc>
        <w:tc>
          <w:tcPr/>
          <w:p>
            <w:pPr>
              <w:pStyle w:val="Compact"/>
            </w:pPr>
            <w:r>
              <w:t xml:space="preserve">1141</w:t>
            </w:r>
          </w:p>
        </w:tc>
        <w:tc>
          <w:tcPr/>
          <w:p>
            <w:pPr>
              <w:pStyle w:val="Compact"/>
            </w:pPr>
            <w:r>
              <w:t xml:space="preserve">False</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Under terms of the agreement Timberline paid Gunpoint $300,000 in cash and 2,000,000 shares of common stock on signing the agreement and was required to pay $10,000,000 (“Option Payment”) within 30 months of the agreement date to acquire 100% ownership, subject to significant contingent payments if the price of gold traded above US $1,600 per ounce for extended periods in the five (5) ensuing years. On October 26, 2016, the agreement was amended to extend the option exercise period to March 31, 2019 with the following schedule: payment of $1,000,000 and 1,000,000 common shares of the Company by March 31, 2017, payment of $2,000,000 and 1,000,000 common shares by March 31, 2018, and a final payment of $8,000,000 and 1.5 million common shares by March 31, 2019. Timberline chose to not make the required payment due on March 31, 2018, and, therefore, the Agreement was terminated, resulting in a $3.2 million write off of a loss on abandonment of mineral rights. In May 2018, we entered into a definitive agreement to acquire ownership interests in two joint venture agreements in Nevada from Americas Gold Exploration, Inc (“AGEI”).</w:t>
            </w:r>
          </w:p>
        </w:tc>
      </w:tr>
    </w:tbl>
    <w:bookmarkEnd w:id="97"/>
    <w:bookmarkEnd w:id="98"/>
    <w:bookmarkStart w:id="104" w:name="check-chunk-quality"/>
    <w:p>
      <w:pPr>
        <w:pStyle w:val="Heading2"/>
      </w:pPr>
      <w:r>
        <w:t xml:space="preserve">10.9 Check chunk quality</w:t>
      </w:r>
    </w:p>
    <w:p>
      <w:pPr>
        <w:pStyle w:val="FirstParagraph"/>
      </w:pPr>
      <w:r>
        <w:t xml:space="preserve">These diagnostics are worth saving in the notebook.</w:t>
      </w:r>
    </w:p>
    <w:bookmarkStart w:id="99" w:name="token-count-summary-1"/>
    <w:p>
      <w:pPr>
        <w:pStyle w:val="Heading3"/>
      </w:pPr>
      <w:r>
        <w:t xml:space="preserve">10.9.1 Token count summary</w:t>
      </w:r>
    </w:p>
    <w:p>
      <w:pPr>
        <w:pStyle w:val="SourceCode"/>
      </w:pPr>
      <w:r>
        <w:rPr>
          <w:rStyle w:val="NormalTok"/>
        </w:rPr>
        <w:t xml:space="preserve">df_retrieval[</w:t>
      </w:r>
      <w:r>
        <w:rPr>
          <w:rStyle w:val="StringTok"/>
        </w:rPr>
        <w:t xml:space="preserve">"approx_token_count"</w:t>
      </w:r>
      <w:r>
        <w:rPr>
          <w:rStyle w:val="NormalTok"/>
        </w:rPr>
        <w:t xml:space="preserve">].describe()</w:t>
      </w:r>
    </w:p>
    <w:p>
      <w:pPr>
        <w:pStyle w:val="SourceCode"/>
      </w:pPr>
      <w:r>
        <w:rPr>
          <w:rStyle w:val="VerbatimChar"/>
        </w:rPr>
        <w:t xml:space="preserve">count    2664.000000</w:t>
      </w:r>
      <w:r>
        <w:br/>
      </w:r>
      <w:r>
        <w:rPr>
          <w:rStyle w:val="VerbatimChar"/>
        </w:rPr>
        <w:t xml:space="preserve">mean      262.568318</w:t>
      </w:r>
      <w:r>
        <w:br/>
      </w:r>
      <w:r>
        <w:rPr>
          <w:rStyle w:val="VerbatimChar"/>
        </w:rPr>
        <w:t xml:space="preserve">std        40.479818</w:t>
      </w:r>
      <w:r>
        <w:br/>
      </w:r>
      <w:r>
        <w:rPr>
          <w:rStyle w:val="VerbatimChar"/>
        </w:rPr>
        <w:t xml:space="preserve">min        40.000000</w:t>
      </w:r>
      <w:r>
        <w:br/>
      </w:r>
      <w:r>
        <w:rPr>
          <w:rStyle w:val="VerbatimChar"/>
        </w:rPr>
        <w:t xml:space="preserve">25%       255.000000</w:t>
      </w:r>
      <w:r>
        <w:br/>
      </w:r>
      <w:r>
        <w:rPr>
          <w:rStyle w:val="VerbatimChar"/>
        </w:rPr>
        <w:t xml:space="preserve">50%       265.000000</w:t>
      </w:r>
      <w:r>
        <w:br/>
      </w:r>
      <w:r>
        <w:rPr>
          <w:rStyle w:val="VerbatimChar"/>
        </w:rPr>
        <w:t xml:space="preserve">75%       279.000000</w:t>
      </w:r>
      <w:r>
        <w:br/>
      </w:r>
      <w:r>
        <w:rPr>
          <w:rStyle w:val="VerbatimChar"/>
        </w:rPr>
        <w:t xml:space="preserve">max      1052.000000</w:t>
      </w:r>
      <w:r>
        <w:br/>
      </w:r>
      <w:r>
        <w:rPr>
          <w:rStyle w:val="VerbatimChar"/>
        </w:rPr>
        <w:t xml:space="preserve">Name: approx_token_count, dtype: float64</w:t>
      </w:r>
    </w:p>
    <w:bookmarkEnd w:id="99"/>
    <w:bookmarkStart w:id="100" w:name="chunks-by-section"/>
    <w:p>
      <w:pPr>
        <w:pStyle w:val="Heading3"/>
      </w:pPr>
      <w:r>
        <w:t xml:space="preserve">10.9.2 Chunks by section</w:t>
      </w:r>
    </w:p>
    <w:p>
      <w:pPr>
        <w:pStyle w:val="SourceCode"/>
      </w:pPr>
      <w:r>
        <w:rPr>
          <w:rStyle w:val="NormalTok"/>
        </w:rPr>
        <w:t xml:space="preserve">df_retrieval[</w:t>
      </w:r>
      <w:r>
        <w:rPr>
          <w:rStyle w:val="StringTok"/>
        </w:rPr>
        <w:t xml:space="preserve">"section_name"</w:t>
      </w:r>
      <w:r>
        <w:rPr>
          <w:rStyle w:val="NormalTok"/>
        </w:rPr>
        <w:t xml:space="preserve">].value_counts(dropna</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section_name</w:t>
      </w:r>
      <w:r>
        <w:br/>
      </w:r>
      <w:r>
        <w:rPr>
          <w:rStyle w:val="VerbatimChar"/>
        </w:rPr>
        <w:t xml:space="preserve">item_1a    1104</w:t>
      </w:r>
      <w:r>
        <w:br/>
      </w:r>
      <w:r>
        <w:rPr>
          <w:rStyle w:val="VerbatimChar"/>
        </w:rPr>
        <w:t xml:space="preserve">item_1      845</w:t>
      </w:r>
      <w:r>
        <w:br/>
      </w:r>
      <w:r>
        <w:rPr>
          <w:rStyle w:val="VerbatimChar"/>
        </w:rPr>
        <w:t xml:space="preserve">item_7      715</w:t>
      </w:r>
      <w:r>
        <w:br/>
      </w:r>
      <w:r>
        <w:rPr>
          <w:rStyle w:val="VerbatimChar"/>
        </w:rPr>
        <w:t xml:space="preserve">Name: count, dtype: int64</w:t>
      </w:r>
    </w:p>
    <w:bookmarkEnd w:id="100"/>
    <w:bookmarkStart w:id="101" w:name="chunks-flagged-with-target-signal"/>
    <w:p>
      <w:pPr>
        <w:pStyle w:val="Heading3"/>
      </w:pPr>
      <w:r>
        <w:t xml:space="preserve">10.9.3 Chunks flagged with target signal</w:t>
      </w:r>
    </w:p>
    <w:p>
      <w:pPr>
        <w:pStyle w:val="SourceCode"/>
      </w:pPr>
      <w:r>
        <w:rPr>
          <w:rStyle w:val="ControlFlowTok"/>
        </w:rPr>
        <w:t xml:space="preserve">if</w:t>
      </w:r>
      <w:r>
        <w:rPr>
          <w:rStyle w:val="NormalTok"/>
        </w:rPr>
        <w:t xml:space="preserve"> </w:t>
      </w:r>
      <w:r>
        <w:rPr>
          <w:rStyle w:val="StringTok"/>
        </w:rPr>
        <w:t xml:space="preserve">"has_target_signal"</w:t>
      </w:r>
      <w:r>
        <w:rPr>
          <w:rStyle w:val="NormalTok"/>
        </w:rPr>
        <w:t xml:space="preserve"> </w:t>
      </w:r>
      <w:r>
        <w:rPr>
          <w:rStyle w:val="KeywordTok"/>
        </w:rPr>
        <w:t xml:space="preserve">in</w:t>
      </w:r>
      <w:r>
        <w:rPr>
          <w:rStyle w:val="NormalTok"/>
        </w:rPr>
        <w:t xml:space="preserve"> df_retrieval.columns:</w:t>
      </w:r>
      <w:r>
        <w:br/>
      </w:r>
      <w:r>
        <w:rPr>
          <w:rStyle w:val="NormalTok"/>
        </w:rPr>
        <w:t xml:space="preserve">    </w:t>
      </w:r>
      <w:r>
        <w:rPr>
          <w:rStyle w:val="BuiltInTok"/>
        </w:rPr>
        <w:t xml:space="preserve">print</w:t>
      </w:r>
      <w:r>
        <w:rPr>
          <w:rStyle w:val="NormalTok"/>
        </w:rPr>
        <w:t xml:space="preserve">(df_retrieval[</w:t>
      </w:r>
      <w:r>
        <w:rPr>
          <w:rStyle w:val="StringTok"/>
        </w:rPr>
        <w:t xml:space="preserve">"has_target_signal"</w:t>
      </w:r>
      <w:r>
        <w:rPr>
          <w:rStyle w:val="NormalTok"/>
        </w:rPr>
        <w:t xml:space="preserve">].value_counts(dropna</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has_target_signal</w:t>
      </w:r>
      <w:r>
        <w:br/>
      </w:r>
      <w:r>
        <w:rPr>
          <w:rStyle w:val="VerbatimChar"/>
        </w:rPr>
        <w:t xml:space="preserve">False    2658</w:t>
      </w:r>
      <w:r>
        <w:br/>
      </w:r>
      <w:r>
        <w:rPr>
          <w:rStyle w:val="VerbatimChar"/>
        </w:rPr>
        <w:t xml:space="preserve">True        6</w:t>
      </w:r>
      <w:r>
        <w:br/>
      </w:r>
      <w:r>
        <w:rPr>
          <w:rStyle w:val="VerbatimChar"/>
        </w:rPr>
        <w:t xml:space="preserve">Name: count, dtype: int64</w:t>
      </w:r>
    </w:p>
    <w:bookmarkEnd w:id="101"/>
    <w:bookmarkStart w:id="103" w:name="random-chunk-sample"/>
    <w:p>
      <w:pPr>
        <w:pStyle w:val="Heading3"/>
      </w:pPr>
      <w:r>
        <w:t xml:space="preserve">10.9.4 Random chunk sample</w:t>
      </w:r>
    </w:p>
    <w:p>
      <w:pPr>
        <w:pStyle w:val="SourceCode"/>
      </w:pPr>
      <w:r>
        <w:rPr>
          <w:rStyle w:val="NormalTok"/>
        </w:rPr>
        <w:t xml:space="preserve">df_retrieval.sample(</w:t>
      </w:r>
      <w:r>
        <w:br/>
      </w:r>
      <w:r>
        <w:rPr>
          <w:rStyle w:val="NormalTok"/>
        </w:rPr>
        <w:t xml:space="preserve">    n</w:t>
      </w:r>
      <w:r>
        <w:rPr>
          <w:rStyle w:val="OperatorTok"/>
        </w:rPr>
        <w:t xml:space="preserve">=</w:t>
      </w:r>
      <w:r>
        <w:rPr>
          <w:rStyle w:val="BuiltInTok"/>
        </w:rPr>
        <w:t xml:space="preserve">min</w:t>
      </w:r>
      <w:r>
        <w:rPr>
          <w:rStyle w:val="NormalTok"/>
        </w:rPr>
        <w:t xml:space="preserve">(</w:t>
      </w:r>
      <w:r>
        <w:rPr>
          <w:rStyle w:val="DecValTok"/>
        </w:rPr>
        <w:t xml:space="preserve">10</w:t>
      </w:r>
      <w:r>
        <w:rPr>
          <w:rStyle w:val="NormalTok"/>
        </w:rPr>
        <w:t xml:space="preserve">, </w:t>
      </w:r>
      <w:r>
        <w:rPr>
          <w:rStyle w:val="BuiltInTok"/>
        </w:rPr>
        <w:t xml:space="preserve">len</w:t>
      </w:r>
      <w:r>
        <w:rPr>
          <w:rStyle w:val="NormalTok"/>
        </w:rPr>
        <w:t xml:space="preserve">(df_retrieval)),</w:t>
      </w:r>
      <w:r>
        <w:br/>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w:t>
      </w:r>
      <w:r>
        <w:br/>
      </w:r>
      <w:r>
        <w:rPr>
          <w:rStyle w:val="NormalTok"/>
        </w:rPr>
        <w:t xml:space="preserve">        </w:t>
      </w:r>
      <w:r>
        <w:rPr>
          <w:rStyle w:val="StringTok"/>
        </w:rPr>
        <w:t xml:space="preserve">"chunk_id"</w:t>
      </w:r>
      <w:r>
        <w:rPr>
          <w:rStyle w:val="NormalTok"/>
        </w:rPr>
        <w:t xml:space="preserve">,</w:t>
      </w:r>
      <w:r>
        <w:br/>
      </w:r>
      <w:r>
        <w:rPr>
          <w:rStyle w:val="NormalTok"/>
        </w:rPr>
        <w:t xml:space="preserve">        </w:t>
      </w:r>
      <w:r>
        <w:rPr>
          <w:rStyle w:val="StringTok"/>
        </w:rPr>
        <w:t xml:space="preserve">"file_name"</w:t>
      </w:r>
      <w:r>
        <w:rPr>
          <w:rStyle w:val="NormalTok"/>
        </w:rPr>
        <w:t xml:space="preserve">,</w:t>
      </w:r>
      <w:r>
        <w:br/>
      </w:r>
      <w:r>
        <w:rPr>
          <w:rStyle w:val="NormalTok"/>
        </w:rPr>
        <w:t xml:space="preserve">        </w:t>
      </w:r>
      <w:r>
        <w:rPr>
          <w:rStyle w:val="StringTok"/>
        </w:rPr>
        <w:t xml:space="preserve">"section_name"</w:t>
      </w:r>
      <w:r>
        <w:rPr>
          <w:rStyle w:val="NormalTok"/>
        </w:rPr>
        <w:t xml:space="preserve">,</w:t>
      </w:r>
      <w:r>
        <w:br/>
      </w:r>
      <w:r>
        <w:rPr>
          <w:rStyle w:val="NormalTok"/>
        </w:rPr>
        <w:t xml:space="preserve">        </w:t>
      </w:r>
      <w:r>
        <w:rPr>
          <w:rStyle w:val="StringTok"/>
        </w:rPr>
        <w:t xml:space="preserve">"approx_token_count"</w:t>
      </w:r>
      <w:r>
        <w:rPr>
          <w:rStyle w:val="NormalTok"/>
        </w:rPr>
        <w:t xml:space="preserve">,</w:t>
      </w:r>
      <w:r>
        <w:br/>
      </w:r>
      <w:r>
        <w:rPr>
          <w:rStyle w:val="NormalTok"/>
        </w:rPr>
        <w:t xml:space="preserve">        </w:t>
      </w:r>
      <w:r>
        <w:rPr>
          <w:rStyle w:val="StringTok"/>
        </w:rPr>
        <w:t xml:space="preserve">"has_target_signal"</w:t>
      </w:r>
      <w:r>
        <w:rPr>
          <w:rStyle w:val="NormalTok"/>
        </w:rPr>
        <w:t xml:space="preserve">,</w:t>
      </w:r>
      <w:r>
        <w:br/>
      </w:r>
      <w:r>
        <w:rPr>
          <w:rStyle w:val="NormalTok"/>
        </w:rPr>
        <w:t xml:space="preserve">        </w:t>
      </w:r>
      <w:r>
        <w:rPr>
          <w:rStyle w:val="StringTok"/>
        </w:rPr>
        <w:t xml:space="preserve">"signal_confidence"</w:t>
      </w:r>
      <w:r>
        <w:rPr>
          <w:rStyle w:val="NormalTok"/>
        </w:rPr>
        <w:t xml:space="preserve">,</w:t>
      </w:r>
      <w:r>
        <w:br/>
      </w:r>
      <w:r>
        <w:rPr>
          <w:rStyle w:val="NormalTok"/>
        </w:rPr>
        <w:t xml:space="preserve">        </w:t>
      </w:r>
      <w:r>
        <w:rPr>
          <w:rStyle w:val="StringTok"/>
        </w:rPr>
        <w:t xml:space="preserve">"chunk_text"</w:t>
      </w:r>
      <w:r>
        <w:br/>
      </w:r>
      <w:r>
        <w:rPr>
          <w:rStyle w:val="NormalTok"/>
        </w:rPr>
        <w:t xml:space="preserve">    ] </w:t>
      </w:r>
      <w:r>
        <w:rPr>
          <w:rStyle w:val="ControlFlowTok"/>
        </w:rPr>
        <w:t xml:space="preserve">if</w:t>
      </w:r>
      <w:r>
        <w:rPr>
          <w:rStyle w:val="NormalTok"/>
        </w:rPr>
        <w:t xml:space="preserve"> col </w:t>
      </w:r>
      <w:r>
        <w:rPr>
          <w:rStyle w:val="KeywordTok"/>
        </w:rPr>
        <w:t xml:space="preserve">in</w:t>
      </w:r>
      <w:r>
        <w:rPr>
          <w:rStyle w:val="NormalTok"/>
        </w:rPr>
        <w:t xml:space="preserve"> df_retrieval.columns</w:t>
      </w:r>
      <w:r>
        <w:br/>
      </w:r>
      <w:r>
        <w:rPr>
          <w:rStyle w:val="NormalTok"/>
        </w:rPr>
        <w:t xml:space="preserve">]].style.hide(axis</w:t>
      </w:r>
      <w:r>
        <w:rPr>
          <w:rStyle w:val="OperatorTok"/>
        </w:rPr>
        <w:t xml:space="preserve">=</w:t>
      </w:r>
      <w:r>
        <w:rPr>
          <w:rStyle w:val="StringTok"/>
        </w:rPr>
        <w:t xml:space="preserve">"index"</w:t>
      </w:r>
      <w:r>
        <w:rPr>
          <w:rStyle w:val="NormalTok"/>
        </w:rPr>
        <w:t xml:space="preserve">)</w:t>
      </w:r>
    </w:p>
    <w:bookmarkStart w:id="102" w:name="T_c21a5"/>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chunk_id</w:t>
            </w:r>
          </w:p>
        </w:tc>
        <w:tc>
          <w:tcPr/>
          <w:p>
            <w:pPr>
              <w:pStyle w:val="Compact"/>
            </w:pPr>
            <w:r>
              <w:t xml:space="preserve">file_name</w:t>
            </w:r>
          </w:p>
        </w:tc>
        <w:tc>
          <w:tcPr/>
          <w:p>
            <w:pPr>
              <w:pStyle w:val="Compact"/>
            </w:pPr>
            <w:r>
              <w:t xml:space="preserve">section_name</w:t>
            </w:r>
          </w:p>
        </w:tc>
        <w:tc>
          <w:tcPr/>
          <w:p>
            <w:pPr>
              <w:pStyle w:val="Compact"/>
            </w:pPr>
            <w:r>
              <w:t xml:space="preserve">approx_token_count</w:t>
            </w:r>
          </w:p>
        </w:tc>
        <w:tc>
          <w:tcPr/>
          <w:p>
            <w:pPr>
              <w:pStyle w:val="Compact"/>
            </w:pPr>
            <w:r>
              <w:t xml:space="preserve">has_target_signal</w:t>
            </w:r>
          </w:p>
        </w:tc>
        <w:tc>
          <w:tcPr/>
          <w:p>
            <w:pPr>
              <w:pStyle w:val="Compact"/>
            </w:pPr>
            <w:r>
              <w:t xml:space="preserve">signal_confidence</w:t>
            </w:r>
          </w:p>
        </w:tc>
        <w:tc>
          <w:tcPr/>
          <w:p>
            <w:pPr>
              <w:pStyle w:val="Compact"/>
            </w:pPr>
            <w:r>
              <w:t xml:space="preserve">chunk_text</w:t>
            </w:r>
          </w:p>
        </w:tc>
      </w:tr>
      <w:tr>
        <w:tc>
          <w:tcPr/>
          <w:p>
            <w:pPr>
              <w:pStyle w:val="Compact"/>
            </w:pPr>
            <w:r>
              <w:t xml:space="preserve">20240111_10-K_edgar_data_1963685_0001213900-24-003044.html::item_1a::c69</w:t>
            </w:r>
          </w:p>
        </w:tc>
        <w:tc>
          <w:tcPr/>
          <w:p>
            <w:pPr>
              <w:pStyle w:val="Compact"/>
            </w:pPr>
            <w:r>
              <w:t xml:space="preserve">20240111_10-K_edgar_data_1963685_0001213900-24-003044.html</w:t>
            </w:r>
          </w:p>
        </w:tc>
        <w:tc>
          <w:tcPr/>
          <w:p>
            <w:pPr>
              <w:pStyle w:val="Compact"/>
            </w:pPr>
            <w:r>
              <w:t xml:space="preserve">item_1a</w:t>
            </w:r>
          </w:p>
        </w:tc>
        <w:tc>
          <w:tcPr/>
          <w:p>
            <w:pPr>
              <w:pStyle w:val="Compact"/>
            </w:pPr>
            <w:r>
              <w:t xml:space="preserve">281</w:t>
            </w:r>
          </w:p>
        </w:tc>
        <w:tc>
          <w:tcPr/>
          <w:p>
            <w:pPr>
              <w:pStyle w:val="Compact"/>
            </w:pPr>
            <w:r>
              <w:t xml:space="preserve">False</w:t>
            </w:r>
          </w:p>
        </w:tc>
        <w:tc>
          <w:tcPr/>
          <w:p>
            <w:pPr>
              <w:pStyle w:val="Compact"/>
            </w:pPr>
            <w:r>
              <w:t xml:space="preserve">nan</w:t>
            </w:r>
          </w:p>
        </w:tc>
        <w:tc>
          <w:tcPr/>
          <w:p>
            <w:pPr>
              <w:pStyle w:val="Compact"/>
            </w:pPr>
            <w:r>
              <w:t xml:space="preserve">Our Class B common stock has one (1) vote per share, and our Class A common stock has ten (10) votes per share. Our issued and outstanding share capital consists of 44,353,846 shares of Class A common stock and 17,855,563 shares of Class B common stock. Our Chief Executive Officer and co-founder, Zhenwu Huang, and our Chief Financial Officer and co-founder, Zhenqiang Huang, beneficially own an aggregate of approximately 82.79% of the voting power of our outstanding shares of common stock as of the date of this Report, and as such, these stockholders, individually or together, may be able to significantly influence matters submitted to our stockholders for approval, including the election of directors, amendments of our articles of incorporation, as amended, and any merger or other major corporate transactions that require stockholder approval. See “Principal Stockholders” Our existing stockholders, including Zhenwu Huang and Zhenqiang Huang, individually or together, may vote in a way with which you disagree and which may be adverse to your interests. This concentrated voting power may, by changing the directors of the Company, have the ultimate effect of delaying, preventing or deterring a change in control of our Company, could deprive our stockholders of an opportunity to receive a premium for their shares of common stock as part of a sale of our company and might ultimately materially and adversely affect the market price of our Class B common stock.</w:t>
            </w:r>
          </w:p>
        </w:tc>
      </w:tr>
      <w:tr>
        <w:tc>
          <w:tcPr/>
          <w:p>
            <w:pPr>
              <w:pStyle w:val="Compact"/>
            </w:pPr>
            <w:r>
              <w:t xml:space="preserve">20240102_10-K_edgar_data_90168_0000090168-23-000083.html::item_1a::c13</w:t>
            </w:r>
          </w:p>
        </w:tc>
        <w:tc>
          <w:tcPr/>
          <w:p>
            <w:pPr>
              <w:pStyle w:val="Compact"/>
            </w:pPr>
            <w:r>
              <w:t xml:space="preserve">20240102_10-K_edgar_data_90168_0000090168-23-000083.html</w:t>
            </w:r>
          </w:p>
        </w:tc>
        <w:tc>
          <w:tcPr/>
          <w:p>
            <w:pPr>
              <w:pStyle w:val="Compact"/>
            </w:pPr>
            <w:r>
              <w:t xml:space="preserve">item_1a</w:t>
            </w:r>
          </w:p>
        </w:tc>
        <w:tc>
          <w:tcPr/>
          <w:p>
            <w:pPr>
              <w:pStyle w:val="Compact"/>
            </w:pPr>
            <w:r>
              <w:t xml:space="preserve">270</w:t>
            </w:r>
          </w:p>
        </w:tc>
        <w:tc>
          <w:tcPr/>
          <w:p>
            <w:pPr>
              <w:pStyle w:val="Compact"/>
            </w:pPr>
            <w:r>
              <w:t xml:space="preserve">False</w:t>
            </w:r>
          </w:p>
        </w:tc>
        <w:tc>
          <w:tcPr/>
          <w:p>
            <w:pPr>
              <w:pStyle w:val="Compact"/>
            </w:pPr>
            <w:r>
              <w:t xml:space="preserve">nan</w:t>
            </w:r>
          </w:p>
        </w:tc>
        <w:tc>
          <w:tcPr/>
          <w:p>
            <w:pPr>
              <w:pStyle w:val="Compact"/>
            </w:pPr>
            <w:r>
              <w:t xml:space="preserve">We continue to provide for remote work for certain of our employees, which may increase our vulnerability to cyber and other information technology risks. In addition to existing risks, any adoption or deployment of new technologies via acquisitions or internal initiatives may increase our exposure to risks, breaches, or failures, which could materially adversely affect our results of operations or financial condition. Furthermore, the Company may have access to sensitive, confidential, or personal data or information that may be subject to privacy and security laws, regulations, or other contractually-imposed controls. Despite our use of reasonable and appropriate controls, material security breaches, theft, misplaced, lost or corrupted data, programming, or 9 Table of Contents employee errors and/or malfeasance could lead to the compromise or improper use of such sensitive, confidential, or personal data or information, resulting in possible negative consequences, such as fines, ransom demands, penalties, loss of reputation, competitiveness or customers, or other negative consequences resulting in adverse impacts to our results of operations or financial condition. SIFCO relies on our suppliers to meet the quality and delivery expectations of our customers. The ability to deliver SIFCO's products on schedule is dependent upon a variety of factors, including execution of internal performance plans, availability of raw materials, internal and supplier produced parts and structures, conversion of raw materials into parts and assemblies, and performance of suppliers and others.</w:t>
            </w:r>
          </w:p>
        </w:tc>
      </w:tr>
      <w:tr>
        <w:tc>
          <w:tcPr/>
          <w:p>
            <w:pPr>
              <w:pStyle w:val="Compact"/>
            </w:pPr>
            <w:r>
              <w:t xml:space="preserve">20240109_10-K_edgar_data_1823635_0001493152-24-001811.html::item_1a::c14</w:t>
            </w:r>
          </w:p>
        </w:tc>
        <w:tc>
          <w:tcPr/>
          <w:p>
            <w:pPr>
              <w:pStyle w:val="Compact"/>
            </w:pPr>
            <w:r>
              <w:t xml:space="preserve">20240109_10-K_edgar_data_1823635_0001493152-24-001811.html</w:t>
            </w:r>
          </w:p>
        </w:tc>
        <w:tc>
          <w:tcPr/>
          <w:p>
            <w:pPr>
              <w:pStyle w:val="Compact"/>
            </w:pPr>
            <w:r>
              <w:t xml:space="preserve">item_1a</w:t>
            </w:r>
          </w:p>
        </w:tc>
        <w:tc>
          <w:tcPr/>
          <w:p>
            <w:pPr>
              <w:pStyle w:val="Compact"/>
            </w:pPr>
            <w:r>
              <w:t xml:space="preserve">259</w:t>
            </w:r>
          </w:p>
        </w:tc>
        <w:tc>
          <w:tcPr/>
          <w:p>
            <w:pPr>
              <w:pStyle w:val="Compact"/>
            </w:pPr>
            <w:r>
              <w:t xml:space="preserve">False</w:t>
            </w:r>
          </w:p>
        </w:tc>
        <w:tc>
          <w:tcPr/>
          <w:p>
            <w:pPr>
              <w:pStyle w:val="Compact"/>
            </w:pPr>
            <w:r>
              <w:t xml:space="preserve">nan</w:t>
            </w:r>
          </w:p>
        </w:tc>
        <w:tc>
          <w:tcPr/>
          <w:p>
            <w:pPr>
              <w:pStyle w:val="Compact"/>
            </w:pPr>
            <w:r>
              <w:t xml:space="preserve">However, regulatory requirements on cybersecurity and data security in the PRC are constantly evolving and can be subject to varying interpretations or significant changes, which may result in uncertainties about the scope of our responsibilities in that regard. Failure to comply with the Individual Foreign Exchange Rules relating to the overseas direct investment or the engagement in the issuance or trading of securities overseas by our PRC resident stockholders may subject such stockholders to fines or other liabilities. Our ability to conduct foreign exchange activities in the PRC may be subject to the interpretation and enforcement of the Implementation Rules of the Administrative Measures for Individual Foreign Exchange promulgated by SAFE in January 2007 (as amended and supplemented, the “Individual Foreign Exchange Rules”). Under the Individual Foreign Exchange Rules, any PRC individual seeking to make a direct investment overseas or engage in the issuance or trading of negotiable securities or derivatives overseas must make the appropriate registrations in accordance with SAFE provisions. PRC individuals who fail to make such registrations may be subject to warnings, fines or other liabilities. SAFE promulgated the Notice on Relevant Issues Relating to Domestic Resident’s Investment and Financing and Roundtrip Investment through Special Purpose Vehicles, or Notice 37, in July 2014 that requires PRC residents or entities to register with SAFE or its local branch in connection with their establishment or control of an offshore entity established for the purpose of overseas investment or financing.</w:t>
            </w:r>
          </w:p>
        </w:tc>
      </w:tr>
      <w:tr>
        <w:tc>
          <w:tcPr/>
          <w:p>
            <w:pPr>
              <w:pStyle w:val="Compact"/>
            </w:pPr>
            <w:r>
              <w:t xml:space="preserve">20240116_10-K_edgar_data_1502557_0001493152-24-002378.html::item_1a::c89</w:t>
            </w:r>
          </w:p>
        </w:tc>
        <w:tc>
          <w:tcPr/>
          <w:p>
            <w:pPr>
              <w:pStyle w:val="Compact"/>
            </w:pPr>
            <w:r>
              <w:t xml:space="preserve">20240116_10-K_edgar_data_1502557_0001493152-24-002378.html</w:t>
            </w:r>
          </w:p>
        </w:tc>
        <w:tc>
          <w:tcPr/>
          <w:p>
            <w:pPr>
              <w:pStyle w:val="Compact"/>
            </w:pPr>
            <w:r>
              <w:t xml:space="preserve">item_1a</w:t>
            </w:r>
          </w:p>
        </w:tc>
        <w:tc>
          <w:tcPr/>
          <w:p>
            <w:pPr>
              <w:pStyle w:val="Compact"/>
            </w:pPr>
            <w:r>
              <w:t xml:space="preserve">297</w:t>
            </w:r>
          </w:p>
        </w:tc>
        <w:tc>
          <w:tcPr/>
          <w:p>
            <w:pPr>
              <w:pStyle w:val="Compact"/>
            </w:pPr>
            <w:r>
              <w:t xml:space="preserve">False</w:t>
            </w:r>
          </w:p>
        </w:tc>
        <w:tc>
          <w:tcPr/>
          <w:p>
            <w:pPr>
              <w:pStyle w:val="Compact"/>
            </w:pPr>
            <w:r>
              <w:t xml:space="preserve">nan</w:t>
            </w:r>
          </w:p>
        </w:tc>
        <w:tc>
          <w:tcPr/>
          <w:p>
            <w:pPr>
              <w:pStyle w:val="Compact"/>
            </w:pPr>
            <w:r>
              <w:t xml:space="preserve">Moreover, it is possible that in the future PRC authorities may lift restrictions on fluctuations in the RMB exchange rate and lessen intervention in the foreign exchange market. Very limited hedging transactions are available in China to reduce our exposure to exchange rate fluctuations. To date, we have not entered into any hedging transactions. While we may enter into hedging transactions in the future, the availability and effectiveness of these transactions may be limited, and we may not be able to successfully hedge our exposure at all. In addition, our foreign currency exchange losses may be magnified by PRC exchange control regulations that restrict our ability to convert RMB into foreign currencies. Restrictions under PRC law on our subsidiaries’ ability to make dividend payments and other distributions could materially and adversely affect our ability to grow, make investments or acquisitions that could benefit our business, pay dividends to you, and otherwise fund and conduct our business. Substantially all of our sales are earned by our VIE, which makes payments to King Eagle (China), one of our PRC subsidiaries, pursuant to the Consulting Service Agreement. As a holding company, we rely on dividends and other distributions on equity paid by our subsidiaries for our cash and financing requirements. However, to the extent that cash is in our Hong Kong or PRC subsidiaries, there is a possibility that the funds may not be available to fund our operations or for other uses outside of the PRC or Hong Kong due to interventions or the imposition of restrictions and limitations by the PRC or the Hong Kong government on the ability to transfer cash .</w:t>
            </w:r>
          </w:p>
        </w:tc>
      </w:tr>
      <w:tr>
        <w:tc>
          <w:tcPr/>
          <w:p>
            <w:pPr>
              <w:pStyle w:val="Compact"/>
            </w:pPr>
            <w:r>
              <w:t xml:space="preserve">20240111_10-K_edgar_data_1963685_0001213900-24-003044.html::item_1::c15</w:t>
            </w:r>
          </w:p>
        </w:tc>
        <w:tc>
          <w:tcPr/>
          <w:p>
            <w:pPr>
              <w:pStyle w:val="Compact"/>
            </w:pPr>
            <w:r>
              <w:t xml:space="preserve">20240111_10-K_edgar_data_1963685_0001213900-24-003044.html</w:t>
            </w:r>
          </w:p>
        </w:tc>
        <w:tc>
          <w:tcPr/>
          <w:p>
            <w:pPr>
              <w:pStyle w:val="Compact"/>
            </w:pPr>
            <w:r>
              <w:t xml:space="preserve">item_1</w:t>
            </w:r>
          </w:p>
        </w:tc>
        <w:tc>
          <w:tcPr/>
          <w:p>
            <w:pPr>
              <w:pStyle w:val="Compact"/>
            </w:pPr>
            <w:r>
              <w:t xml:space="preserve">270</w:t>
            </w:r>
          </w:p>
        </w:tc>
        <w:tc>
          <w:tcPr/>
          <w:p>
            <w:pPr>
              <w:pStyle w:val="Compact"/>
            </w:pPr>
            <w:r>
              <w:t xml:space="preserve">False</w:t>
            </w:r>
          </w:p>
        </w:tc>
        <w:tc>
          <w:tcPr/>
          <w:p>
            <w:pPr>
              <w:pStyle w:val="Compact"/>
            </w:pPr>
            <w:r>
              <w:t xml:space="preserve">nan</w:t>
            </w:r>
          </w:p>
        </w:tc>
        <w:tc>
          <w:tcPr/>
          <w:p>
            <w:pPr>
              <w:pStyle w:val="Compact"/>
            </w:pPr>
            <w:r>
              <w:t xml:space="preserve">Data collected by the ACP provide clients with utilization metrics as well as a cleaning maps which show the path the robot took during its cleaning routine. The ACP is expected to provide reminders for routine replacement of consumable and renewable components, and preemptive maintenance alerts for all robots. 6 Food and Beverage Automation ADAM is our food and beverage automation robot. The core concept of ADAM is to develop a fully independent food and beverage business based entirely on robots and automation. The dual six-degree-of-freedom robotic arms are designed to provide the same level of flexibility as a human arm, allowing ADAM to easily emulate human movements. We designed ADAM to be friendly and approachable by giving it a white and round exterior, and designed it to look more like a robot than a human to avoid the “uncanny valley” effect. (The uncanny valley is a concept that suggests that humanoid objects that imperfectly resemble actual human beings provoke uncanny or strangely familiar feelings of uneasiness and revulsion in observers. “Valley” denotes a dip in the human observer’s affinity for the replica, a relation that otherwise increases with the replica’s human likeness.) Future features are expected to include adding natural language processing to allow customers to directly speak their orders to the robot as they would with an employee. ADAM is capable of making a wide variety of beverages including coffee, craft cocktails, and Boba tea autonomously.</w:t>
            </w:r>
          </w:p>
        </w:tc>
      </w:tr>
      <w:tr>
        <w:tc>
          <w:tcPr/>
          <w:p>
            <w:pPr>
              <w:pStyle w:val="Compact"/>
            </w:pPr>
            <w:r>
              <w:t xml:space="preserve">20240105_10-K_edgar_data_1440153_0001096906-24-000019.html::item_1a::c50</w:t>
            </w:r>
          </w:p>
        </w:tc>
        <w:tc>
          <w:tcPr/>
          <w:p>
            <w:pPr>
              <w:pStyle w:val="Compact"/>
            </w:pPr>
            <w:r>
              <w:t xml:space="preserve">20240105_10-K_edgar_data_1440153_0001096906-24-000019.html</w:t>
            </w:r>
          </w:p>
        </w:tc>
        <w:tc>
          <w:tcPr/>
          <w:p>
            <w:pPr>
              <w:pStyle w:val="Compact"/>
            </w:pPr>
            <w:r>
              <w:t xml:space="preserve">item_1a</w:t>
            </w:r>
          </w:p>
        </w:tc>
        <w:tc>
          <w:tcPr/>
          <w:p>
            <w:pPr>
              <w:pStyle w:val="Compact"/>
            </w:pPr>
            <w:r>
              <w:t xml:space="preserve">294</w:t>
            </w:r>
          </w:p>
        </w:tc>
        <w:tc>
          <w:tcPr/>
          <w:p>
            <w:pPr>
              <w:pStyle w:val="Compact"/>
            </w:pPr>
            <w:r>
              <w:t xml:space="preserve">False</w:t>
            </w:r>
          </w:p>
        </w:tc>
        <w:tc>
          <w:tcPr/>
          <w:p>
            <w:pPr>
              <w:pStyle w:val="Compact"/>
            </w:pPr>
            <w:r>
              <w:t xml:space="preserve">nan</w:t>
            </w:r>
          </w:p>
        </w:tc>
        <w:tc>
          <w:tcPr/>
          <w:p>
            <w:pPr>
              <w:pStyle w:val="Compact"/>
            </w:pPr>
            <w:r>
              <w:t xml:space="preserve">These costs and delays continue as we proceed with our engineering and commercialization efforts. The duration and magnitude of the impacts from the COVID-19 pandemic impacts on our business operations and overall financial performance are unknown at this time and will depend on numerous circumstances outside our control or the ability of anyone to predict accurately. The secondary and tertiary unpredictable adverse economic effects on our business and on the worldwide economy are proving to be ongoing and broad. There are high probabilities of reoccurring widespread or localized outbreaks of existing new virus strains that may continue for many months, that may result in further government-ordered vaccination mandates, lockdowns, stay-home or shelter-in-place orders, social distancing, restrictions on travel, and other extensive measures. Government-approved vaccines have not been accepted by some people and are not widely available in all countries. Effective treatments for those infected by the virus are not always reliable, may not be widely available, and may not be widely accepted. We cannot predict the effect of these circumstances on us and our vendors, suppliers, and potential commercial partners, the global economy and political conditions, and the health of our personnel, consultants, and their families, all of which will affect how quickly and to what extent normal economic and operating activities can resume. Even if the COVID-19 pandemic subsides, we may continue to experience an adverse effect on our business because of its global economic impact, labor shortages, and supply chain disruptions, as well as the prospect of inflation or a recession.</w:t>
            </w:r>
          </w:p>
        </w:tc>
      </w:tr>
      <w:tr>
        <w:tc>
          <w:tcPr/>
          <w:p>
            <w:pPr>
              <w:pStyle w:val="Compact"/>
            </w:pPr>
            <w:r>
              <w:t xml:space="preserve">20240112_10-K_edgar_data_1510518_0001213900-24-003308.html::item_7::c13</w:t>
            </w:r>
          </w:p>
        </w:tc>
        <w:tc>
          <w:tcPr/>
          <w:p>
            <w:pPr>
              <w:pStyle w:val="Compact"/>
            </w:pPr>
            <w:r>
              <w:t xml:space="preserve">20240112_10-K_edgar_data_1510518_0001213900-24-003308.html</w:t>
            </w:r>
          </w:p>
        </w:tc>
        <w:tc>
          <w:tcPr/>
          <w:p>
            <w:pPr>
              <w:pStyle w:val="Compact"/>
            </w:pPr>
            <w:r>
              <w:t xml:space="preserve">item_7</w:t>
            </w:r>
          </w:p>
        </w:tc>
        <w:tc>
          <w:tcPr/>
          <w:p>
            <w:pPr>
              <w:pStyle w:val="Compact"/>
            </w:pPr>
            <w:r>
              <w:t xml:space="preserve">276</w:t>
            </w:r>
          </w:p>
        </w:tc>
        <w:tc>
          <w:tcPr/>
          <w:p>
            <w:pPr>
              <w:pStyle w:val="Compact"/>
            </w:pPr>
            <w:r>
              <w:t xml:space="preserve">False</w:t>
            </w:r>
          </w:p>
        </w:tc>
        <w:tc>
          <w:tcPr/>
          <w:p>
            <w:pPr>
              <w:pStyle w:val="Compact"/>
            </w:pPr>
            <w:r>
              <w:t xml:space="preserve">nan</w:t>
            </w:r>
          </w:p>
        </w:tc>
        <w:tc>
          <w:tcPr/>
          <w:p>
            <w:pPr>
              <w:pStyle w:val="Compact"/>
            </w:pPr>
            <w:r>
              <w:t xml:space="preserve">During the year ended September 30, 2023, we used $67,451 of cash investing activity in purchase of equipment. We received $350,000 in payment for the sale of 140,000 Hukui Shares during the year ended September 30, 2022. During the year ended September 30, 2023, we received $362,000, net of directly associated legal fees from private offering of our Common Stock. During the year ended September 30, 2022, we did not have any financing activity. There is substantial doubt that we can continue as an ongoing business for the next twelve months unless we obtain additional capital to pay our expenses as they become due. We do not anticipate any significant additional revenue until and unless we begin to execute our plan of operations involving the start of our new electric vehicle charging station business. There is no assurance that we will ever reach that stage. The consolidated financial statements presented herein do not include any adjustments relating to the recoverability and classification of recorded assets, or the amounts and classification of liabilities that might be necessary in the event that we cannot continue as a going concern. Our ability to continue as a going concern is dependent upon our ability to successfully execute our business plan and generate profitable operations in the future, and, until and unless we achieve that, to obtain the necessary financing to meet our obligations and repay our liabilities arising from normal business operation as and when they become due.</w:t>
            </w:r>
          </w:p>
        </w:tc>
      </w:tr>
      <w:tr>
        <w:tc>
          <w:tcPr/>
          <w:p>
            <w:pPr>
              <w:pStyle w:val="Compact"/>
            </w:pPr>
            <w:r>
              <w:t xml:space="preserve">20240116_10-K_edgar_data_1286459_0001477932-24-000212.html::item_7::c3</w:t>
            </w:r>
          </w:p>
        </w:tc>
        <w:tc>
          <w:tcPr/>
          <w:p>
            <w:pPr>
              <w:pStyle w:val="Compact"/>
            </w:pPr>
            <w:r>
              <w:t xml:space="preserve">20240116_10-K_edgar_data_1286459_0001477932-24-000212.html</w:t>
            </w:r>
          </w:p>
        </w:tc>
        <w:tc>
          <w:tcPr/>
          <w:p>
            <w:pPr>
              <w:pStyle w:val="Compact"/>
            </w:pPr>
            <w:r>
              <w:t xml:space="preserve">item_7</w:t>
            </w:r>
          </w:p>
        </w:tc>
        <w:tc>
          <w:tcPr/>
          <w:p>
            <w:pPr>
              <w:pStyle w:val="Compact"/>
            </w:pPr>
            <w:r>
              <w:t xml:space="preserve">258</w:t>
            </w:r>
          </w:p>
        </w:tc>
        <w:tc>
          <w:tcPr/>
          <w:p>
            <w:pPr>
              <w:pStyle w:val="Compact"/>
            </w:pPr>
            <w:r>
              <w:t xml:space="preserve">False</w:t>
            </w:r>
          </w:p>
        </w:tc>
        <w:tc>
          <w:tcPr/>
          <w:p>
            <w:pPr>
              <w:pStyle w:val="Compact"/>
            </w:pPr>
            <w:r>
              <w:t xml:space="preserve">nan</w:t>
            </w:r>
          </w:p>
        </w:tc>
        <w:tc>
          <w:tcPr/>
          <w:p>
            <w:pPr>
              <w:pStyle w:val="Compact"/>
            </w:pPr>
            <w:r>
              <w:t xml:space="preserve">These statements may be found under “Management’s Discussion and Analysis of Financial Condition and Results of Operations” and “Description of Business,” as well as in this Report generally. Actual events or results may differ materially from those discussed in forward-looking statements as a result of various factors, including, without limitation, the following: economic, social and political conditions, global economic downturns resulting from extraordinary events such as the COVID-19 pandemic and other securities industry risks; interest rate risks; liquidity risks; credit risk with clients and counterparties; systems failures, delays and capacity constraints; network security risks; competition; reliance on external service providers; new laws and regulations affecting our business; net capital requirements; extensive regulation, regulatory uncertainties and legal matters; failure to maintain relationships with employees, customers, business partners or governmental entities; the inability to achieve synergies or to implement integration plans and other consequences associated with risks and uncertainties detailed in our filings with the SEC. We caution that the foregoing list of factors is not exclusive, and new factors may emerge, or changes to the foregoing factors may occur, that could impact our business. We undertake no obligation to publicly update or revise these statements, whether as a result of new information, future events or otherwise, except to the extent required by the federal securities laws.</w:t>
            </w:r>
          </w:p>
        </w:tc>
      </w:tr>
      <w:tr>
        <w:tc>
          <w:tcPr/>
          <w:p>
            <w:pPr>
              <w:pStyle w:val="Compact"/>
            </w:pPr>
            <w:r>
              <w:t xml:space="preserve">20240102_10-K_edgar_data_90168_0000090168-23-000083.html::item_7::c15</w:t>
            </w:r>
          </w:p>
        </w:tc>
        <w:tc>
          <w:tcPr/>
          <w:p>
            <w:pPr>
              <w:pStyle w:val="Compact"/>
            </w:pPr>
            <w:r>
              <w:t xml:space="preserve">20240102_10-K_edgar_data_90168_0000090168-23-000083.html</w:t>
            </w:r>
          </w:p>
        </w:tc>
        <w:tc>
          <w:tcPr/>
          <w:p>
            <w:pPr>
              <w:pStyle w:val="Compact"/>
            </w:pPr>
            <w:r>
              <w:t xml:space="preserve">item_7</w:t>
            </w:r>
          </w:p>
        </w:tc>
        <w:tc>
          <w:tcPr/>
          <w:p>
            <w:pPr>
              <w:pStyle w:val="Compact"/>
            </w:pPr>
            <w:r>
              <w:t xml:space="preserve">254</w:t>
            </w:r>
          </w:p>
        </w:tc>
        <w:tc>
          <w:tcPr/>
          <w:p>
            <w:pPr>
              <w:pStyle w:val="Compact"/>
            </w:pPr>
            <w:r>
              <w:t xml:space="preserve">False</w:t>
            </w:r>
          </w:p>
        </w:tc>
        <w:tc>
          <w:tcPr/>
          <w:p>
            <w:pPr>
              <w:pStyle w:val="Compact"/>
            </w:pPr>
            <w:r>
              <w:t xml:space="preserve">nan</w:t>
            </w:r>
          </w:p>
        </w:tc>
        <w:tc>
          <w:tcPr/>
          <w:p>
            <w:pPr>
              <w:pStyle w:val="Compact"/>
            </w:pPr>
            <w:r>
              <w:t xml:space="preserve">The Company’s calculation of EBITDA and Adjusted EBITDA may not be comparable to the calculation of similarly titled measures reported by other companies. 20 Table of Contents The following table sets forth a reconciliation of net loss to EBITDA and Adjusted EBITDA: (Dollars in thousands) Years Ended September 30, 2023 2022 Net loss $ (8,692) $ (9,640) Adjustments: Depreciation and amortization expense 6,404 6,348 Interest expense, net 1,348 646 Income tax expense (benefit) 159 (43) EBITDA (781) (2,689) Adjustments: Foreign currency exchange loss, net (1) 9 15 Other loss (income), net (2) 275 (149) Loss (gain) on disposal of assets (3) 1 (7) Gain on debt extinguishment (4) — (5,106) Equity compensation expense (5) 375 428 Pension settlement/curtailment benefit (6) 108 208 LIFO impact (7) (305) 729 IT incident costs, net (8) 1,275 — Strategic alternative expense (9) 86 — Adjusted EBITDA $ 1,043 $ (6,571) (1) Represents the gain or loss from changes in the exchange rates between the functional currency and the foreign currency in which the transaction is denominated.</w:t>
            </w:r>
          </w:p>
        </w:tc>
      </w:tr>
      <w:tr>
        <w:tc>
          <w:tcPr/>
          <w:p>
            <w:pPr>
              <w:pStyle w:val="Compact"/>
            </w:pPr>
            <w:r>
              <w:t xml:space="preserve">20240105_10-K_edgar_data_1362703_0001493152-24-001515.html::item_1a::c14</w:t>
            </w:r>
          </w:p>
        </w:tc>
        <w:tc>
          <w:tcPr/>
          <w:p>
            <w:pPr>
              <w:pStyle w:val="Compact"/>
            </w:pPr>
            <w:r>
              <w:t xml:space="preserve">20240105_10-K_edgar_data_1362703_0001493152-24-001515.html</w:t>
            </w:r>
          </w:p>
        </w:tc>
        <w:tc>
          <w:tcPr/>
          <w:p>
            <w:pPr>
              <w:pStyle w:val="Compact"/>
            </w:pPr>
            <w:r>
              <w:t xml:space="preserve">item_1a</w:t>
            </w:r>
          </w:p>
        </w:tc>
        <w:tc>
          <w:tcPr/>
          <w:p>
            <w:pPr>
              <w:pStyle w:val="Compact"/>
            </w:pPr>
            <w:r>
              <w:t xml:space="preserve">279</w:t>
            </w:r>
          </w:p>
        </w:tc>
        <w:tc>
          <w:tcPr/>
          <w:p>
            <w:pPr>
              <w:pStyle w:val="Compact"/>
            </w:pPr>
            <w:r>
              <w:t xml:space="preserve">False</w:t>
            </w:r>
          </w:p>
        </w:tc>
        <w:tc>
          <w:tcPr/>
          <w:p>
            <w:pPr>
              <w:pStyle w:val="Compact"/>
            </w:pPr>
            <w:r>
              <w:t xml:space="preserve">nan</w:t>
            </w:r>
          </w:p>
        </w:tc>
        <w:tc>
          <w:tcPr/>
          <w:p>
            <w:pPr>
              <w:pStyle w:val="Compact"/>
            </w:pPr>
            <w:r>
              <w:t xml:space="preserve">20 Risks Relating to Collaboration Arrangements and Reliance on Third Parties We must rely on relationships with third-party suppliers to supply necessary resources used in our technology. These relationships are not easy to replace. We rely upon others for resources used in the production of predictive biomarkers for the Theralink assay. Problems with any of our suppliers’ facilities or processes could result in failure to produce or a delay in production of adequate information used in the production of the Theralink assay. This could delay or reduce commercial sales and materially harm our business. Any prolonged interruption in the operations of our suppliers’ facilities could result in a shortfall in the information necessary to complete our assay. Risks Related to Regulations Theralink in clinical development may be limited in use if we do not maintain or gain required regulatory approvals . Our clinical business maybe subject to extensive regulation by numerous state and federal governmental authorities in the United States and potentially by foreign regulatory authorities, with regulations differing from country to country. Obtaining regulatory approval for marketing of a technology candidate in one country does not assure we will be able to obtain regulatory approval in other countries. However, a failure or delay in obtaining regulatory approval in one country may have a negative effect on the regulatory process in other countries. In general, the FDA and equivalent other country authorities require labeling, advertising and promotional materials to be truthful and not misleading and marketed only for the approved indications and in accordance with the provisions of the approved label.</w:t>
            </w:r>
          </w:p>
        </w:tc>
      </w:tr>
    </w:tbl>
    <w:bookmarkEnd w:id="102"/>
    <w:bookmarkEnd w:id="103"/>
    <w:bookmarkEnd w:id="104"/>
    <w:bookmarkStart w:id="105" w:name="save-the-direct-retrieval-ready-dataset"/>
    <w:p>
      <w:pPr>
        <w:pStyle w:val="Heading2"/>
      </w:pPr>
      <w:r>
        <w:t xml:space="preserve">10.10 Save the direct retrieval-ready dataset</w:t>
      </w:r>
    </w:p>
    <w:p>
      <w:pPr>
        <w:pStyle w:val="FirstParagraph"/>
      </w:pPr>
      <w:r>
        <w:t xml:space="preserve">This is the main output for Assignment 3.</w:t>
      </w:r>
    </w:p>
    <w:p>
      <w:pPr>
        <w:pStyle w:val="SourceCode"/>
      </w:pPr>
      <w:r>
        <w:rPr>
          <w:rStyle w:val="NormalTok"/>
        </w:rPr>
        <w:t xml:space="preserve">RETRIEVAL_FILE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tringTok"/>
        </w:rPr>
        <w:t xml:space="preserve">"sec_10k_2024_retrieval_ready_chunks.csv"</w:t>
      </w:r>
      <w:r>
        <w:br/>
      </w:r>
      <w:r>
        <w:br/>
      </w:r>
      <w:r>
        <w:rPr>
          <w:rStyle w:val="NormalTok"/>
        </w:rPr>
        <w:t xml:space="preserve">df_retrieval.to_csv(RETRIEVAL_FILE,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"Saved retrieval-ready dataset to:"</w:t>
      </w:r>
      <w:r>
        <w:rPr>
          <w:rStyle w:val="NormalTok"/>
        </w:rPr>
        <w:t xml:space="preserve">, RETRIEVAL_FILE)</w:t>
      </w:r>
    </w:p>
    <w:p>
      <w:pPr>
        <w:pStyle w:val="SourceCode"/>
      </w:pPr>
      <w:r>
        <w:rPr>
          <w:rStyle w:val="VerbatimChar"/>
        </w:rPr>
        <w:t xml:space="preserve">Saved retrieval-ready dataset to: ..\data\outputs\sec_10k_sections\sec_10k_2024_retrieval_ready_chunks.csv</w:t>
      </w:r>
    </w:p>
    <w:p>
      <w:pPr>
        <w:pStyle w:val="FirstParagraph"/>
      </w:pPr>
      <w:r>
        <w:t xml:space="preserve">Optional JSON export:</w:t>
      </w:r>
    </w:p>
    <w:p>
      <w:pPr>
        <w:pStyle w:val="SourceCode"/>
      </w:pPr>
      <w:r>
        <w:rPr>
          <w:rStyle w:val="NormalTok"/>
        </w:rPr>
        <w:t xml:space="preserve">df_retrieval.to_json(</w:t>
      </w:r>
      <w:r>
        <w:br/>
      </w:r>
      <w:r>
        <w:rPr>
          <w:rStyle w:val="NormalTok"/>
        </w:rPr>
        <w:t xml:space="preserve">    OUTPUT_DIR </w:t>
      </w:r>
      <w:r>
        <w:rPr>
          <w:rStyle w:val="OperatorTok"/>
        </w:rPr>
        <w:t xml:space="preserve">/</w:t>
      </w:r>
      <w:r>
        <w:rPr>
          <w:rStyle w:val="NormalTok"/>
        </w:rPr>
        <w:t xml:space="preserve"> </w:t>
      </w:r>
      <w:r>
        <w:rPr>
          <w:rStyle w:val="StringTok"/>
        </w:rPr>
        <w:t xml:space="preserve">"sec_10k_2024_retrieval_ready_chunks.json"</w:t>
      </w:r>
      <w:r>
        <w:rPr>
          <w:rStyle w:val="NormalTok"/>
        </w:rPr>
        <w:t xml:space="preserve">,</w:t>
      </w:r>
      <w:r>
        <w:br/>
      </w:r>
      <w:r>
        <w:rPr>
          <w:rStyle w:val="NormalTok"/>
        </w:rPr>
        <w:t xml:space="preserve">    orient</w:t>
      </w:r>
      <w:r>
        <w:rPr>
          <w:rStyle w:val="OperatorTok"/>
        </w:rPr>
        <w:t xml:space="preserve">=</w:t>
      </w:r>
      <w:r>
        <w:rPr>
          <w:rStyle w:val="StringTok"/>
        </w:rPr>
        <w:t xml:space="preserve">"records"</w:t>
      </w:r>
      <w:r>
        <w:rPr>
          <w:rStyle w:val="NormalTok"/>
        </w:rPr>
        <w:t xml:space="preserve">,</w:t>
      </w:r>
      <w:r>
        <w:br/>
      </w:r>
      <w:r>
        <w:rPr>
          <w:rStyle w:val="NormalTok"/>
        </w:rPr>
        <w:t xml:space="preserve">    force_ascii</w:t>
      </w:r>
      <w:r>
        <w:rPr>
          <w:rStyle w:val="OperatorTok"/>
        </w:rPr>
        <w:t xml:space="preserve">=</w:t>
      </w:r>
      <w:r>
        <w:rPr>
          <w:rStyle w:val="VariableTok"/>
        </w:rPr>
        <w:t xml:space="preserve">False</w:t>
      </w:r>
      <w:r>
        <w:rPr>
          <w:rStyle w:val="NormalTok"/>
        </w:rPr>
        <w:t xml:space="preserve">,</w:t>
      </w:r>
      <w:r>
        <w:br/>
      </w:r>
      <w:r>
        <w:rPr>
          <w:rStyle w:val="NormalTok"/>
        </w:rPr>
        <w:t xml:space="preserve">    indent</w:t>
      </w:r>
      <w:r>
        <w:rPr>
          <w:rStyle w:val="OperatorTok"/>
        </w:rPr>
        <w:t xml:space="preserve">=</w:t>
      </w:r>
      <w:r>
        <w:rPr>
          <w:rStyle w:val="DecValTok"/>
        </w:rPr>
        <w:t xml:space="preserve">2</w:t>
      </w:r>
      <w:r>
        <w:br/>
      </w:r>
      <w:r>
        <w:rPr>
          <w:rStyle w:val="NormalTok"/>
        </w:rPr>
        <w:t xml:space="preserve">)</w:t>
      </w:r>
    </w:p>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6" Target="https://drive.google.com/drive/folders/1q7BfsNHCewG1zNfnqyCcBj9p_RUt-zW6?usp=sharing" TargetMode="External" /><Relationship Type="http://schemas.openxmlformats.org/officeDocument/2006/relationships/hyperlink" Id="rId27" Target="https://drive.google.com/drive/folders/1tqqoqDfcOpGKBoRN7PpAtElcmzKcrbGz?usp=sharing" TargetMode="External" /></Relationships>
</file>

<file path=word/_rels/footnotes.xml.rels><?xml version="1.0" encoding="UTF-8"?><Relationships xmlns="http://schemas.openxmlformats.org/package/2006/relationships"><Relationship Type="http://schemas.openxmlformats.org/officeDocument/2006/relationships/hyperlink" Id="rId26" Target="https://drive.google.com/drive/folders/1q7BfsNHCewG1zNfnqyCcBj9p_RUt-zW6?usp=sharing" TargetMode="External" /><Relationship Type="http://schemas.openxmlformats.org/officeDocument/2006/relationships/hyperlink" Id="rId27" Target="https://drive.google.com/drive/folders/1tqqoqDfcOpGKBoRN7PpAtElcmzKcrbGz?usp=sha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Assignment: Extracting Strategic Technology Signals from Form 10-K</dc:title>
  <dc:creator>Nakul R. Padalkar</dc:creator>
  <cp:keywords/>
  <dcterms:created xsi:type="dcterms:W3CDTF">2026-03-23T21:17:16Z</dcterms:created>
  <dcterms:modified xsi:type="dcterms:W3CDTF">2026-03-23T21:17:16Z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date">
    <vt:lpwstr>February 1, 2026</vt:lpwstr>
  </property>
  <property fmtid="{D5CDD505-2E9C-101B-9397-08002B2CF9AE}" pid="9" name="date-format">
    <vt:lpwstr>long</vt:lpwstr>
  </property>
  <property fmtid="{D5CDD505-2E9C-101B-9397-08002B2CF9AE}" pid="10" name="date-modified">
    <vt:lpwstr>March 23, 2026</vt:lpwstr>
  </property>
  <property fmtid="{D5CDD505-2E9C-101B-9397-08002B2CF9AE}" pid="11" name="editor">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resources">
    <vt:lpwstr/>
  </property>
  <property fmtid="{D5CDD505-2E9C-101B-9397-08002B2CF9AE}" pid="18" name="subtitle">
    <vt:lpwstr>Building a Retrieval-Ready Corpus for LLM Systems</vt:lpwstr>
  </property>
  <property fmtid="{D5CDD505-2E9C-101B-9397-08002B2CF9AE}" pid="19" name="toc-title">
    <vt:lpwstr>Table of contents</vt:lpwstr>
  </property>
</Properties>
</file>