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2: Highlights</w:t>
      </w:r>
    </w:p>
    <w:p>
      <w:pPr>
        <w:pStyle w:val="Subtitle"/>
      </w:pPr>
      <w:r>
        <w:t xml:space="preserve">Meaning and Structured Text</w:t>
      </w:r>
    </w:p>
    <w:p>
      <w:pPr>
        <w:pStyle w:val="Date"/>
      </w:pPr>
      <w:r>
        <w:t xml:space="preserve">January 1, 2026</w:t>
      </w:r>
    </w:p>
    <w:bookmarkStart w:id="22" w:name="X703f63090752b97094f585cdef038c14f410780"/>
    <w:p>
      <w:pPr>
        <w:pStyle w:val="Heading1"/>
      </w:pPr>
      <w:r>
        <w:t xml:space="preserve">1. Lecture 2.1: Mathematical Foundations Through Language Modeling</w:t>
      </w:r>
    </w:p>
    <w:bookmarkStart w:id="20" w:name="highlights"/>
    <w:p>
      <w:pPr>
        <w:pStyle w:val="Heading2"/>
      </w:pPr>
      <w:r>
        <w:t xml:space="preserve">1.1 Highlights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Vectors as Meaning</w:t>
      </w:r>
      <w:r>
        <w:t xml:space="preserve"> </w:t>
      </w:r>
      <w:r>
        <w:t xml:space="preserve">— Distributed representations encode semantics geometrically.</w:t>
      </w:r>
    </w:p>
    <w:p>
      <w:pPr>
        <w:pStyle w:val="Compact"/>
        <w:numPr>
          <w:ilvl w:val="0"/>
          <w:numId w:val="1001"/>
        </w:numPr>
      </w:pPr>
      <w:r>
        <w:t xml:space="preserve">Conditional probability and maximum likelihood estimation in language models.</w:t>
      </w:r>
    </w:p>
    <w:p>
      <w:pPr>
        <w:pStyle w:val="Compact"/>
        <w:numPr>
          <w:ilvl w:val="0"/>
          <w:numId w:val="1001"/>
        </w:numPr>
      </w:pPr>
      <w:r>
        <w:t xml:space="preserve">Cross-entropy loss and why minimizing it improves predictive accuracy.</w:t>
      </w:r>
    </w:p>
    <w:p>
      <w:pPr>
        <w:pStyle w:val="Compact"/>
        <w:numPr>
          <w:ilvl w:val="0"/>
          <w:numId w:val="1001"/>
        </w:numPr>
      </w:pPr>
      <w:r>
        <w:t xml:space="preserve">Entropy and perplexity as measures of uncertainty and model performance.</w:t>
      </w:r>
    </w:p>
    <w:p>
      <w:pPr>
        <w:pStyle w:val="Compact"/>
        <w:numPr>
          <w:ilvl w:val="0"/>
          <w:numId w:val="1001"/>
        </w:numPr>
      </w:pPr>
      <w:r>
        <w:t xml:space="preserve">The connection between optimization objectives and behavioral outcomes in generative systems.</w:t>
      </w:r>
    </w:p>
    <w:bookmarkEnd w:id="20"/>
    <w:bookmarkStart w:id="21" w:name="learning-objectives"/>
    <w:p>
      <w:pPr>
        <w:pStyle w:val="Heading2"/>
      </w:pPr>
      <w:r>
        <w:t xml:space="preserve">1.2 Learning Objectives</w:t>
      </w:r>
    </w:p>
    <w:p>
      <w:pPr>
        <w:pStyle w:val="FirstParagraph"/>
      </w:pPr>
      <w:r>
        <w:t xml:space="preserve">By the end of this lecture, students will be able to:</w:t>
      </w:r>
    </w:p>
    <w:p>
      <w:pPr>
        <w:pStyle w:val="Compact"/>
        <w:numPr>
          <w:ilvl w:val="0"/>
          <w:numId w:val="1002"/>
        </w:numPr>
      </w:pPr>
      <w:r>
        <w:t xml:space="preserve">Interpret embeddings as high-dimensional semantic representations.</w:t>
      </w:r>
    </w:p>
    <w:p>
      <w:pPr>
        <w:pStyle w:val="Compact"/>
        <w:numPr>
          <w:ilvl w:val="0"/>
          <w:numId w:val="1002"/>
        </w:numPr>
      </w:pPr>
      <w:r>
        <w:t xml:space="preserve">Explain the role of conditional likelihood in training language models.</w:t>
      </w:r>
    </w:p>
    <w:p>
      <w:pPr>
        <w:pStyle w:val="Compact"/>
        <w:numPr>
          <w:ilvl w:val="0"/>
          <w:numId w:val="1002"/>
        </w:numPr>
      </w:pPr>
      <w:r>
        <w:t xml:space="preserve">Define cross-entropy and perplexity mathematically and conceptually.</w:t>
      </w:r>
    </w:p>
    <w:p>
      <w:pPr>
        <w:pStyle w:val="Compact"/>
        <w:numPr>
          <w:ilvl w:val="0"/>
          <w:numId w:val="1002"/>
        </w:numPr>
      </w:pPr>
      <w:r>
        <w:t xml:space="preserve">Connect optimization functions to observable model behavior.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dff7094b7c6d323e92c12367631fd1b252b851d"/>
    <w:p>
      <w:pPr>
        <w:pStyle w:val="Heading1"/>
      </w:pPr>
      <w:r>
        <w:t xml:space="preserve">2. Lecture 2.2: From Words to Structured Text</w:t>
      </w:r>
    </w:p>
    <w:bookmarkStart w:id="23" w:name="highlights-1"/>
    <w:p>
      <w:pPr>
        <w:pStyle w:val="Heading2"/>
      </w:pPr>
      <w:r>
        <w:t xml:space="preserve">2.1 Highlights</w:t>
      </w:r>
    </w:p>
    <w:p>
      <w:pPr>
        <w:pStyle w:val="Compact"/>
        <w:numPr>
          <w:ilvl w:val="0"/>
          <w:numId w:val="1003"/>
        </w:numPr>
      </w:pPr>
      <w:r>
        <w:t xml:space="preserve">Tokenization strategies: word-level, subword, and normalization pipelines.</w:t>
      </w:r>
    </w:p>
    <w:p>
      <w:pPr>
        <w:pStyle w:val="Compact"/>
        <w:numPr>
          <w:ilvl w:val="0"/>
          <w:numId w:val="1003"/>
        </w:numPr>
      </w:pPr>
      <w:r>
        <w:t xml:space="preserve">N-grams and early statistical language modeling foundations.</w:t>
      </w:r>
    </w:p>
    <w:p>
      <w:pPr>
        <w:pStyle w:val="Compact"/>
        <w:numPr>
          <w:ilvl w:val="0"/>
          <w:numId w:val="1003"/>
        </w:numPr>
      </w:pPr>
      <w:r>
        <w:t xml:space="preserve">Static vs contextual representations of meaning.</w:t>
      </w:r>
    </w:p>
    <w:p>
      <w:pPr>
        <w:pStyle w:val="Compact"/>
        <w:numPr>
          <w:ilvl w:val="0"/>
          <w:numId w:val="1003"/>
        </w:numPr>
      </w:pPr>
      <w:r>
        <w:t xml:space="preserve">Document structure awareness: hierarchy, sections, tables, metadata.</w:t>
      </w:r>
    </w:p>
    <w:p>
      <w:pPr>
        <w:pStyle w:val="Compact"/>
        <w:numPr>
          <w:ilvl w:val="0"/>
          <w:numId w:val="1003"/>
        </w:numPr>
      </w:pPr>
      <w:r>
        <w:t xml:space="preserve">Why structural signals improve model grounding and retrieval.</w:t>
      </w:r>
    </w:p>
    <w:bookmarkEnd w:id="23"/>
    <w:bookmarkStart w:id="24" w:name="learning-objectives-1"/>
    <w:p>
      <w:pPr>
        <w:pStyle w:val="Heading2"/>
      </w:pPr>
      <w:r>
        <w:t xml:space="preserve">2.2 Learning Objectives</w:t>
      </w:r>
    </w:p>
    <w:p>
      <w:pPr>
        <w:pStyle w:val="FirstParagraph"/>
      </w:pPr>
      <w:r>
        <w:t xml:space="preserve">By the end of this lecture, students will be able to:</w:t>
      </w:r>
    </w:p>
    <w:p>
      <w:pPr>
        <w:pStyle w:val="Compact"/>
        <w:numPr>
          <w:ilvl w:val="0"/>
          <w:numId w:val="1004"/>
        </w:numPr>
      </w:pPr>
      <w:r>
        <w:t xml:space="preserve">Distinguish between symbolic and contextual text representations.</w:t>
      </w:r>
    </w:p>
    <w:p>
      <w:pPr>
        <w:pStyle w:val="Compact"/>
        <w:numPr>
          <w:ilvl w:val="0"/>
          <w:numId w:val="1004"/>
        </w:numPr>
      </w:pPr>
      <w:r>
        <w:t xml:space="preserve">Explain how tokenization choices affect downstream performance.</w:t>
      </w:r>
    </w:p>
    <w:p>
      <w:pPr>
        <w:pStyle w:val="Compact"/>
        <w:numPr>
          <w:ilvl w:val="0"/>
          <w:numId w:val="1004"/>
        </w:numPr>
      </w:pPr>
      <w:r>
        <w:t xml:space="preserve">Compare n-gram models with contextual embeddings.</w:t>
      </w:r>
    </w:p>
    <w:p>
      <w:pPr>
        <w:pStyle w:val="Compact"/>
        <w:numPr>
          <w:ilvl w:val="0"/>
          <w:numId w:val="1004"/>
        </w:numPr>
      </w:pPr>
      <w:r>
        <w:t xml:space="preserve">Recognize structural cues in long-form and enterprise documents.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2: Highlights</dc:title>
  <dc:creator/>
  <cp:keywords/>
  <dcterms:created xsi:type="dcterms:W3CDTF">2026-03-23T21:17:33Z</dcterms:created>
  <dcterms:modified xsi:type="dcterms:W3CDTF">2026-03-23T21:17:33Z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crossref">
    <vt:lpwstr/>
  </property>
  <property fmtid="{D5CDD505-2E9C-101B-9397-08002B2CF9AE}" pid="5" name="date">
    <vt:lpwstr>January 1, 2026</vt:lpwstr>
  </property>
  <property fmtid="{D5CDD505-2E9C-101B-9397-08002B2CF9AE}" pid="6" name="date-format">
    <vt:lpwstr>long</vt:lpwstr>
  </property>
  <property fmtid="{D5CDD505-2E9C-101B-9397-08002B2CF9AE}" pid="7" name="date-modified">
    <vt:lpwstr>March 23, 2026</vt:lpwstr>
  </property>
  <property fmtid="{D5CDD505-2E9C-101B-9397-08002B2CF9AE}" pid="8" name="editor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resources">
    <vt:lpwstr/>
  </property>
  <property fmtid="{D5CDD505-2E9C-101B-9397-08002B2CF9AE}" pid="14" name="subtitle">
    <vt:lpwstr>Meaning and Structured Text</vt:lpwstr>
  </property>
  <property fmtid="{D5CDD505-2E9C-101B-9397-08002B2CF9AE}" pid="15" name="toc-title">
    <vt:lpwstr>Table of contents</vt:lpwstr>
  </property>
</Properties>
</file>