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AD698 - Applied Generative AI</w:t>
      </w:r>
    </w:p>
    <w:p>
      <w:pPr>
        <w:pStyle w:val="Subtitle"/>
      </w:pPr>
      <w:r>
        <w:t xml:space="preserve">Applied AI Pipeline Design and Evaluation</w:t>
      </w:r>
    </w:p>
    <w:p>
      <w:pPr>
        <w:pStyle w:val="Date"/>
      </w:pPr>
      <w:r>
        <w:t xml:space="preserve">November 21, 2024</w:t>
      </w:r>
    </w:p>
    <w:bookmarkStart w:id="16" w:name="sec-intro"/>
    <w:p>
      <w:pPr>
        <w:pStyle w:val="Heading1"/>
      </w:pPr>
      <w:r>
        <w:t xml:space="preserve">1. From Pipelines to Practice</w:t>
      </w:r>
    </w:p>
    <w:p>
      <w:pPr>
        <w:pStyle w:val="FirstParagraph"/>
      </w:pPr>
      <w:r>
        <w:t xml:space="preserve">In the previous lecture (M07_LN1) we built a complete AI pipeline — ingestion, knowledge</w:t>
      </w:r>
      <w:r>
        <w:t xml:space="preserve"> </w:t>
      </w:r>
      <w:r>
        <w:t xml:space="preserve">graph, hybrid retrieval, white-box reranking, and LLM explanation — and studied how these</w:t>
      </w:r>
      <w:r>
        <w:t xml:space="preserve"> </w:t>
      </w:r>
      <w:r>
        <w:t xml:space="preserve">components connect to form a production system.</w:t>
      </w:r>
    </w:p>
    <w:p>
      <w:pPr>
        <w:pStyle w:val="BodyText"/>
      </w:pPr>
      <w:r>
        <w:t xml:space="preserve">This lecture asks the next question:</w:t>
      </w:r>
      <w:r>
        <w:t xml:space="preserve"> </w:t>
      </w:r>
      <w:r>
        <w:rPr>
          <w:b/>
          <w:bCs/>
        </w:rPr>
        <w:t xml:space="preserve">How do you know if it is working?</w:t>
      </w:r>
    </w:p>
    <w:p>
      <w:pPr>
        <w:pStyle w:val="BodyText"/>
      </w:pPr>
      <w:r>
        <w:t xml:space="preserve">Evaluation is not a single number. A production AI pipeline must satisfy multiple</w:t>
      </w:r>
      <w:r>
        <w:t xml:space="preserve"> </w:t>
      </w:r>
      <w:r>
        <w:t xml:space="preserve">stakeholders simultaneously: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ML engineers</w:t>
      </w:r>
      <w:r>
        <w:t xml:space="preserve"> </w:t>
      </w:r>
      <w:r>
        <w:t xml:space="preserve">care about retrieval precision, NDCG, F1, latency.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Business analysts</w:t>
      </w:r>
      <w:r>
        <w:t xml:space="preserve"> </w:t>
      </w:r>
      <w:r>
        <w:t xml:space="preserve">care about decision quality: are the ranked outputs actually useful?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 users</w:t>
      </w:r>
      <w:r>
        <w:t xml:space="preserve"> </w:t>
      </w:r>
      <w:r>
        <w:t xml:space="preserve">care about trust, interpretability, and whether the tool integrates</w:t>
      </w:r>
      <w:r>
        <w:t xml:space="preserve"> </w:t>
      </w:r>
      <w:r>
        <w:t xml:space="preserve">into their workflow.</w:t>
      </w:r>
    </w:p>
    <w:p>
      <w:pPr>
        <w:pStyle w:val="FirstParagraph"/>
      </w:pPr>
      <w:r>
        <w:t xml:space="preserve">Each stakeholder requires different measurements. We study all three, grounded in two</w:t>
      </w:r>
      <w:r>
        <w:t xml:space="preserve"> </w:t>
      </w:r>
      <w:r>
        <w:t xml:space="preserve">recent empirical research programs: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Human-LLM collaboration patterns</w:t>
      </w:r>
      <w:r>
        <w:t xml:space="preserve"> </w:t>
      </w:r>
      <w:r>
        <w:t xml:space="preserve">— an empirical analysis of how users actually</w:t>
      </w:r>
      <w:r>
        <w:t xml:space="preserve"> </w:t>
      </w:r>
      <w:r>
        <w:t xml:space="preserve">interact with AI in coding tasks, revealing systematic satisfaction and instruction-following failure modes</w:t>
      </w:r>
      <w:r>
        <w:t xml:space="preserve"> </w:t>
      </w:r>
      <w:r>
        <w:t xml:space="preserve">(</w:t>
      </w:r>
      <w:r>
        <w:rPr>
          <w:b/>
          <w:bCs/>
        </w:rPr>
        <w:t xml:space="preserve">empirical2025llm?</w:t>
      </w:r>
      <w:r>
        <w:t xml:space="preserve">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Yodeai: AI for knowledge workers</w:t>
      </w:r>
      <w:r>
        <w:t xml:space="preserve"> </w:t>
      </w:r>
      <w:r>
        <w:t xml:space="preserve">— a user study of AI-powered dashboards in</w:t>
      </w:r>
      <w:r>
        <w:t xml:space="preserve"> </w:t>
      </w:r>
      <w:r>
        <w:t xml:space="preserve">product management, surfacing three recurring design tensions:</w:t>
      </w:r>
      <w:r>
        <w:t xml:space="preserve"> </w:t>
      </w:r>
      <w:r>
        <w:rPr>
          <w:i/>
          <w:iCs/>
        </w:rPr>
        <w:t xml:space="preserve">adaptability, accountability, and interoperability</w:t>
      </w:r>
      <w:r>
        <w:t xml:space="preserve"> </w:t>
      </w:r>
      <w:r>
        <w:t xml:space="preserve">(</w:t>
      </w:r>
      <w:r>
        <w:rPr>
          <w:b/>
          <w:bCs/>
        </w:rPr>
        <w:t xml:space="preserve">yodeai2025pm?</w:t>
      </w:r>
      <w:r>
        <w:t xml:space="preserve">)</w:t>
      </w:r>
      <w:r>
        <w:t xml:space="preserve">.</w:t>
      </w:r>
    </w:p>
    <w:p>
      <w:pPr>
        <w:pStyle w:val="FirstParagraph"/>
      </w:pPr>
      <w:r>
        <w:t xml:space="preserve">Together they paint a picture of what evaluation must cover: not just offline metrics on</w:t>
      </w:r>
      <w:r>
        <w:t xml:space="preserve"> </w:t>
      </w:r>
      <w:r>
        <w:t xml:space="preserve">held-out benchmarks, but live behavioral measurement of how humans interact with AI systems.</w:t>
      </w:r>
    </w:p>
    <w:bookmarkEnd w:id="16"/>
    <w:bookmarkStart w:id="20" w:name="sec-offline"/>
    <w:p>
      <w:pPr>
        <w:pStyle w:val="Heading1"/>
      </w:pPr>
      <w:r>
        <w:t xml:space="preserve">2. Offline Evaluation: Measuring Retrieval and Generation Quality</w:t>
      </w:r>
    </w:p>
    <w:bookmarkStart w:id="17" w:name="retrieval-metrics"/>
    <w:p>
      <w:pPr>
        <w:pStyle w:val="Heading2"/>
      </w:pPr>
      <w:r>
        <w:t xml:space="preserve">2.1 Retrieval Metrics</w:t>
      </w:r>
    </w:p>
    <w:p>
      <w:pPr>
        <w:pStyle w:val="FirstParagraph"/>
      </w:pPr>
      <w:r>
        <w:t xml:space="preserve">Offline evaluation measures a pipeline against a</w:t>
      </w:r>
      <w:r>
        <w:t xml:space="preserve"> </w:t>
      </w:r>
      <w:r>
        <w:rPr>
          <w:b/>
          <w:bCs/>
        </w:rPr>
        <w:t xml:space="preserve">fixed benchmark</w:t>
      </w:r>
      <w:r>
        <w:t xml:space="preserve"> </w:t>
      </w:r>
      <w:r>
        <w:t xml:space="preserve">with known relevance</w:t>
      </w:r>
      <w:r>
        <w:t xml:space="preserve"> </w:t>
      </w:r>
      <w:r>
        <w:t xml:space="preserve">judgments. The canonical metrics for ranked retrieval 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096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What it measures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Precision@k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relevant in top-</m:t>
                  </m:r>
                  <m:r>
                    <m:t>k</m:t>
                  </m:r>
                </m:num>
                <m:den>
                  <m:r>
                    <m:t>k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w:r>
              <w:t xml:space="preserve">Precision of top-k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Recall@k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relevant in top-</m:t>
                  </m:r>
                  <m:r>
                    <m:t>k</m:t>
                  </m:r>
                </m:num>
                <m:den>
                  <m:r>
                    <m:rPr>
                      <m:nor/>
                      <m:sty m:val="p"/>
                    </m:rPr>
                    <m:t>total relevant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w:r>
              <w:t xml:space="preserve">Coverage of relevant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NDCG@k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DCG@</m:t>
                  </m:r>
                  <m:r>
                    <m:t>k</m:t>
                  </m:r>
                </m:num>
                <m:den>
                  <m:r>
                    <m:rPr>
                      <m:nor/>
                      <m:sty m:val="p"/>
                    </m:rPr>
                    <m:t>IDCG@</m:t>
                  </m:r>
                  <m:r>
                    <m:t>k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w:r>
              <w:t xml:space="preserve">Graded relevance, penalizes low-ranked hits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MRR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Q</m:t>
                  </m:r>
                  <m:r>
                    <m:rPr>
                      <m:sty m:val="p"/>
                    </m:rPr>
                    <m:t>|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q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rank</m:t>
                          </m:r>
                        </m:e>
                        <m:sub>
                          <m:r>
                            <m:t>q</m:t>
                          </m:r>
                        </m:sub>
                      </m:sSub>
                    </m:den>
                  </m:f>
                </m:e>
              </m:nary>
            </m:oMath>
          </w:p>
        </w:tc>
        <w:tc>
          <w:tcPr/>
          <w:p>
            <w:pPr>
              <w:pStyle w:val="Compact"/>
            </w:pPr>
            <w:r>
              <w:t xml:space="preserve">Mean reciprocal rank of first relevant hit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NDCG@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DCG@</m:t>
                  </m:r>
                  <m:r>
                    <m:t>k</m:t>
                  </m:r>
                </m:num>
                <m:den>
                  <m:r>
                    <m:rPr>
                      <m:nor/>
                      <m:sty m:val="p"/>
                    </m:rPr>
                    <m:t>IDCG@</m:t>
                  </m:r>
                  <m:r>
                    <m:t>k</m:t>
                  </m:r>
                </m:den>
              </m:f>
            </m:e>
            <m:e>
              <m:r>
                <m:rPr>
                  <m:nor/>
                  <m:sty m:val="p"/>
                </m:rPr>
                <m:t>DCG@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rel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</m:e>
          </m:eqArr>
        </m:oMath>
      </m:oMathPara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ndcg_at_k(relevances: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], 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np.array(relevances[:k],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dcg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(rel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np.log2(np.arange(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(rel)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ideal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np.sort(rel)[::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idcg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(ideal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np.log2(np.arange(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(ideal)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(dcg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idcg)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idcg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mean_reciprocal_rank(rankings: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"""Each ranking is a list of 0/1 relevance labels in ranked order."""</w:t>
      </w:r>
      <w:r>
        <w:br/>
      </w:r>
      <w:r>
        <w:rPr>
          <w:rStyle w:val="NormalTok"/>
        </w:rPr>
        <w:t xml:space="preserve">    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ranking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rankings: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rel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(ranking):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rr.append(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rr.append(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(np.mean(rr))</w:t>
      </w:r>
    </w:p>
    <w:bookmarkEnd w:id="17"/>
    <w:bookmarkStart w:id="18" w:name="generation-quality-metrics"/>
    <w:p>
      <w:pPr>
        <w:pStyle w:val="Heading2"/>
      </w:pPr>
      <w:r>
        <w:t xml:space="preserve">2.2 Generation Quality Metrics</w:t>
      </w:r>
    </w:p>
    <w:p>
      <w:pPr>
        <w:pStyle w:val="FirstParagraph"/>
      </w:pPr>
      <w:r>
        <w:t xml:space="preserve">When a pipeline includes an LLM generation step (summarization, explanation, QA),</w:t>
      </w:r>
      <w:r>
        <w:t xml:space="preserve"> </w:t>
      </w:r>
      <w:r>
        <w:t xml:space="preserve">additional metrics apply: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3543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What it measures</w:t>
            </w:r>
          </w:p>
        </w:tc>
        <w:tc>
          <w:tcPr/>
          <w:p>
            <w:pPr>
              <w:pStyle w:val="Compact"/>
            </w:pPr>
            <w:r>
              <w:t xml:space="preserve">Typical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BLEU / ROUGE-L</w:t>
            </w:r>
          </w:p>
        </w:tc>
        <w:tc>
          <w:tcPr/>
          <w:p>
            <w:pPr>
              <w:pStyle w:val="Compact"/>
            </w:pPr>
            <w:r>
              <w:t xml:space="preserve">N-gram overlap with reference</w:t>
            </w:r>
          </w:p>
        </w:tc>
        <w:tc>
          <w:tcPr/>
          <w:p>
            <w:pPr>
              <w:pStyle w:val="Compact"/>
            </w:pPr>
            <w:r>
              <w:t xml:space="preserve">Summarization, translation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BERTScore</w:t>
            </w:r>
          </w:p>
        </w:tc>
        <w:tc>
          <w:tcPr/>
          <w:p>
            <w:pPr>
              <w:pStyle w:val="Compact"/>
            </w:pPr>
            <w:r>
              <w:t xml:space="preserve">Semantic similarity via embeddings</w:t>
            </w:r>
          </w:p>
        </w:tc>
        <w:tc>
          <w:tcPr/>
          <w:p>
            <w:pPr>
              <w:pStyle w:val="Compact"/>
            </w:pPr>
            <w:r>
              <w:t xml:space="preserve">Long-form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Faithfulness</w:t>
            </w:r>
          </w:p>
        </w:tc>
        <w:tc>
          <w:tcPr/>
          <w:p>
            <w:pPr>
              <w:pStyle w:val="Compact"/>
            </w:pPr>
            <w:r>
              <w:t xml:space="preserve">Are claims grounded in the source?</w:t>
            </w:r>
          </w:p>
        </w:tc>
        <w:tc>
          <w:tcPr/>
          <w:p>
            <w:pPr>
              <w:pStyle w:val="Compact"/>
            </w:pPr>
            <w:r>
              <w:t xml:space="preserve">RAG evaluation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Hallucination rate</w:t>
            </w:r>
          </w:p>
        </w:tc>
        <w:tc>
          <w:tcPr/>
          <w:p>
            <w:pPr>
              <w:pStyle w:val="Compact"/>
            </w:pPr>
            <w:r>
              <w:t xml:space="preserve">Fraction of ungrounded facts</w:t>
            </w:r>
          </w:p>
        </w:tc>
        <w:tc>
          <w:tcPr/>
          <w:p>
            <w:pPr>
              <w:pStyle w:val="Compact"/>
            </w:pPr>
            <w:r>
              <w:t xml:space="preserve">Critical for high-stakes outputs</w:t>
            </w:r>
          </w:p>
        </w:tc>
      </w:tr>
    </w:tbl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bert_score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score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bert_score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evaluate_generation(predictions: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references: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"""Run BERTScore on generated vs. reference texts."""</w:t>
      </w:r>
      <w:r>
        <w:br/>
      </w:r>
      <w:r>
        <w:rPr>
          <w:rStyle w:val="NormalTok"/>
        </w:rPr>
        <w:t xml:space="preserve">    P, R, 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bert_score(predictions, references,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"precision"</w:t>
      </w:r>
      <w:r>
        <w:rPr>
          <w:rStyle w:val="NormalTok"/>
        </w:rPr>
        <w:t xml:space="preserve">: P.mean().item(),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"recall"</w:t>
      </w:r>
      <w:r>
        <w:rPr>
          <w:rStyle w:val="NormalTok"/>
        </w:rPr>
        <w:t xml:space="preserve">: R.mean().item(),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"f1"</w:t>
      </w:r>
      <w:r>
        <w:rPr>
          <w:rStyle w:val="NormalTok"/>
        </w:rPr>
        <w:t xml:space="preserve">: F1.mean().item(),</w:t>
      </w:r>
      <w:r>
        <w:br/>
      </w:r>
      <w:r>
        <w:rPr>
          <w:rStyle w:val="NormalTok"/>
        </w:rPr>
        <w:t xml:space="preserve">    }</w:t>
      </w:r>
    </w:p>
    <w:bookmarkEnd w:id="18"/>
    <w:bookmarkStart w:id="19" w:name="Xac5beecd5977b72f9d9f5bed9696f1628953188"/>
    <w:p>
      <w:pPr>
        <w:pStyle w:val="Heading2"/>
      </w:pPr>
      <w:r>
        <w:t xml:space="preserve">2.3 Faithfulness vs. Relevance: The RAG Evaluation Triangle</w:t>
      </w:r>
    </w:p>
    <w:p>
      <w:pPr>
        <w:pStyle w:val="FirstParagraph"/>
      </w:pPr>
      <w:r>
        <w:t xml:space="preserve">For pipelines that use retrieval-augmented generation, evaluation must cover three axes:</w:t>
      </w:r>
    </w:p>
    <w:p>
      <w:pPr>
        <w:pStyle w:val="SourceCode"/>
      </w:pPr>
      <w:r>
        <w:rPr>
          <w:rStyle w:val="VerbatimChar"/>
        </w:rPr>
        <w:t xml:space="preserve">         Context Relevance</w:t>
      </w:r>
      <w:r>
        <w:br/>
      </w:r>
      <w:r>
        <w:rPr>
          <w:rStyle w:val="VerbatimChar"/>
        </w:rPr>
        <w:t xml:space="preserve">              ↑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Answer ───────┼──── Faithfulness</w:t>
      </w:r>
      <w:r>
        <w:br/>
      </w:r>
      <w:r>
        <w:rPr>
          <w:rStyle w:val="VerbatimChar"/>
        </w:rPr>
        <w:t xml:space="preserve">Relevance     │</w:t>
      </w:r>
      <w:r>
        <w:br/>
      </w:r>
      <w:r>
        <w:rPr>
          <w:rStyle w:val="VerbatimChar"/>
        </w:rPr>
        <w:t xml:space="preserve">              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545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Axis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Failure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Relevance</w:t>
            </w:r>
          </w:p>
        </w:tc>
        <w:tc>
          <w:tcPr/>
          <w:p>
            <w:pPr>
              <w:pStyle w:val="Compact"/>
            </w:pPr>
            <w:r>
              <w:t xml:space="preserve">Is the retrieved context relevant to the query?</w:t>
            </w:r>
          </w:p>
        </w:tc>
        <w:tc>
          <w:tcPr/>
          <w:p>
            <w:pPr>
              <w:pStyle w:val="Compact"/>
            </w:pPr>
            <w:r>
              <w:t xml:space="preserve">Retriever retrieves off-topic chunks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Faithfulness</w:t>
            </w:r>
          </w:p>
        </w:tc>
        <w:tc>
          <w:tcPr/>
          <w:p>
            <w:pPr>
              <w:pStyle w:val="Compact"/>
            </w:pPr>
            <w:r>
              <w:t xml:space="preserve">Is the generated answer grounded in the context?</w:t>
            </w:r>
          </w:p>
        </w:tc>
        <w:tc>
          <w:tcPr/>
          <w:p>
            <w:pPr>
              <w:pStyle w:val="Compact"/>
            </w:pPr>
            <w:r>
              <w:t xml:space="preserve">LLM hallucinates facts not in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Answer Relevance</w:t>
            </w:r>
          </w:p>
        </w:tc>
        <w:tc>
          <w:tcPr/>
          <w:p>
            <w:pPr>
              <w:pStyle w:val="Compact"/>
            </w:pPr>
            <w:r>
              <w:t xml:space="preserve">Does the answer actually address the question?</w:t>
            </w:r>
          </w:p>
        </w:tc>
        <w:tc>
          <w:tcPr/>
          <w:p>
            <w:pPr>
              <w:pStyle w:val="Compact"/>
            </w:pPr>
            <w:r>
              <w:t xml:space="preserve">LLM gives a grounded but irrelevant response</w:t>
            </w:r>
          </w:p>
        </w:tc>
      </w:tr>
    </w:tbl>
    <w:p>
      <w:pPr>
        <w:pStyle w:val="BodyText"/>
      </w:pPr>
      <w:r>
        <w:t xml:space="preserve">All three can fail independently. A highly faithful answer can still be irrelevant. A</w:t>
      </w:r>
      <w:r>
        <w:t xml:space="preserve"> </w:t>
      </w:r>
      <w:r>
        <w:t xml:space="preserve">relevant retrieval can still produce hallucinated answers if the LLM ignores the context.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rag_faithfulness_check(answer: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llm_judge)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Ask an LLM judge: 'Is every claim in `answer` supported by `context`?'</w:t>
      </w:r>
      <w:r>
        <w:br/>
      </w:r>
      <w:r>
        <w:rPr>
          <w:rStyle w:val="CommentTok"/>
        </w:rPr>
        <w:t xml:space="preserve">    Returns a score in [0, 1].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Rate how faithfully the following Answer is supported by the Context.</w:t>
      </w:r>
      <w:r>
        <w:br/>
      </w:r>
      <w:r>
        <w:rPr>
          <w:rStyle w:val="SpecialStringTok"/>
        </w:rPr>
        <w:t xml:space="preserve">Score 0.0 = completely unsupported, 1.0 = every claim is verifiable.</w:t>
      </w:r>
      <w:r>
        <w:br/>
      </w:r>
      <w:r>
        <w:br/>
      </w:r>
      <w:r>
        <w:rPr>
          <w:rStyle w:val="SpecialStringTok"/>
        </w:rPr>
        <w:t xml:space="preserve">Context: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Answer: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answer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Faithfulness score (0.0-1.0):"""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llm_judge(prompt)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(response.strip().split()[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</w:p>
    <w:bookmarkEnd w:id="19"/>
    <w:bookmarkEnd w:id="20"/>
    <w:bookmarkStart w:id="24" w:name="sec-patterns"/>
    <w:p>
      <w:pPr>
        <w:pStyle w:val="Heading1"/>
      </w:pPr>
      <w:r>
        <w:t xml:space="preserve">3. Human-AI Interaction Patterns</w:t>
      </w:r>
    </w:p>
    <w:bookmarkStart w:id="21" w:name="why-offline-metrics-are-not-enough"/>
    <w:p>
      <w:pPr>
        <w:pStyle w:val="Heading2"/>
      </w:pPr>
      <w:r>
        <w:t xml:space="preserve">3.1 Why Offline Metrics Are Not Enough</w:t>
      </w:r>
    </w:p>
    <w:p>
      <w:pPr>
        <w:pStyle w:val="FirstParagraph"/>
      </w:pPr>
      <w:r>
        <w:t xml:space="preserve">Offline metrics measure how well a system performs</w:t>
      </w:r>
      <w:r>
        <w:t xml:space="preserve"> </w:t>
      </w:r>
      <w:r>
        <w:rPr>
          <w:i/>
          <w:iCs/>
        </w:rPr>
        <w:t xml:space="preserve">in isolation</w:t>
      </w:r>
      <w:r>
        <w:t xml:space="preserve">. But users interact</w:t>
      </w:r>
      <w:r>
        <w:t xml:space="preserve"> </w:t>
      </w:r>
      <w:r>
        <w:t xml:space="preserve">with AI systems iteratively, correcting mistakes, adjusting prompts, and refining outputs</w:t>
      </w:r>
      <w:r>
        <w:t xml:space="preserve"> </w:t>
      </w:r>
      <w:r>
        <w:t xml:space="preserve">over multiple turns. A system with high offline NDCG may still fail in practice if users</w:t>
      </w:r>
      <w:r>
        <w:t xml:space="preserve"> </w:t>
      </w:r>
      <w:r>
        <w:t xml:space="preserve">cannot efficiently direct it toward useful outputs.</w:t>
      </w:r>
    </w:p>
    <w:p>
      <w:pPr>
        <w:pStyle w:val="BodyText"/>
      </w:pPr>
      <w:r>
        <w:t xml:space="preserve">An empirical analysis of human-LLM collaboration patterns</w:t>
      </w:r>
      <w:r>
        <w:t xml:space="preserve"> </w:t>
      </w:r>
      <w:r>
        <w:t xml:space="preserve">(</w:t>
      </w:r>
      <w:r>
        <w:rPr>
          <w:b/>
          <w:bCs/>
        </w:rPr>
        <w:t xml:space="preserve">empirical2025llm?</w:t>
      </w:r>
      <w:r>
        <w:t xml:space="preserve">)</w:t>
      </w:r>
      <w:r>
        <w:t xml:space="preserve"> </w:t>
      </w:r>
      <w:r>
        <w:t xml:space="preserve">across</w:t>
      </w:r>
      <w:r>
        <w:t xml:space="preserve"> </w:t>
      </w:r>
      <w:r>
        <w:t xml:space="preserve">real-world coding tasks reveals three archetypal interaction structures: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5"/>
        <w:gridCol w:w="2084"/>
        <w:gridCol w:w="2709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Typical task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Linear</w:t>
            </w:r>
          </w:p>
        </w:tc>
        <w:tc>
          <w:tcPr/>
          <w:p>
            <w:pPr>
              <w:pStyle w:val="Compact"/>
            </w:pPr>
            <w:r>
              <w:t xml:space="preserve">Sequential refinements, one branch</w:t>
            </w:r>
          </w:p>
        </w:tc>
        <w:tc>
          <w:tcPr/>
          <w:p>
            <w:pPr>
              <w:pStyle w:val="Compact"/>
            </w:pPr>
            <w:r>
              <w:t xml:space="preserve">Code quality optimization</w:t>
            </w:r>
          </w:p>
        </w:tc>
        <w:tc>
          <w:tcPr/>
          <w:p>
            <w:pPr>
              <w:pStyle w:val="Compact"/>
            </w:pPr>
            <w:r>
              <w:t xml:space="preserve">Low — incremental progress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</w:t>
            </w:r>
          </w:p>
        </w:tc>
        <w:tc>
          <w:tcPr/>
          <w:p>
            <w:pPr>
              <w:pStyle w:val="Compact"/>
            </w:pPr>
            <w:r>
              <w:t xml:space="preserve">Multiple independent queries from same root</w:t>
            </w:r>
          </w:p>
        </w:tc>
        <w:tc>
          <w:tcPr/>
          <w:p>
            <w:pPr>
              <w:pStyle w:val="Compact"/>
            </w:pPr>
            <w:r>
              <w:t xml:space="preserve">Information querying</w:t>
            </w:r>
          </w:p>
        </w:tc>
        <w:tc>
          <w:tcPr/>
          <w:p>
            <w:pPr>
              <w:pStyle w:val="Compact"/>
            </w:pPr>
            <w:r>
              <w:t xml:space="preserve">Medium — context not preserved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Tree</w:t>
            </w:r>
          </w:p>
        </w:tc>
        <w:tc>
          <w:tcPr/>
          <w:p>
            <w:pPr>
              <w:pStyle w:val="Compact"/>
            </w:pPr>
            <w:r>
              <w:t xml:space="preserve">Branching explorations, backtracking</w:t>
            </w:r>
          </w:p>
        </w:tc>
        <w:tc>
          <w:tcPr/>
          <w:p>
            <w:pPr>
              <w:pStyle w:val="Compact"/>
            </w:pPr>
            <w:r>
              <w:t xml:space="preserve">Design-driven development</w:t>
            </w:r>
          </w:p>
        </w:tc>
        <w:tc>
          <w:tcPr/>
          <w:p>
            <w:pPr>
              <w:pStyle w:val="Compact"/>
            </w:pPr>
            <w:r>
              <w:t xml:space="preserve">High — context loss, non-compliance</w:t>
            </w:r>
          </w:p>
        </w:tc>
      </w:tr>
    </w:tbl>
    <w:p>
      <w:pPr>
        <w:pStyle w:val="BodyText"/>
      </w:pPr>
      <w:r>
        <w:t xml:space="preserve">The key finding:</w:t>
      </w:r>
      <w:r>
        <w:t xml:space="preserve"> </w:t>
      </w:r>
      <w:r>
        <w:rPr>
          <w:b/>
          <w:bCs/>
        </w:rPr>
        <w:t xml:space="preserve">the tree pattern correlates with the highest LLM instruction</w:t>
      </w:r>
      <w:r>
        <w:rPr>
          <w:b/>
          <w:bCs/>
        </w:rPr>
        <w:t xml:space="preserve"> </w:t>
      </w:r>
      <w:r>
        <w:rPr>
          <w:b/>
          <w:bCs/>
        </w:rPr>
        <w:t xml:space="preserve">non-compliance rates</w:t>
      </w:r>
      <w:r>
        <w:t xml:space="preserve">. As conversations branch, the model loses track of prior</w:t>
      </w:r>
      <w:r>
        <w:t xml:space="preserve"> </w:t>
      </w:r>
      <w:r>
        <w:t xml:space="preserve">constraints. Users end up re-explaining requirements, and satisfaction declines sharply.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rPr>
                        <m:nor/>
                        <m:sty m:val="p"/>
                      </m:rPr>
                      <m:t>Satisfaction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nor/>
                        <m:sty m:val="p"/>
                      </m:rPr>
                      <m:t>Satisfaction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α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(</m:t>
                </m:r>
                <m:r>
                  <m:rPr>
                    <m:nor/>
                    <m:sty m:val="p"/>
                  </m:rPr>
                  <m:t>error corrections at turn 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e>
            </m:mr>
          </m:m>
        </m:oMath>
      </m:oMathPara>
    </w:p>
    <w:p>
      <w:pPr>
        <w:pStyle w:val="FirstParagraph"/>
      </w:pPr>
      <w:r>
        <w:t xml:space="preserve">The longer the conversation, the more turns become error-correction rather than</w:t>
      </w:r>
      <w:r>
        <w:t xml:space="preserve"> </w:t>
      </w:r>
      <w:r>
        <w:t xml:space="preserve">productive progress.</w:t>
      </w:r>
      <w:r>
        <w:t xml:space="preserve"> </w:t>
      </w:r>
      <w:r>
        <w:rPr>
          <w:b/>
          <w:bCs/>
        </w:rPr>
        <w:t xml:space="preserve">This is the primary design failure mode of current AI business tools.</w:t>
      </w:r>
    </w:p>
    <w:bookmarkEnd w:id="21"/>
    <w:bookmarkStart w:id="22" w:name="task-types-and-their-failure-modes"/>
    <w:p>
      <w:pPr>
        <w:pStyle w:val="Heading2"/>
      </w:pPr>
      <w:r>
        <w:t xml:space="preserve">3.2 Task Types and Their Failure Modes</w:t>
      </w:r>
    </w:p>
    <w:p>
      <w:pPr>
        <w:pStyle w:val="FirstParagraph"/>
      </w:pPr>
      <w:r>
        <w:t xml:space="preserve">Five task types with distinct instruction-following profiles</w:t>
      </w:r>
      <w:r>
        <w:t xml:space="preserve"> </w:t>
      </w:r>
      <w:r>
        <w:t xml:space="preserve">(</w:t>
      </w:r>
      <w:r>
        <w:rPr>
          <w:b/>
          <w:bCs/>
        </w:rPr>
        <w:t xml:space="preserve">empirical2025llm?</w:t>
      </w:r>
      <w:r>
        <w:t xml:space="preserve">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Non-compliance 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User satisfaction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 querying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Algorithm design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quality optimization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Requirements-driven development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fixing / refactoring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Low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Design implication</w:t>
      </w:r>
      <w:r>
        <w:t xml:space="preserve">: AI business dashboards should separate</w:t>
      </w:r>
      <w:r>
        <w:t xml:space="preserve"> </w:t>
      </w:r>
      <w:r>
        <w:rPr>
          <w:i/>
          <w:iCs/>
        </w:rPr>
        <w:t xml:space="preserve">well-structured</w:t>
      </w:r>
      <w:r>
        <w:t xml:space="preserve"> </w:t>
      </w:r>
      <w:r>
        <w:t xml:space="preserve">tasks</w:t>
      </w:r>
      <w:r>
        <w:t xml:space="preserve"> </w:t>
      </w:r>
      <w:r>
        <w:t xml:space="preserve">(querying, lookup, classification) from</w:t>
      </w:r>
      <w:r>
        <w:t xml:space="preserve"> </w:t>
      </w:r>
      <w:r>
        <w:rPr>
          <w:i/>
          <w:iCs/>
        </w:rPr>
        <w:t xml:space="preserve">open-ended</w:t>
      </w:r>
      <w:r>
        <w:t xml:space="preserve"> </w:t>
      </w:r>
      <w:r>
        <w:t xml:space="preserve">tasks (analysis, strategy, root-cause).</w:t>
      </w:r>
      <w:r>
        <w:t xml:space="preserve"> </w:t>
      </w:r>
      <w:r>
        <w:t xml:space="preserve">Well-structured tasks can be automated with confidence. Open-ended tasks require the</w:t>
      </w:r>
      <w:r>
        <w:t xml:space="preserve"> </w:t>
      </w:r>
      <w:r>
        <w:t xml:space="preserve">human to remain in the loop with explicit checkpoints.</w:t>
      </w:r>
    </w:p>
    <w:bookmarkEnd w:id="22"/>
    <w:bookmarkStart w:id="23" w:name="the-knowledge-work-challenge"/>
    <w:p>
      <w:pPr>
        <w:pStyle w:val="Heading2"/>
      </w:pPr>
      <w:r>
        <w:t xml:space="preserve">3.3 The Knowledge Work Challenge</w:t>
      </w:r>
    </w:p>
    <w:p>
      <w:pPr>
        <w:pStyle w:val="FirstParagraph"/>
      </w:pPr>
      <w:r>
        <w:t xml:space="preserve">A parallel user study of AI tools for product managers</w:t>
      </w:r>
      <w:r>
        <w:t xml:space="preserve"> </w:t>
      </w:r>
      <w:r>
        <w:t xml:space="preserve">(</w:t>
      </w:r>
      <w:r>
        <w:rPr>
          <w:b/>
          <w:bCs/>
        </w:rPr>
        <w:t xml:space="preserve">yodeai2025pm?</w:t>
      </w:r>
      <w:r>
        <w:t xml:space="preserve">)</w:t>
      </w:r>
      <w:r>
        <w:t xml:space="preserve"> </w:t>
      </w:r>
      <w:r>
        <w:t xml:space="preserve">reveals an</w:t>
      </w:r>
      <w:r>
        <w:t xml:space="preserve"> </w:t>
      </w:r>
      <w:r>
        <w:t xml:space="preserve">analogous tension. The system</w:t>
      </w:r>
      <w:r>
        <w:t xml:space="preserve"> </w:t>
      </w:r>
      <w:r>
        <w:rPr>
          <w:b/>
          <w:bCs/>
        </w:rPr>
        <w:t xml:space="preserve">Yodeai</w:t>
      </w:r>
      <w:r>
        <w:t xml:space="preserve"> </w:t>
      </w:r>
      <w:r>
        <w:t xml:space="preserve">provides three interactive widgets for synthesizing</w:t>
      </w:r>
      <w:r>
        <w:t xml:space="preserve"> </w:t>
      </w:r>
      <w:r>
        <w:t xml:space="preserve">unstructured data (customer interviews, app reviews): User Insights, Pain Point Tracker, and Q&amp;A.</w:t>
      </w:r>
    </w:p>
    <w:p>
      <w:pPr>
        <w:pStyle w:val="BodyText"/>
      </w:pPr>
      <w:r>
        <w:t xml:space="preserve">Key findings from 16 product managers:</w:t>
      </w:r>
    </w:p>
    <w:p>
      <w:pPr>
        <w:pStyle w:val="BodyText"/>
      </w:pPr>
      <w:r>
        <w:rPr>
          <w:b/>
          <w:bCs/>
        </w:rPr>
        <w:t xml:space="preserve">Opportunities identified:</w:t>
      </w:r>
      <w:r>
        <w:t xml:space="preserve"> </w:t>
      </w:r>
      <w:r>
        <w:t xml:space="preserve">- AI gives users a</w:t>
      </w:r>
      <w:r>
        <w:t xml:space="preserve"> </w:t>
      </w:r>
      <w:r>
        <w:t xml:space="preserve">“first pass”</w:t>
      </w:r>
      <w:r>
        <w:t xml:space="preserve"> </w:t>
      </w:r>
      <w:r>
        <w:t xml:space="preserve">— a starting point that combats blank-page syndrome.</w:t>
      </w:r>
      <w:r>
        <w:t xml:space="preserve"> </w:t>
      </w:r>
      <w:r>
        <w:t xml:space="preserve">Users with large volumes of unfamiliar data found AI summarization most valuable.</w:t>
      </w:r>
      <w:r>
        <w:t xml:space="preserve"> </w:t>
      </w:r>
      <w:r>
        <w:t xml:space="preserve">- Shareable AI outputs create an</w:t>
      </w:r>
      <w:r>
        <w:t xml:space="preserve"> </w:t>
      </w:r>
      <w:r>
        <w:rPr>
          <w:b/>
          <w:bCs/>
        </w:rPr>
        <w:t xml:space="preserve">audit trail</w:t>
      </w:r>
      <w:r>
        <w:t xml:space="preserve"> </w:t>
      </w:r>
      <w:r>
        <w:t xml:space="preserve">for cross-functional collaboration —</w:t>
      </w:r>
      <w:r>
        <w:t xml:space="preserve"> </w:t>
      </w:r>
      <w:r>
        <w:t xml:space="preserve">engineers can see the raw customer evidence that drove a PM’s decision.</w:t>
      </w:r>
    </w:p>
    <w:p>
      <w:pPr>
        <w:pStyle w:val="BodyText"/>
      </w:pPr>
      <w:r>
        <w:rPr>
          <w:b/>
          <w:bCs/>
        </w:rPr>
        <w:t xml:space="preserve">Limitations identified: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Overreliance risk</w:t>
      </w:r>
      <w:r>
        <w:t xml:space="preserve">: Auto-generated sticky notes reduced engagement — users felt</w:t>
      </w:r>
      <w:r>
        <w:t xml:space="preserve"> </w:t>
      </w:r>
      <w:r>
        <w:t xml:space="preserve">disconnected from insights they did not derive themselves. (</w:t>
      </w:r>
      <w:r>
        <w:rPr>
          <w:i/>
          <w:iCs/>
        </w:rPr>
        <w:t xml:space="preserve">“I don’t feel that</w:t>
      </w:r>
      <w:r>
        <w:rPr>
          <w:i/>
          <w:iCs/>
        </w:rPr>
        <w:t xml:space="preserve"> </w:t>
      </w:r>
      <w:r>
        <w:rPr>
          <w:i/>
          <w:iCs/>
        </w:rPr>
        <w:t xml:space="preserve">connection with those sticky notes.”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Stale data</w:t>
      </w:r>
      <w:r>
        <w:t xml:space="preserve">: AI outputs become incorrect as context changes. There is no automatic</w:t>
      </w:r>
      <w:r>
        <w:t xml:space="preserve"> </w:t>
      </w:r>
      <w:r>
        <w:t xml:space="preserve">mechanism to flag outdated insights.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Privacy/confidentiality</w:t>
      </w:r>
      <w:r>
        <w:t xml:space="preserve">: Companies restrict which data can be fed into AI tools.</w:t>
      </w:r>
      <w:r>
        <w:t xml:space="preserve"> </w:t>
      </w:r>
      <w:r>
        <w:t xml:space="preserve">PMs use redacted inputs or company-approved enterprise chatbots only.</w:t>
      </w:r>
    </w:p>
    <w:p>
      <w:pPr>
        <w:pStyle w:val="BodyText"/>
      </w:pPr>
      <w:r>
        <w:t xml:space="preserve">These findings lead to three design principles for AI knowledge work tools: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Operational 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Adaptability</w:t>
            </w:r>
          </w:p>
        </w:tc>
        <w:tc>
          <w:tcPr/>
          <w:p>
            <w:pPr>
              <w:pStyle w:val="Compact"/>
            </w:pPr>
            <w:r>
              <w:t xml:space="preserve">Support diverse workflows; don’t force a single output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Accountability</w:t>
            </w:r>
          </w:p>
        </w:tc>
        <w:tc>
          <w:tcPr/>
          <w:p>
            <w:pPr>
              <w:pStyle w:val="Compact"/>
            </w:pPr>
            <w:r>
              <w:t xml:space="preserve">Make AI reasoning auditable; show sources alongside outputs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Interoperability</w:t>
            </w:r>
          </w:p>
        </w:tc>
        <w:tc>
          <w:tcPr/>
          <w:p>
            <w:pPr>
              <w:pStyle w:val="Compact"/>
            </w:pPr>
            <w:r>
              <w:t xml:space="preserve">Integrate with existing tools (Slack, Figma, Notion); don’t create silos</w:t>
            </w:r>
          </w:p>
        </w:tc>
      </w:tr>
    </w:tbl>
    <w:bookmarkEnd w:id="23"/>
    <w:bookmarkEnd w:id="24"/>
    <w:bookmarkStart w:id="28" w:name="sec-design"/>
    <w:p>
      <w:pPr>
        <w:pStyle w:val="Heading1"/>
      </w:pPr>
      <w:r>
        <w:t xml:space="preserve">4. Designing for Evaluability</w:t>
      </w:r>
    </w:p>
    <w:bookmarkStart w:id="25" w:name="evaluation-must-be-built-in-not-added-on"/>
    <w:p>
      <w:pPr>
        <w:pStyle w:val="Heading2"/>
      </w:pPr>
      <w:r>
        <w:t xml:space="preserve">4.1 Evaluation Must Be Built In, Not Added On</w:t>
      </w:r>
    </w:p>
    <w:p>
      <w:pPr>
        <w:pStyle w:val="FirstParagraph"/>
      </w:pPr>
      <w:r>
        <w:t xml:space="preserve">The most common mistake in deploying AI business pipelines is treating evaluation as</w:t>
      </w:r>
      <w:r>
        <w:t xml:space="preserve"> </w:t>
      </w:r>
      <w:r>
        <w:t xml:space="preserve">a post-deployment activity. By then, ground truth labels are expensive to collect, A/B</w:t>
      </w:r>
      <w:r>
        <w:t xml:space="preserve"> </w:t>
      </w:r>
      <w:r>
        <w:t xml:space="preserve">test infrastructure is absent, and debugging is guesswork.</w:t>
      </w:r>
    </w:p>
    <w:p>
      <w:pPr>
        <w:pStyle w:val="BodyText"/>
      </w:pPr>
      <w:r>
        <w:rPr>
          <w:b/>
          <w:bCs/>
        </w:rPr>
        <w:t xml:space="preserve">Evaluation must be part of the system design</w:t>
      </w:r>
      <w:r>
        <w:t xml:space="preserve">, not a separate phase.</w:t>
      </w:r>
    </w:p>
    <w:p>
      <w:pPr>
        <w:pStyle w:val="BodyText"/>
      </w:pPr>
      <w:r>
        <w:t xml:space="preserve">Three practices that enable continuous evaluation:</w:t>
      </w:r>
    </w:p>
    <w:p>
      <w:pPr>
        <w:pStyle w:val="BodyText"/>
      </w:pPr>
      <w:r>
        <w:rPr>
          <w:b/>
          <w:bCs/>
        </w:rPr>
        <w:t xml:space="preserve">1. Instrument every pipeline stage</w:t>
      </w:r>
      <w:r>
        <w:t xml:space="preserve">. Log inputs, outputs, and intermediate results</w:t>
      </w:r>
      <w:r>
        <w:t xml:space="preserve"> </w:t>
      </w:r>
      <w:r>
        <w:t xml:space="preserve">at each stage (retrieval, reranking, generation). You cannot debug what you cannot observe.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PipelineTrace:</w:t>
      </w:r>
      <w:r>
        <w:br/>
      </w:r>
      <w:r>
        <w:rPr>
          <w:rStyle w:val="NormalTok"/>
        </w:rPr>
        <w:t xml:space="preserve">    query: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query_enriched: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retrieved: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reranked: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explanation: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latency_ms: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per-stage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logging.info(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"trace | query=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| n_retrieved=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| top_score=</w:t>
      </w:r>
      <w:r>
        <w:rPr>
          <w:rStyle w:val="SpecialCharTok"/>
        </w:rPr>
        <w:t xml:space="preserve">%.3f</w:t>
      </w:r>
      <w:r>
        <w:rPr>
          <w:rStyle w:val="StringTok"/>
        </w:rPr>
        <w:t xml:space="preserve"> |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"explanation_length=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| total_ms=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.query[: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.retrieved),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.reranked[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.reranked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.explanation),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.latency_ms.values()),</w:t>
      </w:r>
      <w:r>
        <w:br/>
      </w:r>
      <w:r>
        <w:rPr>
          <w:rStyle w:val="NormalTok"/>
        </w:rPr>
        <w:t xml:space="preserve">        )</w:t>
      </w:r>
    </w:p>
    <w:p>
      <w:pPr>
        <w:pStyle w:val="FirstParagraph"/>
      </w:pPr>
      <w:r>
        <w:rPr>
          <w:b/>
          <w:bCs/>
        </w:rPr>
        <w:t xml:space="preserve">2. Collect human relevance labels continuously</w:t>
      </w:r>
      <w:r>
        <w:t xml:space="preserve">. Ask users to rate the top-3 results</w:t>
      </w:r>
      <w:r>
        <w:t xml:space="preserve"> </w:t>
      </w:r>
      <w:r>
        <w:t xml:space="preserve">on a 3-point scale (not relevant / somewhat / relevant). Even 10 labels per day accumulate</w:t>
      </w:r>
      <w:r>
        <w:t xml:space="preserve"> </w:t>
      </w:r>
      <w:r>
        <w:t xml:space="preserve">into a real benchmark within weeks.</w:t>
      </w:r>
    </w:p>
    <w:p>
      <w:pPr>
        <w:pStyle w:val="BodyText"/>
      </w:pPr>
      <w:r>
        <w:rPr>
          <w:b/>
          <w:bCs/>
        </w:rPr>
        <w:t xml:space="preserve">3. Run shadow evaluations</w:t>
      </w:r>
      <w:r>
        <w:t xml:space="preserve">. Before promoting a new pipeline version, run it in parallel</w:t>
      </w:r>
      <w:r>
        <w:t xml:space="preserve"> </w:t>
      </w:r>
      <w:r>
        <w:t xml:space="preserve">with the current version on live traffic. Compare NDCG and user engagement without</w:t>
      </w:r>
      <w:r>
        <w:t xml:space="preserve"> </w:t>
      </w:r>
      <w:r>
        <w:t xml:space="preserve">exposing users to unvalidated outputs.</w:t>
      </w:r>
    </w:p>
    <w:bookmarkEnd w:id="25"/>
    <w:bookmarkStart w:id="26" w:name="ab-testing-ai-components"/>
    <w:p>
      <w:pPr>
        <w:pStyle w:val="Heading2"/>
      </w:pPr>
      <w:r>
        <w:t xml:space="preserve">4.2 A/B Testing AI Components</w:t>
      </w:r>
    </w:p>
    <w:p>
      <w:pPr>
        <w:pStyle w:val="FirstParagraph"/>
      </w:pPr>
      <w:r>
        <w:t xml:space="preserve">Changing a single component in a complex pipeline (retrieval model, prompt, reranker</w:t>
      </w:r>
      <w:r>
        <w:t xml:space="preserve"> </w:t>
      </w:r>
      <w:r>
        <w:t xml:space="preserve">weights) can have non-obvious downstream effects. Rigorous A/B testing requires: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Isolate the change</w:t>
            </w:r>
          </w:p>
        </w:tc>
        <w:tc>
          <w:tcPr/>
          <w:p>
            <w:pPr>
              <w:pStyle w:val="Compact"/>
            </w:pPr>
            <w:r>
              <w:t xml:space="preserve">Change exactly one component between A and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Define the metric</w:t>
            </w:r>
          </w:p>
        </w:tc>
        <w:tc>
          <w:tcPr/>
          <w:p>
            <w:pPr>
              <w:pStyle w:val="Compact"/>
            </w:pPr>
            <w:r>
              <w:t xml:space="preserve">Primary metric (NDCG@10, satisfaction), guardrail metrics (latency, error rate)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Power the test</w:t>
            </w:r>
          </w:p>
        </w:tc>
        <w:tc>
          <w:tcPr/>
          <w:p>
            <w:pPr>
              <w:pStyle w:val="Compact"/>
            </w:pPr>
            <w:r>
              <w:t xml:space="preserve">Determine minimum detectable effect size; run long enough to reach power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 interaction data</w:t>
            </w:r>
          </w:p>
        </w:tc>
        <w:tc>
          <w:tcPr/>
          <w:p>
            <w:pPr>
              <w:pStyle w:val="Compact"/>
            </w:pPr>
            <w:r>
              <w:t xml:space="preserve">Clicks, dwell time, explicit ratings — anything observable</w:t>
            </w:r>
          </w:p>
        </w:tc>
      </w:tr>
    </w:tbl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assign_experiment(user_id: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experiment: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traffic_pct: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Deterministic, reproducible assignment. Same user always gets same variant.</w:t>
      </w:r>
      <w:r>
        <w:br/>
      </w:r>
      <w:r>
        <w:rPr>
          <w:rStyle w:val="CommentTok"/>
        </w:rPr>
        <w:t xml:space="preserve">    Returns 'treatment' or 'control'.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(hashlib.md5(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experiment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.encode()).hexdigest(),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bucket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(h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bucket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traffic_pct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"control"</w:t>
      </w:r>
    </w:p>
    <w:bookmarkEnd w:id="26"/>
    <w:bookmarkStart w:id="27" w:name="llm-as-judge-for-scalable-evaluation"/>
    <w:p>
      <w:pPr>
        <w:pStyle w:val="Heading2"/>
      </w:pPr>
      <w:r>
        <w:t xml:space="preserve">4.3 LLM-as-Judge for Scalable Evaluation</w:t>
      </w:r>
    </w:p>
    <w:p>
      <w:pPr>
        <w:pStyle w:val="FirstParagraph"/>
      </w:pPr>
      <w:r>
        <w:t xml:space="preserve">Manual human evaluation is the gold standard but is expensive and slow. For continuous</w:t>
      </w:r>
      <w:r>
        <w:t xml:space="preserve"> </w:t>
      </w:r>
      <w:r>
        <w:t xml:space="preserve">pipeline evaluation,</w:t>
      </w:r>
      <w:r>
        <w:t xml:space="preserve"> </w:t>
      </w:r>
      <w:r>
        <w:rPr>
          <w:b/>
          <w:bCs/>
        </w:rPr>
        <w:t xml:space="preserve">LLM-as-judge</w:t>
      </w:r>
      <w:r>
        <w:t xml:space="preserve"> </w:t>
      </w:r>
      <w:r>
        <w:t xml:space="preserve">provides a scalable alternative:</w:t>
      </w:r>
    </w:p>
    <w:p>
      <w:pPr>
        <w:pStyle w:val="BodyText"/>
      </w:pPr>
      <w:r>
        <w:t xml:space="preserve">An LLM evaluator rates generated outputs on faithfulness, relevance, and coherence.</w:t>
      </w:r>
      <w:r>
        <w:t xml:space="preserve"> </w:t>
      </w:r>
      <w:r>
        <w:t xml:space="preserve">This is not a replacement for human judgment — it is a</w:t>
      </w:r>
      <w:r>
        <w:t xml:space="preserve"> </w:t>
      </w:r>
      <w:r>
        <w:rPr>
          <w:i/>
          <w:iCs/>
        </w:rPr>
        <w:t xml:space="preserve">filter</w:t>
      </w:r>
      <w:r>
        <w:t xml:space="preserve"> </w:t>
      </w:r>
      <w:r>
        <w:t xml:space="preserve">that flags outputs</w:t>
      </w:r>
      <w:r>
        <w:t xml:space="preserve"> </w:t>
      </w:r>
      <w:r>
        <w:t xml:space="preserve">requiring human review.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llm_judge_pipeline(query: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answer: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judge_model)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Evaluate a single pipeline output using an LLM judge.</w:t>
      </w:r>
      <w:r>
        <w:br/>
      </w:r>
      <w:r>
        <w:rPr>
          <w:rStyle w:val="CommentTok"/>
        </w:rPr>
        <w:t xml:space="preserve">    Returns scores for faithfulness, relevance, and coherence.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Evaluate the following pipeline output on three dimensions (each 1-5):</w:t>
      </w:r>
      <w:r>
        <w:br/>
      </w:r>
      <w:r>
        <w:br/>
      </w:r>
      <w:r>
        <w:rPr>
          <w:rStyle w:val="SpecialStringTok"/>
        </w:rPr>
        <w:t xml:space="preserve">Query: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Context provided: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context[: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Generated answer: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answer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Faithfulness (1=hallucinated, 5=fully grounded in context):</w:t>
      </w:r>
      <w:r>
        <w:br/>
      </w:r>
      <w:r>
        <w:rPr>
          <w:rStyle w:val="SpecialStringTok"/>
        </w:rPr>
        <w:t xml:space="preserve">Relevance (1=off-topic, 5=directly answers the query):</w:t>
      </w:r>
      <w:r>
        <w:br/>
      </w:r>
      <w:r>
        <w:rPr>
          <w:rStyle w:val="SpecialStringTok"/>
        </w:rPr>
        <w:t xml:space="preserve">Coherence (1=incoherent, 5=well-structured and clear):</w:t>
      </w:r>
      <w:r>
        <w:br/>
      </w:r>
      <w:r>
        <w:br/>
      </w:r>
      <w:r>
        <w:rPr>
          <w:rStyle w:val="SpecialStringTok"/>
        </w:rPr>
        <w:t xml:space="preserve">Output as JSON: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"faithfulness": X, "relevance": X, "coherence": X</w:t>
      </w:r>
      <w:r>
        <w:rPr>
          <w:rStyle w:val="CharTok"/>
        </w:rPr>
        <w:t xml:space="preserve">}}</w:t>
      </w:r>
      <w:r>
        <w:br/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judge_model(prompt)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json.loads(response.strip())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json.JSONDecodeError: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"faithfulness"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"relevance"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"coherence"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Critical caveat</w:t>
      </w:r>
      <w:r>
        <w:t xml:space="preserve">: LLM judges have systematic biases (preferring verbose answers,</w:t>
      </w:r>
      <w:r>
        <w:t xml:space="preserve"> </w:t>
      </w:r>
      <w:r>
        <w:t xml:space="preserve">favoring outputs similar to their own style). Always calibrate against a held-out</w:t>
      </w:r>
      <w:r>
        <w:t xml:space="preserve"> </w:t>
      </w:r>
      <w:r>
        <w:t xml:space="preserve">human-labeled set before trusting LLM-judge scores for decisions.</w:t>
      </w:r>
    </w:p>
    <w:bookmarkEnd w:id="27"/>
    <w:bookmarkEnd w:id="28"/>
    <w:bookmarkStart w:id="33" w:name="sec-hierarchy"/>
    <w:p>
      <w:pPr>
        <w:pStyle w:val="Heading1"/>
      </w:pPr>
      <w:r>
        <w:t xml:space="preserve">5. Putting It Together: The Evaluation Hierarchy</w:t>
      </w:r>
    </w:p>
    <w:p>
      <w:pPr>
        <w:pStyle w:val="FirstParagraph"/>
      </w:pPr>
      <w:r>
        <w:t xml:space="preserve">A complete AI pipeline evaluation program operates at three levels simultaneously:</w:t>
      </w:r>
    </w:p>
    <w:p>
      <w:pPr>
        <w:pStyle w:val="SourceCode"/>
      </w:pPr>
      <w:r>
        <w:rPr>
          <w:rStyle w:val="VerbatimChar"/>
        </w:rPr>
        <w:t xml:space="preserve">Level 1 — Component metrics (automated, continuous)</w:t>
      </w:r>
      <w:r>
        <w:br/>
      </w:r>
      <w:r>
        <w:rPr>
          <w:rStyle w:val="VerbatimChar"/>
        </w:rPr>
        <w:t xml:space="preserve">  ├── Retrieval: NDCG@10, Recall@100, latency p50/p95</w:t>
      </w:r>
      <w:r>
        <w:br/>
      </w:r>
      <w:r>
        <w:rPr>
          <w:rStyle w:val="VerbatimChar"/>
        </w:rPr>
        <w:t xml:space="preserve">  ├── Generation: BERTScore, faithfulness rate</w:t>
      </w:r>
      <w:r>
        <w:br/>
      </w:r>
      <w:r>
        <w:rPr>
          <w:rStyle w:val="VerbatimChar"/>
        </w:rPr>
        <w:t xml:space="preserve">  └── System: error rate, timeout rate</w:t>
      </w:r>
      <w:r>
        <w:br/>
      </w:r>
      <w:r>
        <w:br/>
      </w:r>
      <w:r>
        <w:rPr>
          <w:rStyle w:val="VerbatimChar"/>
        </w:rPr>
        <w:t xml:space="preserve">Level 2 — Behavioral evaluation (semi-automated, weekly)</w:t>
      </w:r>
      <w:r>
        <w:br/>
      </w:r>
      <w:r>
        <w:rPr>
          <w:rStyle w:val="VerbatimChar"/>
        </w:rPr>
        <w:t xml:space="preserve">  ├── LLM-as-judge: faithfulness, relevance, coherence</w:t>
      </w:r>
      <w:r>
        <w:br/>
      </w:r>
      <w:r>
        <w:rPr>
          <w:rStyle w:val="VerbatimChar"/>
        </w:rPr>
        <w:t xml:space="preserve">  ├── A/B comparison: treatment vs. control on live traffic</w:t>
      </w:r>
      <w:r>
        <w:br/>
      </w:r>
      <w:r>
        <w:rPr>
          <w:rStyle w:val="VerbatimChar"/>
        </w:rPr>
        <w:t xml:space="preserve">  └── Shadow evaluation: new version vs. current version</w:t>
      </w:r>
      <w:r>
        <w:br/>
      </w:r>
      <w:r>
        <w:br/>
      </w:r>
      <w:r>
        <w:rPr>
          <w:rStyle w:val="VerbatimChar"/>
        </w:rPr>
        <w:t xml:space="preserve">Level 3 — Human evaluation (manual, periodic)</w:t>
      </w:r>
      <w:r>
        <w:br/>
      </w:r>
      <w:r>
        <w:rPr>
          <w:rStyle w:val="VerbatimChar"/>
        </w:rPr>
        <w:t xml:space="preserve">  ├── Expert annotation: relevance labels, error audits</w:t>
      </w:r>
      <w:r>
        <w:br/>
      </w:r>
      <w:r>
        <w:rPr>
          <w:rStyle w:val="VerbatimChar"/>
        </w:rPr>
        <w:t xml:space="preserve">  ├── User study: satisfaction, trust, task completion rate</w:t>
      </w:r>
      <w:r>
        <w:br/>
      </w:r>
      <w:r>
        <w:rPr>
          <w:rStyle w:val="VerbatimChar"/>
        </w:rPr>
        <w:t xml:space="preserve">  └── Stakeholder review: business outcome alignment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036"/>
        <w:gridCol w:w="1357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Cadence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Signal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metrics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Leading indicator of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Behavioral evaluation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System-level quality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evaluation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Ground truth, business alignment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No single level suffices.</w:t>
      </w:r>
      <w:r>
        <w:t xml:space="preserve"> </w:t>
      </w:r>
      <w:r>
        <w:t xml:space="preserve">Component metrics catch regressions fast but miss semantic</w:t>
      </w:r>
      <w:r>
        <w:t xml:space="preserve"> </w:t>
      </w:r>
      <w:r>
        <w:t xml:space="preserve">quality. Human evaluation catches what matters most but is too slow for daily deployment.</w:t>
      </w:r>
      <w:r>
        <w:t xml:space="preserve"> </w:t>
      </w:r>
      <w:r>
        <w:t xml:space="preserve">The combination drives both speed and confidence.</w:t>
      </w:r>
    </w:p>
    <w:bookmarkStart w:id="29" w:name="X101dd9f428cf78cc287901e98bce82a5361e647"/>
    <w:p>
      <w:pPr>
        <w:pStyle w:val="Heading2"/>
      </w:pPr>
      <w:r>
        <w:t xml:space="preserve">5.1 Checklist for Deploying an AI Business Pipeline</w:t>
      </w:r>
    </w:p>
    <w:p>
      <w:pPr>
        <w:pStyle w:val="FirstParagraph"/>
      </w:pPr>
      <w:r>
        <w:t xml:space="preserve">Before deploying any AI pipeline into a business context, verify:</w:t>
      </w:r>
    </w:p>
    <w:p>
      <w:pPr>
        <w:pStyle w:val="Compact"/>
        <w:numPr>
          <w:ilvl w:val="0"/>
          <w:numId w:val="1003"/>
        </w:numPr>
      </w:pPr>
      <w:r>
        <w:t xml:space="preserve">Offline benchmark exists with domain-specific relevance labels</w:t>
      </w:r>
    </w:p>
    <w:p>
      <w:pPr>
        <w:pStyle w:val="Compact"/>
        <w:numPr>
          <w:ilvl w:val="0"/>
          <w:numId w:val="1004"/>
        </w:numPr>
      </w:pPr>
      <w:r>
        <w:t xml:space="preserve">All pipeline stages are instrumented and logs are searchable</w:t>
      </w:r>
    </w:p>
    <w:p>
      <w:pPr>
        <w:pStyle w:val="Compact"/>
        <w:numPr>
          <w:ilvl w:val="0"/>
          <w:numId w:val="1005"/>
        </w:numPr>
      </w:pPr>
      <w:r>
        <w:t xml:space="preserve">Faithfulness/hallucination rate is measured, not assumed</w:t>
      </w:r>
    </w:p>
    <w:p>
      <w:pPr>
        <w:pStyle w:val="Compact"/>
        <w:numPr>
          <w:ilvl w:val="0"/>
          <w:numId w:val="1006"/>
        </w:numPr>
      </w:pPr>
      <w:r>
        <w:t xml:space="preserve">Latency is measured end-to-end at p50 and p95</w:t>
      </w:r>
    </w:p>
    <w:p>
      <w:pPr>
        <w:pStyle w:val="Compact"/>
        <w:numPr>
          <w:ilvl w:val="0"/>
          <w:numId w:val="1007"/>
        </w:numPr>
      </w:pPr>
      <w:r>
        <w:t xml:space="preserve">A/B testing infrastructure exists and is tested before launch</w:t>
      </w:r>
    </w:p>
    <w:p>
      <w:pPr>
        <w:pStyle w:val="Compact"/>
        <w:numPr>
          <w:ilvl w:val="0"/>
          <w:numId w:val="1008"/>
        </w:numPr>
      </w:pPr>
      <w:r>
        <w:t xml:space="preserve">Human evaluation cadence is scheduled and resourced</w:t>
      </w:r>
    </w:p>
    <w:p>
      <w:pPr>
        <w:pStyle w:val="Compact"/>
        <w:numPr>
          <w:ilvl w:val="0"/>
          <w:numId w:val="1009"/>
        </w:numPr>
      </w:pPr>
      <w:r>
        <w:t xml:space="preserve">Fallback behavior is defined for model errors or high-latency events</w:t>
      </w:r>
    </w:p>
    <w:p>
      <w:pPr>
        <w:pStyle w:val="Compact"/>
        <w:numPr>
          <w:ilvl w:val="0"/>
          <w:numId w:val="1010"/>
        </w:numPr>
      </w:pPr>
      <w:r>
        <w:t xml:space="preserve">Privacy and data-handling policies are reviewed for all data the LLM receives</w:t>
      </w:r>
    </w:p>
    <w:p>
      <w:pPr>
        <w:pStyle w:val="Compact"/>
        <w:numPr>
          <w:ilvl w:val="0"/>
          <w:numId w:val="1011"/>
        </w:numPr>
      </w:pPr>
      <w:r>
        <w:t xml:space="preserve">Audit trail for AI-generated outputs is retained per regulatory requirements</w:t>
      </w:r>
    </w:p>
    <w:bookmarkEnd w:id="29"/>
    <w:bookmarkStart w:id="32" w:name="whats-next"/>
    <w:p>
      <w:pPr>
        <w:pStyle w:val="Heading2"/>
      </w:pPr>
      <w:r>
        <w:t xml:space="preserve">5.2 What’s Next</w:t>
      </w:r>
    </w:p>
    <w:p>
      <w:pPr>
        <w:pStyle w:val="FirstParagraph"/>
      </w:pPr>
      <w:r>
        <w:t xml:space="preserve">Module 7 closes the main sequence of the course. You now have: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theoretical foundations</w:t>
      </w:r>
      <w:r>
        <w:t xml:space="preserve"> </w:t>
      </w:r>
      <w:r>
        <w:t xml:space="preserve">(M1–M3): language models, transformers, representations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adaptation toolkit</w:t>
      </w:r>
      <w:r>
        <w:t xml:space="preserve"> </w:t>
      </w:r>
      <w:r>
        <w:t xml:space="preserve">(M4): prompting, fine-tuning, alignment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retrieval and agentic layer</w:t>
      </w:r>
      <w:r>
        <w:t xml:space="preserve"> </w:t>
      </w:r>
      <w:r>
        <w:t xml:space="preserve">(M5–M6): RAG, agentic pipelines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deployment and evaluation layer</w:t>
      </w:r>
      <w:r>
        <w:t xml:space="preserve"> </w:t>
      </w:r>
      <w:r>
        <w:t xml:space="preserve">(M7): production systems, dashboards, evaluation</w:t>
      </w:r>
    </w:p>
    <w:p>
      <w:pPr>
        <w:pStyle w:val="FirstParagraph"/>
      </w:pPr>
      <w:r>
        <w:t xml:space="preserve">Module 8 surveys</w:t>
      </w:r>
      <w:r>
        <w:t xml:space="preserve"> </w:t>
      </w:r>
      <w:r>
        <w:rPr>
          <w:b/>
          <w:bCs/>
        </w:rPr>
        <w:t xml:space="preserve">emerging topics</w:t>
      </w:r>
      <w:r>
        <w:t xml:space="preserve">: multimodal models, long-context architectures,</w:t>
      </w:r>
      <w:r>
        <w:t xml:space="preserve"> </w:t>
      </w:r>
      <w:r>
        <w:t xml:space="preserve">model safety, and the evolving regulatory landscape for AI in business.</w:t>
      </w:r>
    </w:p>
    <w:bookmarkStart w:id="31" w:name="references"/>
    <w:p>
      <w:pPr>
        <w:pStyle w:val="Heading3"/>
      </w:pPr>
      <w:r>
        <w:t xml:space="preserve">References</w:t>
      </w:r>
    </w:p>
    <w:bookmarkStart w:id="30" w:name="refs"/>
    <w:bookmarkEnd w:id="30"/>
    <w:bookmarkEnd w:id="31"/>
    <w:bookmarkEnd w:id="32"/>
    <w:bookmarkEnd w:id="33"/>
    <w:sectPr w:rsidR="00EB0F42" w:rsidSect="000F1D40">
      <w:pgSz w:h="15840" w:w="12240"/>
      <w:pgMar w:bottom="1080" w:footer="720" w:gutter="0" w:header="720" w:left="1080" w:right="1080" w:top="1080"/>
      <w:pgNumType w:start="1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D3C26D8C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E53827F6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A99411"/>
    <w:multiLevelType w:val="multilevel"/>
    <w:tmpl w:val="89644A5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16cid:durableId="871724782" w:numId="1">
    <w:abstractNumId w:val="0"/>
  </w:num>
  <w:num w16cid:durableId="907886661" w:numId="2">
    <w:abstractNumId w:val="1"/>
  </w:num>
  <w:num w16cid:durableId="1101800202" w:numId="3">
    <w:abstractNumId w:val="1"/>
  </w:num>
  <w:num w16cid:durableId="271326019" w:numId="4">
    <w:abstractNumId w:val="1"/>
  </w:num>
  <w:num w16cid:durableId="1776635241" w:numId="5">
    <w:abstractNumId w:val="1"/>
  </w:num>
  <w:num w16cid:durableId="1527477195" w:numId="6">
    <w:abstractNumId w:val="1"/>
  </w:num>
  <w:num w16cid:durableId="1643852688" w:numId="7">
    <w:abstractNumId w:val="1"/>
  </w:num>
  <w:num w16cid:durableId="299649335" w:numId="8">
    <w:abstractNumId w:val="1"/>
  </w:num>
  <w:num w16cid:durableId="162203861" w:numId="9">
    <w:abstractNumId w:val="1"/>
  </w:num>
  <w:num w16cid:durableId="1066563641" w:numId="10">
    <w:abstractNumId w:val="1"/>
  </w:num>
  <w:num w16cid:durableId="482703350"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88613057" w:numId="12">
    <w:abstractNumId w:val="1"/>
  </w:num>
  <w:num w16cid:durableId="1858229275" w:numId="13">
    <w:abstractNumId w:val="1"/>
  </w:num>
  <w:num w16cid:durableId="1386221183" w:numId="14">
    <w:abstractNumId w:val="1"/>
  </w:num>
  <w:num w16cid:durableId="1174496299" w:numId="15">
    <w:abstractNumId w:val="1"/>
  </w:num>
  <w:num w16cid:durableId="381104340" w:numId="16">
    <w:abstractNumId w:val="1"/>
  </w:num>
  <w:num w16cid:durableId="1205287605" w:numId="17">
    <w:abstractNumId w:val="1"/>
  </w:num>
  <w:num w16cid:durableId="1846553053" w:numId="18">
    <w:abstractNumId w:val="1"/>
  </w:num>
  <w:num w16cid:durableId="2067337162" w:numId="19">
    <w:abstractNumId w:val="1"/>
  </w:num>
  <w:num w16cid:durableId="709456833" w:numId="20">
    <w:abstractNumId w:val="1"/>
  </w:num>
  <w:num w16cid:durableId="872306600" w:numId="21">
    <w:abstractNumId w:val="1"/>
  </w:num>
  <w:num w16cid:durableId="2106222303" w:numId="22">
    <w:abstractNumId w:val="1"/>
  </w:num>
  <w:num w16cid:durableId="1284968057" w:numId="23">
    <w:abstractNumId w:val="1"/>
  </w:num>
  <w:num w16cid:durableId="941298630" w:numId="24">
    <w:abstractNumId w:val="1"/>
  </w:num>
  <w:num w16cid:durableId="1686129258" w:numId="25">
    <w:abstractNumId w:val="1"/>
  </w:num>
  <w:num w16cid:durableId="871259387" w:numId="26">
    <w:abstractNumId w:val="1"/>
  </w:num>
  <w:num w16cid:durableId="1851215181" w:numId="27">
    <w:abstractNumId w:val="1"/>
  </w:num>
  <w:num w16cid:durableId="1548447415" w:numId="28">
    <w:abstractNumId w:val="1"/>
  </w:num>
  <w:num w16cid:durableId="1007053912" w:numId="29">
    <w:abstractNumId w:val="1"/>
  </w:num>
  <w:num w16cid:durableId="1031567061" w:numId="30">
    <w:abstractNumId w:val="1"/>
  </w:num>
  <w:num w16cid:durableId="633369573" w:numId="31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102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4E9"/>
    <w:rsid w:val="000556F2"/>
    <w:rsid w:val="000F1D40"/>
    <w:rsid w:val="00461A24"/>
    <w:rsid w:val="007A1D72"/>
    <w:rsid w:val="008E7E19"/>
    <w:rsid w:val="009659A1"/>
    <w:rsid w:val="00A83E31"/>
    <w:rsid w:val="00CE5754"/>
    <w:rsid w:val="00EB0F42"/>
    <w:rsid w:val="00F33E8C"/>
    <w:rsid w:val="00F65CDC"/>
    <w:rsid w:val="00FC74E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Arial" w:eastAsia="Arial" w:hAnsi="Arial"/>
        <w:sz w:val="22"/>
        <w:szCs w:val="22"/>
        <w:lang w:bidi="ar-SA" w:eastAsia="en-US" w:val="en"/>
      </w:rPr>
    </w:rPrDefault>
    <w:pPrDefault>
      <w:pPr>
        <w:spacing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CE5754"/>
    <w:pPr>
      <w:spacing w:line="300" w:lineRule="auto"/>
      <w:ind w:firstLine="720"/>
      <w:jc w:val="both"/>
    </w:pPr>
    <w:rPr>
      <w:rFonts w:ascii="Times New Roman" w:cs="Times New Roman" w:eastAsia="Times New Roman" w:hAnsi="Times New Roman"/>
      <w:sz w:val="24"/>
      <w:szCs w:val="24"/>
    </w:rPr>
  </w:style>
  <w:style w:styleId="Heading1" w:type="paragraph">
    <w:name w:val="heading 1"/>
    <w:basedOn w:val="Normal"/>
    <w:next w:val="Normal"/>
    <w:uiPriority w:val="9"/>
    <w:qFormat/>
    <w:rsid w:val="008E7E19"/>
    <w:pPr>
      <w:keepNext/>
      <w:keepLines/>
      <w:spacing w:after="200" w:before="400" w:line="240" w:lineRule="auto"/>
      <w:ind w:firstLine="0"/>
      <w:jc w:val="center"/>
      <w:outlineLvl w:val="0"/>
    </w:pPr>
    <w:rPr>
      <w:b/>
      <w:smallCaps/>
    </w:rPr>
  </w:style>
  <w:style w:styleId="Heading2" w:type="paragraph">
    <w:name w:val="heading 2"/>
    <w:basedOn w:val="Normal"/>
    <w:next w:val="Normal"/>
    <w:uiPriority w:val="9"/>
    <w:unhideWhenUsed/>
    <w:qFormat/>
    <w:rsid w:val="008E7E19"/>
    <w:pPr>
      <w:keepNext/>
      <w:keepLines/>
      <w:spacing w:after="120" w:before="240"/>
      <w:ind w:firstLine="0"/>
      <w:outlineLvl w:val="1"/>
    </w:pPr>
    <w:rPr>
      <w:b/>
    </w:rPr>
  </w:style>
  <w:style w:styleId="Heading3" w:type="paragraph">
    <w:name w:val="heading 3"/>
    <w:basedOn w:val="Normal"/>
    <w:next w:val="Normal"/>
    <w:uiPriority w:val="9"/>
    <w:semiHidden/>
    <w:unhideWhenUsed/>
    <w:qFormat/>
    <w:rsid w:val="008E7E19"/>
    <w:pPr>
      <w:keepNext/>
      <w:keepLines/>
      <w:spacing w:after="80" w:before="160"/>
      <w:ind w:firstLine="0"/>
      <w:outlineLvl w:val="2"/>
    </w:pPr>
    <w:rPr>
      <w:b/>
      <w:i/>
      <w:color w:val="434343"/>
      <w:szCs w:val="28"/>
    </w:rPr>
  </w:style>
  <w:style w:styleId="Heading4" w:type="paragraph">
    <w:name w:val="heading 4"/>
    <w:basedOn w:val="Normal"/>
    <w:next w:val="Normal"/>
    <w:uiPriority w:val="9"/>
    <w:semiHidden/>
    <w:unhideWhenUsed/>
    <w:qFormat/>
    <w:pPr>
      <w:keepNext/>
      <w:keepLines/>
      <w:spacing w:after="80" w:before="280"/>
      <w:outlineLvl w:val="3"/>
    </w:pPr>
    <w:rPr>
      <w:color w:val="666666"/>
    </w:rPr>
  </w:style>
  <w:style w:styleId="Heading5" w:type="paragraph">
    <w:name w:val="heading 5"/>
    <w:basedOn w:val="Normal"/>
    <w:next w:val="Normal"/>
    <w:uiPriority w:val="9"/>
    <w:semiHidden/>
    <w:unhideWhenUsed/>
    <w:qFormat/>
    <w:pPr>
      <w:keepNext/>
      <w:keepLines/>
      <w:spacing w:after="80" w:before="240"/>
      <w:outlineLvl w:val="4"/>
    </w:pPr>
    <w:rPr>
      <w:color w:val="666666"/>
      <w:sz w:val="22"/>
      <w:szCs w:val="22"/>
    </w:rPr>
  </w:style>
  <w:style w:styleId="Heading6" w:type="paragraph">
    <w:name w:val="heading 6"/>
    <w:basedOn w:val="Normal"/>
    <w:next w:val="Normal"/>
    <w:uiPriority w:val="9"/>
    <w:semiHidden/>
    <w:unhideWhenUsed/>
    <w:qFormat/>
    <w:pPr>
      <w:keepNext/>
      <w:keepLines/>
      <w:spacing w:after="80" w:before="240"/>
      <w:outlineLvl w:val="5"/>
    </w:pPr>
    <w:rPr>
      <w:i/>
      <w:color w:val="666666"/>
      <w:sz w:val="22"/>
      <w:szCs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TableNormal0" w:type="table">
    <w:name w:val="TableNormal"/>
    <w:tblPr>
      <w:tblCellMar>
        <w:top w:type="dxa" w:w="0"/>
        <w:left w:type="dxa" w:w="0"/>
        <w:bottom w:type="dxa" w:w="0"/>
        <w:right w:type="dxa" w:w="0"/>
      </w:tblCellMar>
    </w:tblPr>
  </w:style>
  <w:style w:styleId="Title" w:type="paragraph">
    <w:name w:val="Title"/>
    <w:basedOn w:val="Normal"/>
    <w:next w:val="Normal"/>
    <w:uiPriority w:val="10"/>
    <w:qFormat/>
    <w:pPr>
      <w:keepNext/>
      <w:keepLines/>
      <w:spacing w:before="480"/>
      <w:jc w:val="center"/>
    </w:pPr>
    <w:rPr>
      <w:b/>
    </w:rPr>
  </w:style>
  <w:style w:styleId="Subtitle" w:type="paragraph">
    <w:name w:val="Subtitle"/>
    <w:basedOn w:val="Title"/>
    <w:next w:val="Normal"/>
    <w:uiPriority w:val="11"/>
    <w:qFormat/>
    <w:rsid w:val="00F33E8C"/>
    <w:rPr>
      <w:color w:themeColor="text1" w:themeTint="BF" w:val="404040"/>
    </w:rPr>
  </w:style>
  <w:style w:customStyle="1" w:styleId="SourceCode" w:type="paragraph">
    <w:name w:val="Source Code"/>
    <w:basedOn w:val="Normal"/>
    <w:rsid w:val="008E7E19"/>
    <w:pPr>
      <w:shd w:color="auto" w:fill="F1F3F5" w:val="clear"/>
      <w:wordWrap w:val="0"/>
      <w:spacing w:after="120" w:before="120"/>
      <w:ind w:firstLine="0"/>
      <w:jc w:val="left"/>
    </w:pPr>
    <w:rPr>
      <w:sz w:val="22"/>
    </w:rPr>
  </w:style>
  <w:style w:customStyle="1" w:styleId="KeywordTok" w:type="character">
    <w:name w:val="KeywordTok"/>
    <w:rPr>
      <w:b/>
      <w:color w:val="003B4F"/>
      <w:shd w:color="auto" w:fill="F1F3F5" w:val="clear"/>
    </w:rPr>
  </w:style>
  <w:style w:customStyle="1" w:styleId="DataTypeTok" w:type="character">
    <w:name w:val="DataTypeTok"/>
    <w:rPr>
      <w:color w:val="AD0000"/>
      <w:shd w:color="auto" w:fill="F1F3F5" w:val="clear"/>
    </w:rPr>
  </w:style>
  <w:style w:customStyle="1" w:styleId="DecValTok" w:type="character">
    <w:name w:val="DecValTok"/>
    <w:rPr>
      <w:color w:val="AD0000"/>
      <w:shd w:color="auto" w:fill="F1F3F5" w:val="clear"/>
    </w:rPr>
  </w:style>
  <w:style w:customStyle="1" w:styleId="BaseNTok" w:type="character">
    <w:name w:val="BaseNTok"/>
    <w:rPr>
      <w:color w:val="AD0000"/>
      <w:shd w:color="auto" w:fill="F1F3F5" w:val="clear"/>
    </w:rPr>
  </w:style>
  <w:style w:customStyle="1" w:styleId="FloatTok" w:type="character">
    <w:name w:val="FloatTok"/>
    <w:rPr>
      <w:color w:val="AD0000"/>
      <w:shd w:color="auto" w:fill="F1F3F5" w:val="clear"/>
    </w:rPr>
  </w:style>
  <w:style w:customStyle="1" w:styleId="ConstantTok" w:type="character">
    <w:name w:val="ConstantTok"/>
    <w:rPr>
      <w:color w:val="8F5902"/>
      <w:shd w:color="auto" w:fill="F1F3F5" w:val="clear"/>
    </w:rPr>
  </w:style>
  <w:style w:customStyle="1" w:styleId="CharTok" w:type="character">
    <w:name w:val="CharTok"/>
    <w:rPr>
      <w:color w:val="20794D"/>
      <w:shd w:color="auto" w:fill="F1F3F5" w:val="clear"/>
    </w:rPr>
  </w:style>
  <w:style w:customStyle="1" w:styleId="SpecialCharTok" w:type="character">
    <w:name w:val="SpecialCharTok"/>
    <w:rPr>
      <w:color w:val="5E5E5E"/>
      <w:shd w:color="auto" w:fill="F1F3F5" w:val="clear"/>
    </w:rPr>
  </w:style>
  <w:style w:customStyle="1" w:styleId="StringTok" w:type="character">
    <w:name w:val="StringTok"/>
    <w:rPr>
      <w:color w:val="20794D"/>
      <w:shd w:color="auto" w:fill="F1F3F5" w:val="clear"/>
    </w:rPr>
  </w:style>
  <w:style w:customStyle="1" w:styleId="VerbatimStringTok" w:type="character">
    <w:name w:val="VerbatimStringTok"/>
    <w:rPr>
      <w:color w:val="20794D"/>
      <w:shd w:color="auto" w:fill="F1F3F5" w:val="clear"/>
    </w:rPr>
  </w:style>
  <w:style w:customStyle="1" w:styleId="SpecialStringTok" w:type="character">
    <w:name w:val="SpecialStringTok"/>
    <w:rPr>
      <w:color w:val="20794D"/>
      <w:shd w:color="auto" w:fill="F1F3F5" w:val="clear"/>
    </w:rPr>
  </w:style>
  <w:style w:customStyle="1" w:styleId="ImportTok" w:type="character">
    <w:name w:val="ImportTok"/>
    <w:rPr>
      <w:color w:val="00769E"/>
      <w:shd w:color="auto" w:fill="F1F3F5" w:val="clear"/>
    </w:rPr>
  </w:style>
  <w:style w:customStyle="1" w:styleId="CommentTok" w:type="character">
    <w:name w:val="CommentTok"/>
    <w:rPr>
      <w:color w:val="5E5E5E"/>
      <w:shd w:color="auto" w:fill="F1F3F5" w:val="clear"/>
    </w:rPr>
  </w:style>
  <w:style w:customStyle="1" w:styleId="DocumentationTok" w:type="character">
    <w:name w:val="DocumentationTok"/>
    <w:rPr>
      <w:i/>
      <w:color w:val="5E5E5E"/>
      <w:shd w:color="auto" w:fill="F1F3F5" w:val="clear"/>
    </w:rPr>
  </w:style>
  <w:style w:customStyle="1" w:styleId="AnnotationTok" w:type="character">
    <w:name w:val="AnnotationTok"/>
    <w:rPr>
      <w:color w:val="5E5E5E"/>
      <w:shd w:color="auto" w:fill="F1F3F5" w:val="clear"/>
    </w:rPr>
  </w:style>
  <w:style w:customStyle="1" w:styleId="CommentVarTok" w:type="character">
    <w:name w:val="CommentVarTok"/>
    <w:rPr>
      <w:i/>
      <w:color w:val="5E5E5E"/>
      <w:shd w:color="auto" w:fill="F1F3F5" w:val="clear"/>
    </w:rPr>
  </w:style>
  <w:style w:customStyle="1" w:styleId="OtherTok" w:type="character">
    <w:name w:val="OtherTok"/>
    <w:rPr>
      <w:color w:val="003B4F"/>
      <w:shd w:color="auto" w:fill="F1F3F5" w:val="clear"/>
    </w:rPr>
  </w:style>
  <w:style w:customStyle="1" w:styleId="FunctionTok" w:type="character">
    <w:name w:val="FunctionTok"/>
    <w:rPr>
      <w:color w:val="4758AB"/>
      <w:shd w:color="auto" w:fill="F1F3F5" w:val="clear"/>
    </w:rPr>
  </w:style>
  <w:style w:customStyle="1" w:styleId="VariableTok" w:type="character">
    <w:name w:val="VariableTok"/>
    <w:rPr>
      <w:color w:val="111111"/>
      <w:shd w:color="auto" w:fill="F1F3F5" w:val="clear"/>
    </w:rPr>
  </w:style>
  <w:style w:customStyle="1" w:styleId="ControlFlowTok" w:type="character">
    <w:name w:val="ControlFlowTok"/>
    <w:rPr>
      <w:b/>
      <w:color w:val="003B4F"/>
      <w:shd w:color="auto" w:fill="F1F3F5" w:val="clear"/>
    </w:rPr>
  </w:style>
  <w:style w:customStyle="1" w:styleId="OperatorTok" w:type="character">
    <w:name w:val="OperatorTok"/>
    <w:rPr>
      <w:color w:val="5E5E5E"/>
      <w:shd w:color="auto" w:fill="F1F3F5" w:val="clear"/>
    </w:rPr>
  </w:style>
  <w:style w:customStyle="1" w:styleId="BuiltInTok" w:type="character">
    <w:name w:val="BuiltInTok"/>
    <w:rPr>
      <w:color w:val="003B4F"/>
      <w:shd w:color="auto" w:fill="F1F3F5" w:val="clear"/>
    </w:rPr>
  </w:style>
  <w:style w:customStyle="1" w:styleId="ExtensionTok" w:type="character">
    <w:name w:val="ExtensionTok"/>
    <w:rPr>
      <w:color w:val="003B4F"/>
      <w:shd w:color="auto" w:fill="F1F3F5" w:val="clear"/>
    </w:rPr>
  </w:style>
  <w:style w:customStyle="1" w:styleId="PreprocessorTok" w:type="character">
    <w:name w:val="PreprocessorTok"/>
    <w:rPr>
      <w:color w:val="AD0000"/>
      <w:shd w:color="auto" w:fill="F1F3F5" w:val="clear"/>
    </w:rPr>
  </w:style>
  <w:style w:customStyle="1" w:styleId="AttributeTok" w:type="character">
    <w:name w:val="AttributeTok"/>
    <w:rPr>
      <w:color w:val="657422"/>
      <w:shd w:color="auto" w:fill="F1F3F5" w:val="clear"/>
    </w:rPr>
  </w:style>
  <w:style w:customStyle="1" w:styleId="RegionMarkerTok" w:type="character">
    <w:name w:val="RegionMarkerTok"/>
    <w:rPr>
      <w:color w:val="003B4F"/>
      <w:shd w:color="auto" w:fill="F1F3F5" w:val="clear"/>
    </w:rPr>
  </w:style>
  <w:style w:customStyle="1" w:styleId="InformationTok" w:type="character">
    <w:name w:val="InformationTok"/>
    <w:rPr>
      <w:color w:val="5E5E5E"/>
      <w:shd w:color="auto" w:fill="F1F3F5" w:val="clear"/>
    </w:rPr>
  </w:style>
  <w:style w:customStyle="1" w:styleId="WarningTok" w:type="character">
    <w:name w:val="WarningTok"/>
    <w:rPr>
      <w:i/>
      <w:color w:val="5E5E5E"/>
      <w:shd w:color="auto" w:fill="F1F3F5" w:val="clear"/>
    </w:rPr>
  </w:style>
  <w:style w:customStyle="1" w:styleId="AlertTok" w:type="character">
    <w:name w:val="AlertTok"/>
    <w:rPr>
      <w:color w:val="AD0000"/>
      <w:shd w:color="auto" w:fill="F1F3F5" w:val="clear"/>
    </w:rPr>
  </w:style>
  <w:style w:customStyle="1" w:styleId="ErrorTok" w:type="character">
    <w:name w:val="ErrorTok"/>
    <w:rPr>
      <w:color w:val="AD0000"/>
      <w:shd w:color="auto" w:fill="F1F3F5" w:val="clear"/>
    </w:rPr>
  </w:style>
  <w:style w:customStyle="1" w:styleId="NormalTok" w:type="character">
    <w:name w:val="NormalTok"/>
    <w:rPr>
      <w:color w:val="003B4F"/>
      <w:shd w:color="auto" w:fill="F1F3F5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7" Target="media/image3.png" Type="http://schemas.openxmlformats.org/officeDocument/2006/relationships/image" /><Relationship Id="rId6" Target="media/image2.png" Type="http://schemas.openxmlformats.org/officeDocument/2006/relationships/image" /><Relationship Id="rId5" Target="media/image1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4286</Words>
  <Characters>26790</Characters>
  <Application>Microsoft Office Word</Application>
  <DocSecurity>0</DocSecurity>
  <Lines>608</Lines>
  <Paragraphs>425</Paragraphs>
  <ScaleCrop>false</ScaleCrop>
  <Company/>
  <LinksUpToDate>false</LinksUpToDate>
  <CharactersWithSpaces>30651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AD698 - Applied Generative AI</dc:title>
  <dc:creator/>
  <dc:description>Lecture notes for Module 7 covering AI pipeline evaluation, human-AI interaction patterns, and design for knowledge work.</dc:description>
  <cp:keywords/>
  <dcterms:created xsi:type="dcterms:W3CDTF">2026-04-30T20:06:12Z</dcterms:created>
  <dcterms:modified xsi:type="dcterms:W3CDTF">2026-04-30T20:06:12Z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../references.bib</vt:lpwstr>
  </property>
  <property fmtid="{D5CDD505-2E9C-101B-9397-08002B2CF9AE}" pid="4" name="categories">
    <vt:lpwstr/>
  </property>
  <property fmtid="{D5CDD505-2E9C-101B-9397-08002B2CF9AE}" pid="5" name="crossref">
    <vt:lpwstr/>
  </property>
  <property fmtid="{D5CDD505-2E9C-101B-9397-08002B2CF9AE}" pid="6" name="csl">
    <vt:lpwstr>../mis-quarterly.csl</vt:lpwstr>
  </property>
  <property fmtid="{D5CDD505-2E9C-101B-9397-08002B2CF9AE}" pid="7" name="date">
    <vt:lpwstr>November 21, 2024</vt:lpwstr>
  </property>
  <property fmtid="{D5CDD505-2E9C-101B-9397-08002B2CF9AE}" pid="8" name="date-format">
    <vt:lpwstr>long</vt:lpwstr>
  </property>
  <property fmtid="{D5CDD505-2E9C-101B-9397-08002B2CF9AE}" pid="9" name="date-modified">
    <vt:lpwstr>April 30, 2026</vt:lpwstr>
  </property>
  <property fmtid="{D5CDD505-2E9C-101B-9397-08002B2CF9AE}" pid="10" name="editor">
    <vt:lpwstr/>
  </property>
  <property fmtid="{D5CDD505-2E9C-101B-9397-08002B2CF9AE}" pid="11" name="engines">
    <vt:lpwstr/>
  </property>
  <property fmtid="{D5CDD505-2E9C-101B-9397-08002B2CF9AE}" pid="12" name="execute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resources">
    <vt:lpwstr/>
  </property>
  <property fmtid="{D5CDD505-2E9C-101B-9397-08002B2CF9AE}" pid="18" name="subtitle">
    <vt:lpwstr>Applied AI Pipeline Design and Evaluation</vt:lpwstr>
  </property>
  <property fmtid="{D5CDD505-2E9C-101B-9397-08002B2CF9AE}" pid="19" name="toc-title">
    <vt:lpwstr>Table of contents</vt:lpwstr>
  </property>
</Properties>
</file>