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44"/>
          <w:szCs w:val="44"/>
        </w:rPr>
        <w:t xml:space="preserve">FORGE ECOSYSTEM</w:t>
      </w:r>
    </w:p>
    <w:p>
      <w:pPr>
        <w:spacing w:after="200"/>
        <w:jc w:val="center"/>
      </w:pPr>
      <w:r>
        <w:rPr>
          <w:rFonts w:ascii="Arial" w:cs="Arial" w:eastAsia="Arial" w:hAnsi="Arial"/>
          <w:color w:val="D4740A"/>
          <w:sz w:val="36"/>
          <w:szCs w:val="36"/>
        </w:rPr>
        <w:t xml:space="preserve">Connectivity Gap Closure</w:t>
      </w:r>
    </w:p>
    <w:p>
      <w:pPr>
        <w:pBdr>
          <w:top w:val="single" w:color="D4740A" w:sz="6" w:space="8"/>
          <w:bottom w:val="single" w:color="D4740A" w:sz="6" w:space="8"/>
        </w:pBdr>
        <w:spacing w:before="200" w:after="200"/>
        <w:jc w:val="center"/>
      </w:pPr>
      <w:r>
        <w:rPr>
          <w:rFonts w:ascii="Arial" w:cs="Arial" w:eastAsia="Arial" w:hAnsi="Arial"/>
          <w:b/>
          <w:bCs/>
          <w:color w:val="1B3A5C"/>
          <w:sz w:val="48"/>
          <w:szCs w:val="48"/>
        </w:rPr>
        <w:t xml:space="preserve">FOLLOW-UP TASK REGISTER</w:t>
      </w:r>
    </w:p>
    <w:p>
      <w:pPr>
        <w:spacing w:after="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EBF0F5" w:val="clear"/>
            <w:tcMar>
              <w:top w:type="dxa" w:w="60"/>
              <w:left w:type="dxa" w:w="100"/>
              <w:bottom w:type="dxa" w:w="60"/>
              <w:right w:type="dxa" w:w="100"/>
            </w:tcMar>
          </w:tcPr>
          <w:p>
            <w:r>
              <w:rPr>
                <w:rFonts w:ascii="Arial" w:cs="Arial" w:eastAsia="Arial" w:hAnsi="Arial"/>
                <w:b/>
                <w:bCs/>
                <w:color w:val="1B3A5C"/>
                <w:sz w:val="20"/>
                <w:szCs w:val="20"/>
              </w:rPr>
              <w:t xml:space="preserve">Date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February 23, 2026</w:t>
            </w:r>
          </w:p>
        </w:tc>
      </w:tr>
      <w:tr>
        <w:tc>
          <w:tcPr>
            <w:tcW w:type="dxa" w:w="2000"/>
            <w:tcBorders>
              <w:top w:val="single" w:color="B0BEC5" w:sz="1"/>
              <w:left w:val="single" w:color="B0BEC5" w:sz="1"/>
              <w:bottom w:val="single" w:color="B0BEC5" w:sz="1"/>
              <w:right w:val="single" w:color="B0BEC5" w:sz="1"/>
            </w:tcBorders>
            <w:shd w:fill="EBF0F5" w:val="clear"/>
            <w:tcMar>
              <w:top w:type="dxa" w:w="60"/>
              <w:left w:type="dxa" w:w="100"/>
              <w:bottom w:type="dxa" w:w="60"/>
              <w:right w:type="dxa" w:w="100"/>
            </w:tcMar>
          </w:tcPr>
          <w:p>
            <w:r>
              <w:rPr>
                <w:rFonts w:ascii="Arial" w:cs="Arial" w:eastAsia="Arial" w:hAnsi="Arial"/>
                <w:b/>
                <w:bCs/>
                <w:color w:val="1B3A5C"/>
                <w:sz w:val="20"/>
                <w:szCs w:val="20"/>
              </w:rPr>
              <w:t xml:space="preserve">Scope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F-001 through F-007</w:t>
            </w:r>
          </w:p>
        </w:tc>
      </w:tr>
      <w:tr>
        <w:tc>
          <w:tcPr>
            <w:tcW w:type="dxa" w:w="2000"/>
            <w:tcBorders>
              <w:top w:val="single" w:color="B0BEC5" w:sz="1"/>
              <w:left w:val="single" w:color="B0BEC5" w:sz="1"/>
              <w:bottom w:val="single" w:color="B0BEC5" w:sz="1"/>
              <w:right w:val="single" w:color="B0BEC5" w:sz="1"/>
            </w:tcBorders>
            <w:shd w:fill="EBF0F5" w:val="clear"/>
            <w:tcMar>
              <w:top w:type="dxa" w:w="60"/>
              <w:left w:type="dxa" w:w="100"/>
              <w:bottom w:type="dxa" w:w="60"/>
              <w:right w:type="dxa" w:w="100"/>
            </w:tcMar>
          </w:tcPr>
          <w:p>
            <w:r>
              <w:rPr>
                <w:rFonts w:ascii="Arial" w:cs="Arial" w:eastAsia="Arial" w:hAnsi="Arial"/>
                <w:b/>
                <w:bCs/>
                <w:color w:val="1B3A5C"/>
                <w:sz w:val="20"/>
                <w:szCs w:val="20"/>
              </w:rPr>
              <w:t xml:space="preserve">Total Tasks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28</w:t>
            </w:r>
          </w:p>
        </w:tc>
      </w:tr>
      <w:tr>
        <w:tc>
          <w:tcPr>
            <w:tcW w:type="dxa" w:w="2000"/>
            <w:tcBorders>
              <w:top w:val="single" w:color="B0BEC5" w:sz="1"/>
              <w:left w:val="single" w:color="B0BEC5" w:sz="1"/>
              <w:bottom w:val="single" w:color="B0BEC5" w:sz="1"/>
              <w:right w:val="single" w:color="B0BEC5" w:sz="1"/>
            </w:tcBorders>
            <w:shd w:fill="EBF0F5" w:val="clear"/>
            <w:tcMar>
              <w:top w:type="dxa" w:w="60"/>
              <w:left w:type="dxa" w:w="100"/>
              <w:bottom w:type="dxa" w:w="60"/>
              <w:right w:type="dxa" w:w="100"/>
            </w:tcMar>
          </w:tcPr>
          <w:p>
            <w:r>
              <w:rPr>
                <w:rFonts w:ascii="Arial" w:cs="Arial" w:eastAsia="Arial" w:hAnsi="Arial"/>
                <w:b/>
                <w:bCs/>
                <w:color w:val="1B3A5C"/>
                <w:sz w:val="20"/>
                <w:szCs w:val="20"/>
              </w:rPr>
              <w:t xml:space="preserve">Protocol</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BDS QA Testing Protocol</w:t>
            </w:r>
          </w:p>
        </w:tc>
      </w:tr>
    </w:tbl>
    <w:p>
      <w:pPr>
        <w:spacing w:before="600"/>
      </w:pPr>
    </w:p>
    <w:p>
      <w:pPr>
        <w:jc w:val="center"/>
      </w:pPr>
      <w:r>
        <w:rPr>
          <w:rFonts w:ascii="Arial" w:cs="Arial" w:eastAsia="Arial" w:hAnsi="Arial"/>
          <w:i/>
          <w:iCs/>
          <w:color w:val="999999"/>
          <w:sz w:val="18"/>
          <w:szCs w:val="18"/>
        </w:rPr>
        <w:t xml:space="preserve">Boswell Digital Solutions LLC — Confidential</w:t>
      </w:r>
    </w:p>
    <w:p>
      <w:r>
        <w:br w:type="page"/>
      </w:r>
    </w:p>
    <w:p>
      <w:pPr>
        <w:pStyle w:val="Heading1"/>
      </w:pPr>
      <w:r>
        <w:rPr>
          <w:rFonts w:ascii="Arial" w:cs="Arial" w:eastAsia="Arial" w:hAnsi="Arial"/>
        </w:rPr>
        <w:t xml:space="preserve">1  Immediate Verification (T0 Pre-Flight)</w:t>
      </w:r>
    </w:p>
    <w:p>
      <w:pPr>
        <w:spacing w:after="120"/>
      </w:pPr>
      <w:r>
        <w:rPr>
          <w:rFonts w:ascii="Arial" w:cs="Arial" w:eastAsia="Arial" w:hAnsi="Arial"/>
          <w:color w:val="333333"/>
          <w:sz w:val="22"/>
          <w:szCs w:val="22"/>
        </w:rPr>
        <w:t xml:space="preserve">These tasks verify that every closure session produced working code and consistent documentation. Per BDS QA Testing Protocol Phase 3, T0 must pass before any further testing. Each task maps directly to the Completion Gate in the Prompting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700"/>
        <w:gridCol w:w="900"/>
        <w:gridCol w:w="9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V-001</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Health check all 5 services on canonical ports (8000, 8001, 8002, 8787, 8789)</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F-001</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V-002</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Verify FC REST Server responds on port 8790 (localhost only)</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F-001</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V-003</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grep -r '9100' across all doc/system/*.md — expect zero hits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F-001</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V-004</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grep -r 'OPENAI_API_KEY' across AuthorForge/ — expect zero hits</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V-005</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Run AuthorForge full Integration Audit Template (Protocol §11) — zero S0/S1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V-006</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Confirm FORGE_EMBED_DIM env var is read by all 5 config files at startup</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F-002</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V-007</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Set FORGE_ENVIRONMENT=production, attempt bugcheck --deep — expect rejection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F-006</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V-008</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Import context_builder from NeuroForge — expect ImportError pointing to _fixed</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F-007</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V-009</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Trigger Rake pipeline with simulated EMBED stage timeout — confirm retry + backoff</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F-004</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V-010</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Simulate concurrent XAI calls exceeding XAI_MONTHLY_CAP — confirm global limiter fires</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F-005</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QA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bl>
    <w:p>
      <w:pPr>
        <w:spacing w:after="80"/>
      </w:pPr>
    </w:p>
    <w:p>
      <w:pPr>
        <w:spacing w:after="120"/>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All 10 verification checks pass. Any failure is an S0 blocker that must be resolved before proceeding to Section 2.</w:t>
      </w:r>
    </w:p>
    <w:p>
      <w:r>
        <w:br w:type="page"/>
      </w:r>
    </w:p>
    <w:p>
      <w:pPr>
        <w:pStyle w:val="Heading1"/>
      </w:pPr>
      <w:r>
        <w:rPr>
          <w:rFonts w:ascii="Arial" w:cs="Arial" w:eastAsia="Arial" w:hAnsi="Arial"/>
        </w:rPr>
        <w:t xml:space="preserve">2  Test Coverage Gaps</w:t>
      </w:r>
    </w:p>
    <w:p>
      <w:pPr>
        <w:spacing w:after="120"/>
      </w:pPr>
      <w:r>
        <w:rPr>
          <w:rFonts w:ascii="Arial" w:cs="Arial" w:eastAsia="Arial" w:hAnsi="Arial"/>
          <w:color w:val="333333"/>
          <w:sz w:val="22"/>
          <w:szCs w:val="22"/>
        </w:rPr>
        <w:t xml:space="preserve">The closure sessions introduced 4 new files and modified approximately 30 existing files. Per BDS QA Testing Protocol Phase 2, every new module, route, and behavior must appear in at least one test tier.</w:t>
      </w:r>
    </w:p>
    <w:p>
      <w:pPr>
        <w:pStyle w:val="Heading2"/>
      </w:pPr>
      <w:r>
        <w:rPr>
          <w:rFonts w:ascii="Arial" w:cs="Arial" w:eastAsia="Arial" w:hAnsi="Arial"/>
        </w:rPr>
        <w:t xml:space="preserve">2.1  Unit Tests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700"/>
        <w:gridCol w:w="900"/>
        <w:gridCol w:w="9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T-001</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GlobalRateLimiter: monthly window reset, daily cost cap, alert thresholds (80%/95%), concurrent atomicity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F-005</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T-002</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Rake _run_stage_with_retry(): exponential backoff timing, max retry per stage, error propagation</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F-004</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T-003</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AuthorForge dataforge_client.py (Python): CRUD ops, error handling, timeout behavior</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T-004</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AuthorForge dataforge.ts (TS): project/entity/doc CRUD, client-side search filtering</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T-005</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BugCheck deep mode safety gate: agent.py, cli.py, executor.py each reject in production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F-006</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bl>
    <w:p>
      <w:pPr>
        <w:spacing w:after="120"/>
      </w:pPr>
    </w:p>
    <w:p>
      <w:pPr>
        <w:pStyle w:val="Heading2"/>
      </w:pPr>
      <w:r>
        <w:rPr>
          <w:rFonts w:ascii="Arial" w:cs="Arial" w:eastAsia="Arial" w:hAnsi="Arial"/>
        </w:rPr>
        <w:t xml:space="preserve">2.2  Contract Tests (T3)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700"/>
        <w:gridCol w:w="900"/>
        <w:gridCol w:w="9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T-006</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AuthorForge embed.py → NeuroForge POST /api/v1/embeddings payload schema</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T-007</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AuthorForge Python routes → DataForge namespace/tenant_id/project_id scoping</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T-008</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AuthorForge TS routes → DataForge matching payload schemas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T-009</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GlobalRateLimiter integration with XAI client.lookup() and MAID client methods</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F-005</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bl>
    <w:p>
      <w:pPr>
        <w:spacing w:after="120"/>
      </w:pPr>
    </w:p>
    <w:p>
      <w:pPr>
        <w:pStyle w:val="Heading2"/>
      </w:pPr>
      <w:r>
        <w:rPr>
          <w:rFonts w:ascii="Arial" w:cs="Arial" w:eastAsia="Arial" w:hAnsi="Arial"/>
        </w:rPr>
        <w:t xml:space="preserve">2.3  Integration Tests (T4)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700"/>
        <w:gridCol w:w="900"/>
        <w:gridCol w:w="9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T-010</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AuthorForge round-trip: create project → entity → upload doc → embed via NeuroForge → retrieve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T-011</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Rake pipeline E2E with all 5 stages, verify retry on injected transient failure</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F-004</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bl>
    <w:p>
      <w:pPr>
        <w:spacing w:after="80"/>
      </w:pPr>
    </w:p>
    <w:p>
      <w:pPr>
        <w:spacing w:after="120"/>
      </w:pPr>
      <w:r>
        <w:rPr>
          <w:rFonts w:ascii="Arial" w:cs="Arial" w:eastAsia="Arial" w:hAnsi="Arial"/>
          <w:b/>
          <w:bCs/>
          <w:color w:val="333333"/>
          <w:sz w:val="22"/>
          <w:szCs w:val="22"/>
        </w:rPr>
        <w:t xml:space="preserve">Coverage Target: </w:t>
      </w:r>
      <w:r>
        <w:rPr>
          <w:rFonts w:ascii="Arial" w:cs="Arial" w:eastAsia="Arial" w:hAnsi="Arial"/>
          <w:color w:val="333333"/>
          <w:sz w:val="22"/>
          <w:szCs w:val="22"/>
        </w:rPr>
        <w:t xml:space="preserve">85% per ecosystem standard. The 11 test tasks above cover the net-new code surface from closure sessions.</w:t>
      </w:r>
    </w:p>
    <w:p>
      <w:r>
        <w:br w:type="page"/>
      </w:r>
    </w:p>
    <w:p>
      <w:pPr>
        <w:pStyle w:val="Heading1"/>
      </w:pPr>
      <w:r>
        <w:rPr>
          <w:rFonts w:ascii="Arial" w:cs="Arial" w:eastAsia="Arial" w:hAnsi="Arial"/>
        </w:rPr>
        <w:t xml:space="preserve">3  Documentation Finalization</w:t>
      </w:r>
    </w:p>
    <w:p>
      <w:pPr>
        <w:spacing w:after="120"/>
      </w:pPr>
      <w:r>
        <w:rPr>
          <w:rFonts w:ascii="Arial" w:cs="Arial" w:eastAsia="Arial" w:hAnsi="Arial"/>
          <w:color w:val="333333"/>
          <w:sz w:val="22"/>
          <w:szCs w:val="22"/>
        </w:rPr>
        <w:t xml:space="preserve">Seven SYSTEM.md regenerations were performed during closure. These tasks ensure all documentation is internally consistent and cross-referenced.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700"/>
        <w:gridCol w:w="900"/>
        <w:gridCol w:w="9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D-001</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Rebuild all SYSTEM.md files from part files and diff against current versions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All</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D-002</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Update Integration Protocol Service Registry if port 9100 persists there</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F-001</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D-003</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AuthorForge to quarterly audit schedule in Integration Protocol</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PM</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D-004</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Document FORGE_EMBED_DIM in AuthorForge SYSTEM.md env var reference</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F-002</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D-005</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Update ForgeAgents SYSTEM.md §11 (Testing) to include GlobalRateLimiter test files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F-005</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bl>
    <w:p>
      <w:pPr>
        <w:pStyle w:val="Heading1"/>
      </w:pPr>
      <w:r>
        <w:rPr>
          <w:rFonts w:ascii="Arial" w:cs="Arial" w:eastAsia="Arial" w:hAnsi="Arial"/>
        </w:rPr>
        <w:t xml:space="preserve">4  Operational Readiness</w:t>
      </w:r>
    </w:p>
    <w:p>
      <w:pPr>
        <w:spacing w:after="120"/>
      </w:pPr>
      <w:r>
        <w:rPr>
          <w:rFonts w:ascii="Arial" w:cs="Arial" w:eastAsia="Arial" w:hAnsi="Arial"/>
          <w:color w:val="333333"/>
          <w:sz w:val="22"/>
          <w:szCs w:val="22"/>
        </w:rPr>
        <w:t xml:space="preserve">Production deployment considerations and monitoring for changes introduced during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700"/>
        <w:gridCol w:w="900"/>
        <w:gridCol w:w="9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O-001</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Set FORGE_EMBED_DIM in all deployment envs (Render, Docker Compose, .env.example)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F-002</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O-002</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Set XAI_MONTHLY_CAP, MAID_MONTHLY_CAP, MAX_COST_PER_DAY in production with reviewed values</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F-005</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O-003</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Align ForgeCommand CostService thresholds with GlobalRateLimiter 80%/95% for unified alerting</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F-005</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2980B9"/>
                <w:sz w:val="20"/>
                <w:szCs w:val="20"/>
              </w:rPr>
              <w:t xml:space="preserve">P2</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O-004</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FORGE_ENVIRONMENT=production to all Render production service configs</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F-006</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O-005</w:t>
            </w:r>
          </w:p>
        </w:tc>
        <w:tc>
          <w:tcPr>
            <w:tcW w:type="dxa" w:w="4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Remove OPENAI_API_KEY from AuthorForge Render environment (no longer needed)</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r>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O-006</w:t>
            </w:r>
          </w:p>
        </w:tc>
        <w:tc>
          <w:tcPr>
            <w:tcW w:type="dxa" w:w="406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NEUROFORGE_URL to AuthorForge production environment configuration</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F-003</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c>
          <w:tcPr>
            <w:tcW w:type="dxa" w:w="9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DevOps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bCs/>
                <w:color w:val="D4740A"/>
                <w:sz w:val="20"/>
                <w:szCs w:val="20"/>
              </w:rPr>
              <w:t xml:space="preserve">Open</w:t>
            </w:r>
          </w:p>
        </w:tc>
      </w:tr>
    </w:tbl>
    <w:p>
      <w:r>
        <w:br w:type="page"/>
      </w:r>
    </w:p>
    <w:p>
      <w:pPr>
        <w:pStyle w:val="Heading1"/>
      </w:pPr>
      <w:r>
        <w:rPr>
          <w:rFonts w:ascii="Arial" w:cs="Arial" w:eastAsia="Arial" w:hAnsi="Arial"/>
        </w:rPr>
        <w:t xml:space="preserve">5  Technical Debt and Future Improvements</w:t>
      </w:r>
    </w:p>
    <w:p>
      <w:pPr>
        <w:spacing w:after="120"/>
      </w:pPr>
      <w:r>
        <w:rPr>
          <w:rFonts w:ascii="Arial" w:cs="Arial" w:eastAsia="Arial" w:hAnsi="Arial"/>
          <w:color w:val="333333"/>
          <w:sz w:val="22"/>
          <w:szCs w:val="22"/>
        </w:rPr>
        <w:t xml:space="preserve">Items identified during closure that were outside scope but should be tracked.</w:t>
      </w:r>
    </w:p>
    <w:p>
      <w:pPr>
        <w:pStyle w:val="Heading2"/>
      </w:pPr>
      <w:r>
        <w:rPr>
          <w:rFonts w:ascii="Arial" w:cs="Arial" w:eastAsia="Arial" w:hAnsi="Arial"/>
        </w:rPr>
        <w:t xml:space="preserve">5.1  AuthorForge Remaining Pool Usage</w:t>
      </w:r>
    </w:p>
    <w:p>
      <w:pPr>
        <w:spacing w:after="120"/>
      </w:pPr>
      <w:r>
        <w:rPr>
          <w:rFonts w:ascii="Arial" w:cs="Arial" w:eastAsia="Arial" w:hAnsi="Arial"/>
          <w:color w:val="333333"/>
          <w:sz w:val="22"/>
          <w:szCs w:val="22"/>
        </w:rPr>
        <w:t xml:space="preserve">Four files (rag.ts, continuity.py, gen.py, embed.py) retain direct database access for read-only vector similarity compute. Classified as acceptable during F-003 because the queries are not authoritative data persistence. Should be migrated when DataForge adds a vector search endpoint.</w:t>
      </w:r>
    </w:p>
    <w:p>
      <w:pPr>
        <w:pStyle w:val="ListParagraph"/>
        <w:numPr>
          <w:ilvl w:val="0"/>
          <w:numId w:val="2"/>
        </w:numPr>
        <w:spacing w:after="60"/>
      </w:pPr>
      <w:r>
        <w:rPr>
          <w:rFonts w:ascii="Arial" w:cs="Arial" w:eastAsia="Arial" w:hAnsi="Arial"/>
          <w:color w:val="333333"/>
          <w:sz w:val="22"/>
          <w:szCs w:val="22"/>
        </w:rPr>
        <w:t xml:space="preserve">Track DataForge vector search API development — migrate AuthorForge when available</w:t>
      </w:r>
    </w:p>
    <w:p>
      <w:pPr>
        <w:pStyle w:val="ListParagraph"/>
        <w:numPr>
          <w:ilvl w:val="0"/>
          <w:numId w:val="2"/>
        </w:numPr>
        <w:spacing w:after="60"/>
      </w:pPr>
      <w:r>
        <w:rPr>
          <w:rFonts w:ascii="Arial" w:cs="Arial" w:eastAsia="Arial" w:hAnsi="Arial"/>
          <w:color w:val="333333"/>
          <w:sz w:val="22"/>
          <w:szCs w:val="22"/>
        </w:rPr>
        <w:t xml:space="preserve">Add inline comments to exempted files explaining the Law 3 exception for audit clarity</w:t>
      </w:r>
    </w:p>
    <w:p>
      <w:pPr>
        <w:pStyle w:val="Heading2"/>
      </w:pPr>
      <w:r>
        <w:rPr>
          <w:rFonts w:ascii="Arial" w:cs="Arial" w:eastAsia="Arial" w:hAnsi="Arial"/>
        </w:rPr>
        <w:t xml:space="preserve">5.2  ForgeAgents Embedding Dimension Legacy Default</w:t>
      </w:r>
    </w:p>
    <w:p>
      <w:pPr>
        <w:spacing w:after="120"/>
      </w:pPr>
      <w:r>
        <w:rPr>
          <w:rFonts w:ascii="Arial" w:cs="Arial" w:eastAsia="Arial" w:hAnsi="Arial"/>
          <w:color w:val="333333"/>
          <w:sz w:val="22"/>
          <w:szCs w:val="22"/>
        </w:rPr>
        <w:t xml:space="preserve">ForgeAgents defaults FORGE_EMBED_DIM to 768 for legacy compatibility while all other services default to 1536. This divergence should be resolved once legacy data is re-embedded.</w:t>
      </w:r>
    </w:p>
    <w:p>
      <w:pPr>
        <w:pStyle w:val="ListParagraph"/>
        <w:numPr>
          <w:ilvl w:val="0"/>
          <w:numId w:val="2"/>
        </w:numPr>
        <w:spacing w:after="60"/>
      </w:pPr>
      <w:r>
        <w:rPr>
          <w:rFonts w:ascii="Arial" w:cs="Arial" w:eastAsia="Arial" w:hAnsi="Arial"/>
          <w:color w:val="333333"/>
          <w:sz w:val="22"/>
          <w:szCs w:val="22"/>
        </w:rPr>
        <w:t xml:space="preserve">Plan migration to re-embed ForgeAgents data at 1536 dimensions</w:t>
      </w:r>
    </w:p>
    <w:p>
      <w:pPr>
        <w:pStyle w:val="ListParagraph"/>
        <w:numPr>
          <w:ilvl w:val="0"/>
          <w:numId w:val="2"/>
        </w:numPr>
        <w:spacing w:after="60"/>
      </w:pPr>
      <w:r>
        <w:rPr>
          <w:rFonts w:ascii="Arial" w:cs="Arial" w:eastAsia="Arial" w:hAnsi="Arial"/>
          <w:color w:val="333333"/>
          <w:sz w:val="22"/>
          <w:szCs w:val="22"/>
        </w:rPr>
        <w:t xml:space="preserve">After migration, align the default to 1536 ecosystem-wide</w:t>
      </w:r>
    </w:p>
    <w:p>
      <w:pPr>
        <w:pStyle w:val="Heading2"/>
      </w:pPr>
      <w:r>
        <w:rPr>
          <w:rFonts w:ascii="Arial" w:cs="Arial" w:eastAsia="Arial" w:hAnsi="Arial"/>
        </w:rPr>
        <w:t xml:space="preserve">5.3  GlobalRateLimiter Persistence</w:t>
      </w:r>
    </w:p>
    <w:p>
      <w:pPr>
        <w:spacing w:after="120"/>
      </w:pPr>
      <w:r>
        <w:rPr>
          <w:rFonts w:ascii="Arial" w:cs="Arial" w:eastAsia="Arial" w:hAnsi="Arial"/>
          <w:color w:val="333333"/>
          <w:sz w:val="22"/>
          <w:szCs w:val="22"/>
        </w:rPr>
        <w:t xml:space="preserve">Current implementation is a process-wide singleton that resets on restart. The original Prompting Plan specified DataForge-backed persistence with row-level locking. The current solution trades durability for simplicity.</w:t>
      </w:r>
    </w:p>
    <w:p>
      <w:pPr>
        <w:pStyle w:val="ListParagraph"/>
        <w:numPr>
          <w:ilvl w:val="0"/>
          <w:numId w:val="2"/>
        </w:numPr>
        <w:spacing w:after="60"/>
      </w:pPr>
      <w:r>
        <w:rPr>
          <w:rFonts w:ascii="Arial" w:cs="Arial" w:eastAsia="Arial" w:hAnsi="Arial"/>
          <w:color w:val="333333"/>
          <w:sz w:val="22"/>
          <w:szCs w:val="22"/>
        </w:rPr>
        <w:t xml:space="preserve">Evaluate restart-resilient rate limiting need based on production observation</w:t>
      </w:r>
    </w:p>
    <w:p>
      <w:pPr>
        <w:pStyle w:val="ListParagraph"/>
        <w:numPr>
          <w:ilvl w:val="0"/>
          <w:numId w:val="2"/>
        </w:numPr>
        <w:spacing w:after="60"/>
      </w:pPr>
      <w:r>
        <w:rPr>
          <w:rFonts w:ascii="Arial" w:cs="Arial" w:eastAsia="Arial" w:hAnsi="Arial"/>
          <w:color w:val="333333"/>
          <w:sz w:val="22"/>
          <w:szCs w:val="22"/>
        </w:rPr>
        <w:t xml:space="preserve">If needed, implement DataForge-backed rate limit table per original F-005 spec</w:t>
      </w:r>
    </w:p>
    <w:p>
      <w:pPr>
        <w:pStyle w:val="Heading2"/>
      </w:pPr>
      <w:r>
        <w:rPr>
          <w:rFonts w:ascii="Arial" w:cs="Arial" w:eastAsia="Arial" w:hAnsi="Arial"/>
        </w:rPr>
        <w:t xml:space="preserve">5.4  Rake Retry Configuration Hot-Reload</w:t>
      </w:r>
    </w:p>
    <w:p>
      <w:pPr>
        <w:spacing w:after="120"/>
      </w:pPr>
      <w:r>
        <w:rPr>
          <w:rFonts w:ascii="Arial" w:cs="Arial" w:eastAsia="Arial" w:hAnsi="Arial"/>
          <w:color w:val="333333"/>
          <w:sz w:val="22"/>
          <w:szCs w:val="22"/>
        </w:rPr>
        <w:t xml:space="preserve">STAGE_RETRY_CONFIG is set at class instantiation. Changing retry behavior requires a restart. Consider making retry config reloadable from environment or DataForge settings for long-running pipeline workers.</w:t>
      </w:r>
    </w:p>
    <w:p>
      <w:pPr>
        <w:pStyle w:val="Heading1"/>
      </w:pPr>
      <w:r>
        <w:rPr>
          <w:rFonts w:ascii="Arial" w:cs="Arial" w:eastAsia="Arial" w:hAnsi="Arial"/>
        </w:rPr>
        <w:t xml:space="preserve">6  Summary by Priority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Verify</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Ops/Docs</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C0392B"/>
                <w:sz w:val="20"/>
                <w:szCs w:val="20"/>
              </w:rPr>
              <w:t xml:space="preserve">P0</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r>
      <w:tr>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E67E22"/>
                <w:sz w:val="20"/>
                <w:szCs w:val="20"/>
              </w:rPr>
              <w:t xml:space="preserve">P1</w:t>
            </w:r>
          </w:p>
        </w:tc>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left"/>
            </w:pPr>
            <w:r>
              <w:rPr>
                <w:rFonts w:ascii="Arial" w:cs="Arial" w:eastAsia="Arial" w:hAnsi="Arial"/>
                <w:b/>
                <w:bCs/>
                <w:color w:val="2980B9"/>
                <w:sz w:val="20"/>
                <w:szCs w:val="20"/>
              </w:rPr>
              <w:t xml:space="preserve">P2</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r>
      <w:tr>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TOTAL</w:t>
            </w:r>
          </w:p>
        </w:tc>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10</w:t>
            </w:r>
          </w:p>
        </w:tc>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11</w:t>
            </w:r>
          </w:p>
        </w:tc>
        <w:tc>
          <w:tcPr>
            <w:tcW w:type="dxa" w:w="1500"/>
            <w:tcBorders>
              <w:top w:val="single" w:color="B0BEC5" w:sz="1"/>
              <w:left w:val="single" w:color="B0BEC5" w:sz="1"/>
              <w:bottom w:val="single" w:color="B0BEC5" w:sz="1"/>
              <w:right w:val="single" w:color="B0BEC5" w:sz="1"/>
            </w:tcBorders>
            <w:shd w:fill="F4F6F8"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11</w:t>
            </w:r>
          </w:p>
        </w:tc>
      </w:tr>
    </w:tbl>
    <w:p>
      <w:pPr>
        <w:spacing w:after="200"/>
      </w:pPr>
    </w:p>
    <w:p>
      <w:pPr>
        <w:spacing w:after="120"/>
      </w:pPr>
      <w:r>
        <w:rPr>
          <w:rFonts w:ascii="Arial" w:cs="Arial" w:eastAsia="Arial" w:hAnsi="Arial"/>
          <w:b/>
          <w:bCs/>
          <w:color w:val="333333"/>
          <w:sz w:val="22"/>
          <w:szCs w:val="22"/>
        </w:rPr>
        <w:t xml:space="preserve">Recommended Execution Order: </w:t>
      </w:r>
      <w:r>
        <w:rPr>
          <w:rFonts w:ascii="Arial" w:cs="Arial" w:eastAsia="Arial" w:hAnsi="Arial"/>
          <w:color w:val="333333"/>
          <w:sz w:val="22"/>
          <w:szCs w:val="22"/>
        </w:rPr>
        <w:t xml:space="preserve">Complete all P0 verification (V-001 through V-005) and operations (O-005, O-006) first. Then run P0 test tasks (T-003, T-004, T-006, T-007, T-008) and documentation (D-001, D-002). P1 and P2 tasks can proceed in parallel once P0 is clear.</w:t>
      </w:r>
    </w:p>
    <w:p>
      <w:pPr>
        <w:spacing w:after="200"/>
      </w:pPr>
    </w:p>
    <w:p>
      <w:pPr>
        <w:pBdr>
          <w:top w:val="single" w:color="D4740A" w:sz="2" w:space="6"/>
        </w:pBdr>
        <w:spacing w:before="400"/>
      </w:pPr>
      <w:r>
        <w:rPr>
          <w:rFonts w:ascii="Arial" w:cs="Arial" w:eastAsia="Arial" w:hAnsi="Arial"/>
          <w:b/>
          <w:bCs/>
          <w:i/>
          <w:iCs/>
          <w:color w:val="1B3A5C"/>
          <w:sz w:val="20"/>
          <w:szCs w:val="20"/>
        </w:rPr>
        <w:t xml:space="preserve">Per BDS QA Testing Protocol: </w:t>
      </w:r>
      <w:r>
        <w:rPr>
          <w:rFonts w:ascii="Arial" w:cs="Arial" w:eastAsia="Arial" w:hAnsi="Arial"/>
          <w:i/>
          <w:iCs/>
          <w:color w:val="666666"/>
          <w:sz w:val="20"/>
          <w:szCs w:val="20"/>
        </w:rPr>
        <w:t xml:space="preserve">No feature work may proceed until all P0 verification tasks pass and SYSTEM.md files are rebuilt from canonical part files.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pPr>
    <w:r>
      <w:rPr>
        <w:rFonts w:ascii="Arial" w:cs="Arial" w:eastAsia="Arial" w:hAnsi="Arial"/>
        <w:color w:val="999999"/>
        <w:sz w:val="16"/>
        <w:szCs w:val="16"/>
      </w:rPr>
      <w:t xml:space="preserve">Connectivity Gap Closure — Follow-Up Tasks</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740A" w:sz="4" w:space="4"/>
      </w:pBdr>
    </w:pPr>
    <w:r>
      <w:rPr>
        <w:rFonts w:ascii="Arial" w:cs="Arial" w:eastAsia="Arial" w:hAnsi="Arial"/>
        <w:b/>
        <w:bCs/>
        <w:color w:val="1B3A5C"/>
        <w:sz w:val="18"/>
        <w:szCs w:val="18"/>
      </w:rPr>
      <w:t xml:space="preserve">Boswell Digital Solutions</w:t>
    </w:r>
    <w:r>
      <w:ptab w:alignment="right" w:relativeTo="margin" w:leader="none"/>
    </w:r>
    <w:r>
      <w:rPr>
        <w:rFonts w:ascii="Arial" w:cs="Arial" w:eastAsia="Arial" w:hAnsi="Arial"/>
        <w:color w:val="D4740A"/>
        <w:sz w:val="18"/>
        <w:szCs w:val="18"/>
      </w:rPr>
      <w:t xml:space="preserve">FORGE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4740A" w:sz="4" w:space="4"/>
      </w:pBd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D474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2026-02-23T15:24:38.377Z</dcterms:created>
  <dcterms:modified xsi:type="dcterms:W3CDTF">2026-02-23T15:24:38.377Z</dcterms:modified>
</cp:coreProperties>
</file>

<file path=docProps/custom.xml><?xml version="1.0" encoding="utf-8"?>
<Properties xmlns="http://schemas.openxmlformats.org/officeDocument/2006/custom-properties" xmlns:vt="http://schemas.openxmlformats.org/officeDocument/2006/docPropsVTypes"/>
</file>