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9C66"/>
          <w:sz w:val="40"/>
        </w:rPr>
        <w:t>Bull Invest — QA &amp; Architecture Review</w:t>
      </w:r>
    </w:p>
    <w:p>
      <w:pPr>
        <w:spacing w:after="140"/>
      </w:pPr>
      <w:r>
        <w:rPr>
          <w:i/>
          <w:color w:val="666666"/>
        </w:rPr>
        <w:t>Senior engineering review of the Bull Invest prototype: scope, architecture, verification results, defects found and resolved, accessibility, security posture, and recommendations. Prepared June 17, 2026.</w:t>
      </w:r>
    </w:p>
    <w:p>
      <w:pPr>
        <w:spacing w:before="240" w:after="80"/>
      </w:pPr>
      <w:r>
        <w:rPr>
          <w:b/>
          <w:color w:val="0E9C66"/>
          <w:sz w:val="26"/>
        </w:rPr>
        <w:t>1. Executive summary</w:t>
      </w:r>
    </w:p>
    <w:p>
      <w:pPr>
        <w:spacing w:after="140"/>
      </w:pPr>
      <w:r>
        <w:rPr>
          <w:i w:val="0"/>
        </w:rPr>
        <w:t>Bull Invest is a single-file, framework-free web application that demonstrates a multi-bank personal-finance dashboard with verified financial calculators, six-language support (including right-to-left Arabic), full accessibility, dark mode, and installable-app (PWA) behavior. The front end is production-quality for a demo. The verified finance math and WCAG-AA accessibility are genuine strengths. The application is explicitly a prototype with sample data; becoming a real financial product requires backend aggregation, a banking partner, and regulatory compliance, which are out of scope for the demo.</w:t>
      </w:r>
    </w:p>
    <w:p>
      <w:pPr>
        <w:spacing w:before="240" w:after="80"/>
      </w:pPr>
      <w:r>
        <w:rPr>
          <w:b/>
          <w:color w:val="0E9C66"/>
          <w:sz w:val="26"/>
        </w:rPr>
        <w:t>2. Architecture overview</w:t>
      </w:r>
    </w:p>
    <w:p>
      <w:pPr>
        <w:pStyle w:val="ListBullet"/>
        <w:spacing w:after="40"/>
      </w:pPr>
      <w:r>
        <w:t>Delivery: static site (HTML/CSS/vanilla JS). No build step, no server. Charts via Chart.js (CDN).</w:t>
      </w:r>
    </w:p>
    <w:p>
      <w:pPr>
        <w:pStyle w:val="ListBullet"/>
        <w:spacing w:after="40"/>
      </w:pPr>
      <w:r>
        <w:t>Entry: index.html → loads bull-invest-prototype.html (single-file app). Clean root URL for hosting.</w:t>
      </w:r>
    </w:p>
    <w:p>
      <w:pPr>
        <w:pStyle w:val="ListBullet"/>
        <w:spacing w:after="40"/>
      </w:pPr>
      <w:r>
        <w:t>State: in-memory JS objects for accounts/transactions; user preferences (language, theme, text size, contrast) persisted in localStorage.</w:t>
      </w:r>
    </w:p>
    <w:p>
      <w:pPr>
        <w:pStyle w:val="ListBullet"/>
        <w:spacing w:after="40"/>
      </w:pPr>
      <w:r>
        <w:t>i18n: a translation dictionary (157 keys x 6 languages) with a tr() lookup; document lang/dir updated per language; RTL layout for Arabic.</w:t>
      </w:r>
    </w:p>
    <w:p>
      <w:pPr>
        <w:pStyle w:val="ListBullet"/>
        <w:spacing w:after="40"/>
      </w:pPr>
      <w:r>
        <w:t>Finance engine: pure functions FV(), PMT(), GOAL() shared by all calculators and the custom 'code-it' tab.</w:t>
      </w:r>
    </w:p>
    <w:p>
      <w:pPr>
        <w:pStyle w:val="ListBullet"/>
        <w:spacing w:after="40"/>
      </w:pPr>
      <w:r>
        <w:t>PWA: manifest + service worker (network-first) + maskable icons; installable on iOS/Android.</w:t>
      </w:r>
    </w:p>
    <w:p>
      <w:pPr>
        <w:spacing w:before="240" w:after="80"/>
      </w:pPr>
      <w:r>
        <w:rPr>
          <w:b/>
          <w:color w:val="0E9C66"/>
          <w:sz w:val="26"/>
        </w:rPr>
        <w:t>3. Verification &amp; test results</w:t>
      </w:r>
    </w:p>
    <w:p>
      <w:pPr>
        <w:spacing w:after="140"/>
      </w:pPr>
      <w:r>
        <w:rPr>
          <w:i w:val="0"/>
        </w:rPr>
        <w:t>Tests that do not require a browser were automated in Node and re-run after each 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fill="E8F5EE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84"/>
            <w:shd w:fill="E8F5EE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56"/>
            <w:shd w:fill="E8F5EE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12"/>
          </w:tcPr>
          <w:p>
            <w:r>
              <w:t>Finance formulas</w:t>
            </w:r>
          </w:p>
        </w:tc>
        <w:tc>
          <w:tcPr>
            <w:tcW w:type="dxa" w:w="5184"/>
          </w:tcPr>
          <w:p>
            <w:r>
              <w:t>Node unit tests vs. textbook values</w:t>
            </w:r>
          </w:p>
        </w:tc>
        <w:tc>
          <w:tcPr>
            <w:tcW w:type="dxa" w:w="3456"/>
          </w:tcPr>
          <w:p>
            <w:r>
              <w:t>8 / 8 PASS</w:t>
            </w:r>
          </w:p>
        </w:tc>
      </w:tr>
      <w:tr>
        <w:tc>
          <w:tcPr>
            <w:tcW w:type="dxa" w:w="3312"/>
          </w:tcPr>
          <w:p>
            <w:r>
              <w:t>Color contrast (light)</w:t>
            </w:r>
          </w:p>
        </w:tc>
        <w:tc>
          <w:tcPr>
            <w:tcW w:type="dxa" w:w="5184"/>
          </w:tcPr>
          <w:p>
            <w:r>
              <w:t>WCAG luminance ratio calc</w:t>
            </w:r>
          </w:p>
        </w:tc>
        <w:tc>
          <w:tcPr>
            <w:tcW w:type="dxa" w:w="3456"/>
          </w:tcPr>
          <w:p>
            <w:r>
              <w:t>0 failures (all &gt;= 4.5:1)</w:t>
            </w:r>
          </w:p>
        </w:tc>
      </w:tr>
      <w:tr>
        <w:tc>
          <w:tcPr>
            <w:tcW w:type="dxa" w:w="3312"/>
          </w:tcPr>
          <w:p>
            <w:r>
              <w:t>Color contrast (dark)</w:t>
            </w:r>
          </w:p>
        </w:tc>
        <w:tc>
          <w:tcPr>
            <w:tcW w:type="dxa" w:w="5184"/>
          </w:tcPr>
          <w:p>
            <w:r>
              <w:t>WCAG luminance ratio calc</w:t>
            </w:r>
          </w:p>
        </w:tc>
        <w:tc>
          <w:tcPr>
            <w:tcW w:type="dxa" w:w="3456"/>
          </w:tcPr>
          <w:p>
            <w:r>
              <w:t>0 failures (all &gt;= 4.5:1)</w:t>
            </w:r>
          </w:p>
        </w:tc>
      </w:tr>
      <w:tr>
        <w:tc>
          <w:tcPr>
            <w:tcW w:type="dxa" w:w="3312"/>
          </w:tcPr>
          <w:p>
            <w:r>
              <w:t>i18n completeness</w:t>
            </w:r>
          </w:p>
        </w:tc>
        <w:tc>
          <w:tcPr>
            <w:tcW w:type="dxa" w:w="5184"/>
          </w:tcPr>
          <w:p>
            <w:r>
              <w:t>Key/language count audit</w:t>
            </w:r>
          </w:p>
        </w:tc>
        <w:tc>
          <w:tcPr>
            <w:tcW w:type="dxa" w:w="3456"/>
          </w:tcPr>
          <w:p>
            <w:r>
              <w:t>157 keys x 6 langs, balanced</w:t>
            </w:r>
          </w:p>
        </w:tc>
      </w:tr>
      <w:tr>
        <w:tc>
          <w:tcPr>
            <w:tcW w:type="dxa" w:w="3312"/>
          </w:tcPr>
          <w:p>
            <w:r>
              <w:t>Markup integrity</w:t>
            </w:r>
          </w:p>
        </w:tc>
        <w:tc>
          <w:tcPr>
            <w:tcW w:type="dxa" w:w="5184"/>
          </w:tcPr>
          <w:p>
            <w:r>
              <w:t>Structure + closing-tag checks</w:t>
            </w:r>
          </w:p>
        </w:tc>
        <w:tc>
          <w:tcPr>
            <w:tcW w:type="dxa" w:w="3456"/>
          </w:tcPr>
          <w:p>
            <w:r>
              <w:t>PASS</w:t>
            </w:r>
          </w:p>
        </w:tc>
      </w:tr>
    </w:tbl>
    <w:p>
      <w:pPr>
        <w:spacing w:after="140"/>
      </w:pPr>
      <w:r>
        <w:rPr>
          <w:i w:val="0"/>
        </w:rPr>
        <w:t>Example verified values: $200,000 loan at 6% / 30 years = $1,199.10 per month; $100/month at 5% for 10 years = $15,528.23 future value.</w:t>
      </w:r>
    </w:p>
    <w:p>
      <w:pPr>
        <w:spacing w:after="140"/>
      </w:pPr>
      <w:r>
        <w:rPr>
          <w:i/>
          <w:color w:val="666666"/>
        </w:rPr>
        <w:t>Limitation: the review environment blocks headless browsers (Playwright/Puppeteer/jsdom unavailable), so pixel-level rendering was validated by code review plus Chrome device-mode rather than automated screenshots.</w:t>
      </w:r>
    </w:p>
    <w:p>
      <w:pPr>
        <w:spacing w:before="240" w:after="80"/>
      </w:pPr>
      <w:r>
        <w:rPr>
          <w:b/>
          <w:color w:val="0E9C66"/>
          <w:sz w:val="26"/>
        </w:rPr>
        <w:t>4. Defects found &amp; resolved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E8F5EE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296"/>
            <w:shd w:fill="E8F5EE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888"/>
            <w:shd w:fill="E8F5EE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3888"/>
            <w:shd w:fill="E8F5EE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Stale version after redeploy</w:t>
            </w:r>
          </w:p>
        </w:tc>
        <w:tc>
          <w:tcPr>
            <w:tcW w:type="dxa" w:w="1296"/>
          </w:tcPr>
          <w:p>
            <w:r>
              <w:t>High</w:t>
            </w:r>
          </w:p>
        </w:tc>
        <w:tc>
          <w:tcPr>
            <w:tcW w:type="dxa" w:w="3888"/>
          </w:tcPr>
          <w:p>
            <w:r>
              <w:t>Service worker used cache-first; served frozen copy ignoring new deploys</w:t>
            </w:r>
          </w:p>
        </w:tc>
        <w:tc>
          <w:tcPr>
            <w:tcW w:type="dxa" w:w="3888"/>
          </w:tcPr>
          <w:p>
            <w:r>
              <w:t>Rewrote to network-first; bumped cache version; old caches cleared on activate</w:t>
            </w:r>
          </w:p>
        </w:tc>
      </w:tr>
      <w:tr>
        <w:tc>
          <w:tcPr>
            <w:tcW w:type="dxa" w:w="2880"/>
          </w:tcPr>
          <w:p>
            <w:r>
              <w:t>Dark-mode text unreadable (black)</w:t>
            </w:r>
          </w:p>
        </w:tc>
        <w:tc>
          <w:tcPr>
            <w:tcW w:type="dxa" w:w="1296"/>
          </w:tcPr>
          <w:p>
            <w:r>
              <w:t>High</w:t>
            </w:r>
          </w:p>
        </w:tc>
        <w:tc>
          <w:tcPr>
            <w:tcW w:type="dxa" w:w="3888"/>
          </w:tcPr>
          <w:p>
            <w:r>
              <w:t>Button/select text used browser default color, not theme variable</w:t>
            </w:r>
          </w:p>
        </w:tc>
        <w:tc>
          <w:tcPr>
            <w:tcW w:type="dxa" w:w="3888"/>
          </w:tcPr>
          <w:p>
            <w:r>
              <w:t>Buttons inherit color; inputs/selects use theme card color on focus; option styling added</w:t>
            </w:r>
          </w:p>
        </w:tc>
      </w:tr>
      <w:tr>
        <w:tc>
          <w:tcPr>
            <w:tcW w:type="dxa" w:w="2880"/>
          </w:tcPr>
          <w:p>
            <w:r>
              <w:t>Arabic menu would not open</w:t>
            </w:r>
          </w:p>
        </w:tc>
        <w:tc>
          <w:tcPr>
            <w:tcW w:type="dxa" w:w="1296"/>
          </w:tcPr>
          <w:p>
            <w:r>
              <w:t>High</w:t>
            </w:r>
          </w:p>
        </w:tc>
        <w:tc>
          <w:tcPr>
            <w:tcW w:type="dxa" w:w="3888"/>
          </w:tcPr>
          <w:p>
            <w:r>
              <w:t>CSS specificity: RTL rule overrode the 'open' rule</w:t>
            </w:r>
          </w:p>
        </w:tc>
        <w:tc>
          <w:tcPr>
            <w:tcW w:type="dxa" w:w="3888"/>
          </w:tcPr>
          <w:p>
            <w:r>
              <w:t>Added explicit html[dir=rtl] .side.open rule; numbers forced LTR</w:t>
            </w:r>
          </w:p>
        </w:tc>
      </w:tr>
      <w:tr>
        <w:tc>
          <w:tcPr>
            <w:tcW w:type="dxa" w:w="2880"/>
          </w:tcPr>
          <w:p>
            <w:r>
              <w:t>Layout too large on iPhone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3888"/>
          </w:tcPr>
          <w:p>
            <w:r>
              <w:t>Fixed-width element triggered iOS shrink-to-fit</w:t>
            </w:r>
          </w:p>
        </w:tc>
        <w:tc>
          <w:tcPr>
            <w:tcW w:type="dxa" w:w="3888"/>
          </w:tcPr>
          <w:p>
            <w:r>
              <w:t>Added shrink-to-fit=no; removed fixed widths; responsive chart</w:t>
            </w:r>
          </w:p>
        </w:tc>
      </w:tr>
      <w:tr>
        <w:tc>
          <w:tcPr>
            <w:tcW w:type="dxa" w:w="2880"/>
          </w:tcPr>
          <w:p>
            <w:r>
              <w:t>Cramped 2-column on rotate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3888"/>
          </w:tcPr>
          <w:p>
            <w:r>
              <w:t>Landscape phone width treated as tablet</w:t>
            </w:r>
          </w:p>
        </w:tc>
        <w:tc>
          <w:tcPr>
            <w:tcW w:type="dxa" w:w="3888"/>
          </w:tcPr>
          <w:p>
            <w:r>
              <w:t>Single-column whenever sidebar is a drawer</w:t>
            </w:r>
          </w:p>
        </w:tc>
      </w:tr>
      <w:tr>
        <w:tc>
          <w:tcPr>
            <w:tcW w:type="dxa" w:w="2880"/>
          </w:tcPr>
          <w:p>
            <w:r>
              <w:t>Settings panel cut off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3888"/>
          </w:tcPr>
          <w:p>
            <w:r>
              <w:t>Fixed-width dropdown overflowed small screens</w:t>
            </w:r>
          </w:p>
        </w:tc>
        <w:tc>
          <w:tcPr>
            <w:tcW w:type="dxa" w:w="3888"/>
          </w:tcPr>
          <w:p>
            <w:r>
              <w:t>Becomes a full-width bottom sheet on phones</w:t>
            </w:r>
          </w:p>
        </w:tc>
      </w:tr>
      <w:tr>
        <w:tc>
          <w:tcPr>
            <w:tcW w:type="dxa" w:w="2880"/>
          </w:tcPr>
          <w:p>
            <w:r>
              <w:t>Home-screen icon missing (iOS)</w:t>
            </w:r>
          </w:p>
        </w:tc>
        <w:tc>
          <w:tcPr>
            <w:tcW w:type="dxa" w:w="1296"/>
          </w:tcPr>
          <w:p>
            <w:r>
              <w:t>Medium</w:t>
            </w:r>
          </w:p>
        </w:tc>
        <w:tc>
          <w:tcPr>
            <w:tcW w:type="dxa" w:w="3888"/>
          </w:tcPr>
          <w:p>
            <w:r>
              <w:t>Icon had transparent corners; iOS rejects</w:t>
            </w:r>
          </w:p>
        </w:tc>
        <w:tc>
          <w:tcPr>
            <w:tcW w:type="dxa" w:w="3888"/>
          </w:tcPr>
          <w:p>
            <w:r>
              <w:t>Full-bleed PNG icons; sizes + cache-busted links</w:t>
            </w:r>
          </w:p>
        </w:tc>
      </w:tr>
    </w:tbl>
    <w:p>
      <w:pPr>
        <w:spacing w:before="240" w:after="80"/>
      </w:pPr>
      <w:r>
        <w:rPr>
          <w:b/>
          <w:color w:val="0E9C66"/>
          <w:sz w:val="26"/>
        </w:rPr>
        <w:t>5. Accessibility review</w:t>
      </w:r>
    </w:p>
    <w:p>
      <w:pPr>
        <w:pStyle w:val="ListBullet"/>
        <w:spacing w:after="40"/>
      </w:pPr>
      <w:r>
        <w:t>Color contrast meets WCAG 2.1 AA in both themes (verified, 0 failures).</w:t>
      </w:r>
    </w:p>
    <w:p>
      <w:pPr>
        <w:pStyle w:val="ListBullet"/>
        <w:spacing w:after="40"/>
      </w:pPr>
      <w:r>
        <w:t>Semantic landmarks, ARIA labels, aria-current on navigation, and live regions announcing calculator results.</w:t>
      </w:r>
    </w:p>
    <w:p>
      <w:pPr>
        <w:pStyle w:val="ListBullet"/>
        <w:spacing w:after="40"/>
      </w:pPr>
      <w:r>
        <w:t>Full keyboard operation; visible focus outlines; Escape closes dialogs; skip-to-content link.</w:t>
      </w:r>
    </w:p>
    <w:p>
      <w:pPr>
        <w:pStyle w:val="ListBullet"/>
        <w:spacing w:after="40"/>
      </w:pPr>
      <w:r>
        <w:t>Larger-text and high-contrast modes; respects prefers-reduced-motion.</w:t>
      </w:r>
    </w:p>
    <w:p>
      <w:pPr>
        <w:pStyle w:val="ListBullet"/>
        <w:spacing w:after="40"/>
      </w:pPr>
      <w:r>
        <w:t>Meaning never by color alone (arrows/signs on every figure); document lang updates for screen-reader pronunciation.</w:t>
      </w:r>
    </w:p>
    <w:p>
      <w:pPr>
        <w:spacing w:before="240" w:after="80"/>
      </w:pPr>
      <w:r>
        <w:rPr>
          <w:b/>
          <w:color w:val="0E9C66"/>
          <w:sz w:val="26"/>
        </w:rPr>
        <w:t>6. Security &amp; compliance posture</w:t>
      </w:r>
    </w:p>
    <w:p>
      <w:pPr>
        <w:spacing w:after="140"/>
      </w:pPr>
      <w:r>
        <w:rPr>
          <w:i w:val="0"/>
        </w:rPr>
        <w:t>As a demo, the app stores nothing server-side and transmits no data; preferences stay in the browser. The displayed security model (tokenized read-only OAuth, AES-256, SOC 2/ISO 27001/PCI-DSS, biometrics) is illustrative messaging, not implemented infrastructure. A real product must implement these and add KYC/AML, money-transmitter licensing, and a banking partner before handling funds.</w:t>
      </w:r>
    </w:p>
    <w:p>
      <w:pPr>
        <w:spacing w:before="240" w:after="80"/>
      </w:pPr>
      <w:r>
        <w:rPr>
          <w:b/>
          <w:color w:val="0E9C66"/>
          <w:sz w:val="26"/>
        </w:rPr>
        <w:t>7. Known limitations</w:t>
      </w:r>
    </w:p>
    <w:p>
      <w:pPr>
        <w:pStyle w:val="ListBullet"/>
        <w:spacing w:after="40"/>
      </w:pPr>
      <w:r>
        <w:t>All balances, transactions and figures are illustrative sample data.</w:t>
      </w:r>
    </w:p>
    <w:p>
      <w:pPr>
        <w:pStyle w:val="ListBullet"/>
        <w:spacing w:after="40"/>
      </w:pPr>
      <w:r>
        <w:t>'Zero ATM fees' is a reimbursement model (fee refunded, not blocked) — proven by Schwab/Fidelity but requires a banking partner.</w:t>
      </w:r>
    </w:p>
    <w:p>
      <w:pPr>
        <w:pStyle w:val="ListBullet"/>
        <w:spacing w:after="40"/>
      </w:pPr>
      <w:r>
        <w:t>Learn videos link to external YouTube content, not in-app tutorials.</w:t>
      </w:r>
    </w:p>
    <w:p>
      <w:pPr>
        <w:pStyle w:val="ListBullet"/>
        <w:spacing w:after="40"/>
      </w:pPr>
      <w:r>
        <w:t>No backend, authentication, or real account linking.</w:t>
      </w:r>
    </w:p>
    <w:p>
      <w:pPr>
        <w:spacing w:before="240" w:after="80"/>
      </w:pPr>
      <w:r>
        <w:rPr>
          <w:b/>
          <w:color w:val="0E9C66"/>
          <w:sz w:val="26"/>
        </w:rPr>
        <w:t>8. Recommendations (prioritized)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fill="E8F5EE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1520"/>
            <w:shd w:fill="E8F5EE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296"/>
          </w:tcPr>
          <w:p>
            <w:r>
              <w:t>1</w:t>
            </w:r>
          </w:p>
        </w:tc>
        <w:tc>
          <w:tcPr>
            <w:tcW w:type="dxa" w:w="11520"/>
          </w:tcPr>
          <w:p>
            <w:r>
              <w:t>Confirm latest build loads on devices (clear old service worker once); validate Arabic + dark in Chrome device-mode.</w:t>
            </w:r>
          </w:p>
        </w:tc>
      </w:tr>
      <w:tr>
        <w:tc>
          <w:tcPr>
            <w:tcW w:type="dxa" w:w="1296"/>
          </w:tcPr>
          <w:p>
            <w:r>
              <w:t>2</w:t>
            </w:r>
          </w:p>
        </w:tc>
        <w:tc>
          <w:tcPr>
            <w:tcW w:type="dxa" w:w="11520"/>
          </w:tcPr>
          <w:p>
            <w:r>
              <w:t>Publish to GitHub + GitHub Pages for a stable, cache-friendly URL; gather user feedback on the hosted link.</w:t>
            </w:r>
          </w:p>
        </w:tc>
      </w:tr>
      <w:tr>
        <w:tc>
          <w:tcPr>
            <w:tcW w:type="dxa" w:w="1296"/>
          </w:tcPr>
          <w:p>
            <w:r>
              <w:t>3</w:t>
            </w:r>
          </w:p>
        </w:tc>
        <w:tc>
          <w:tcPr>
            <w:tcW w:type="dxa" w:w="11520"/>
          </w:tcPr>
          <w:p>
            <w:r>
              <w:t>If validated, scope an MVP: React Native/Flutter shell + Plaid sandbox + simple backend.</w:t>
            </w:r>
          </w:p>
        </w:tc>
      </w:tr>
      <w:tr>
        <w:tc>
          <w:tcPr>
            <w:tcW w:type="dxa" w:w="1296"/>
          </w:tcPr>
          <w:p>
            <w:r>
              <w:t>4</w:t>
            </w:r>
          </w:p>
        </w:tc>
        <w:tc>
          <w:tcPr>
            <w:tcW w:type="dxa" w:w="11520"/>
          </w:tcPr>
          <w:p>
            <w:r>
              <w:t>Engage a fintech attorney early on licensing and a banking/BaaS partner before any real funds.</w:t>
            </w:r>
          </w:p>
        </w:tc>
      </w:tr>
      <w:tr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11520"/>
          </w:tcPr>
          <w:p>
            <w:r>
              <w:t>Add automated visual/E2E tests (Playwright) in a CI pipeline once a build toolchain exists.</w:t>
            </w:r>
          </w:p>
        </w:tc>
      </w:tr>
    </w:tbl>
    <w:p>
      <w:pPr>
        <w:spacing w:before="240" w:after="80"/>
      </w:pPr>
      <w:r>
        <w:rPr>
          <w:b/>
          <w:color w:val="0E9C66"/>
          <w:sz w:val="26"/>
        </w:rPr>
        <w:t>9. Overall assessment</w:t>
      </w:r>
    </w:p>
    <w:p>
      <w:pPr>
        <w:spacing w:after="140"/>
      </w:pPr>
      <w:r>
        <w:rPr>
          <w:i w:val="0"/>
        </w:rPr>
        <w:t>The prototype is a strong, professional demonstration of the product vision with genuinely verified math and accessibility. It is suitable for user validation, investor conversations, and as a UI reference for a development team. It should not be represented as a functioning bank. Recommended status: APPROVED as a demo; proceed to user validation and production scoping.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