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E9C66"/>
          <w:sz w:val="40"/>
        </w:rPr>
        <w:t>Bull Invest - QA &amp; Architecture Review</w:t>
      </w:r>
    </w:p>
    <w:p>
      <w:pPr>
        <w:spacing w:after="140"/>
      </w:pPr>
      <w:r>
        <w:rPr>
          <w:i/>
          <w:color w:val="666666"/>
        </w:rPr>
        <w:t>Senior engineering review of the Bull Invest prototype: scope, architecture, verification results, defects found and resolved, accessibility, security posture, and recommendations. Updated June 17, 2026 (covers build v2.0).</w:t>
      </w:r>
    </w:p>
    <w:p>
      <w:pPr>
        <w:spacing w:before="240" w:after="80"/>
      </w:pPr>
      <w:r>
        <w:rPr>
          <w:b/>
          <w:color w:val="0E9C66"/>
          <w:sz w:val="26"/>
        </w:rPr>
        <w:t>1. Executive summary</w:t>
      </w:r>
    </w:p>
    <w:p>
      <w:pPr>
        <w:spacing w:after="140"/>
      </w:pPr>
      <w:r>
        <w:rPr>
          <w:i w:val="0"/>
        </w:rPr>
        <w:t>Bull Invest is a single-file, framework-free web application demonstrating a multi-bank personal-finance dashboard with verified financial calculators, six-language support (including right-to-left Arabic), full accessibility, dark mode, installable (PWA) behavior, and - as of v2.0 - retention-oriented engagement features (personalized insights, gamified goals with a streak progress ring and levels, and a monthly budget view). The front end is production-quality for a demo. Becoming a real financial product still requires backend aggregation, a banking partner, and regulatory compliance, which are out of scope for the demo.</w:t>
      </w:r>
    </w:p>
    <w:p>
      <w:pPr>
        <w:spacing w:before="240" w:after="80"/>
      </w:pPr>
      <w:r>
        <w:rPr>
          <w:b/>
          <w:color w:val="0E9C66"/>
          <w:sz w:val="26"/>
        </w:rPr>
        <w:t>2. Architecture overview</w:t>
      </w:r>
    </w:p>
    <w:p>
      <w:pPr>
        <w:pStyle w:val="ListBullet"/>
        <w:spacing w:after="40"/>
      </w:pPr>
      <w:r>
        <w:t>Delivery: static site (HTML/CSS/vanilla JS). No build step, no server. Charts via Chart.js (CDN).</w:t>
      </w:r>
    </w:p>
    <w:p>
      <w:pPr>
        <w:pStyle w:val="ListBullet"/>
        <w:spacing w:after="40"/>
      </w:pPr>
      <w:r>
        <w:t>Entry: index.html loads bull-invest-prototype.html (single-file app); 404.html provides a fallback redirect for GitHub Pages.</w:t>
      </w:r>
    </w:p>
    <w:p>
      <w:pPr>
        <w:pStyle w:val="ListBullet"/>
        <w:spacing w:after="40"/>
      </w:pPr>
      <w:r>
        <w:t>State: in-memory data for accounts/transactions; user preferences (language, theme, text size, contrast) persisted in localStorage.</w:t>
      </w:r>
    </w:p>
    <w:p>
      <w:pPr>
        <w:pStyle w:val="ListBullet"/>
        <w:spacing w:after="40"/>
      </w:pPr>
      <w:r>
        <w:t>i18n: a translation dictionary (166 keys x 6 languages) with a tr() lookup; document lang/dir updated per language; RTL layout for Arabic.</w:t>
      </w:r>
    </w:p>
    <w:p>
      <w:pPr>
        <w:pStyle w:val="ListBullet"/>
        <w:spacing w:after="40"/>
      </w:pPr>
      <w:r>
        <w:t>Finance engine: pure functions FV(), PMT(), GOAL() shared by all calculators and the custom 'code-it' tab.</w:t>
      </w:r>
    </w:p>
    <w:p>
      <w:pPr>
        <w:pStyle w:val="ListBullet"/>
        <w:spacing w:after="40"/>
      </w:pPr>
      <w:r>
        <w:t>Engagement (v2.0): Insights card, gamified goal badges, SVG streak progress ring with a level system, and a transaction-driven monthly budget view.</w:t>
      </w:r>
    </w:p>
    <w:p>
      <w:pPr>
        <w:pStyle w:val="ListBullet"/>
        <w:spacing w:after="40"/>
      </w:pPr>
      <w:r>
        <w:t>Service worker intentionally disabled for the demo (with active unregister) to guarantee fresh loads; app remains installable via manifest.</w:t>
      </w:r>
    </w:p>
    <w:p>
      <w:pPr>
        <w:spacing w:before="240" w:after="80"/>
      </w:pPr>
      <w:r>
        <w:rPr>
          <w:b/>
          <w:color w:val="0E9C66"/>
          <w:sz w:val="26"/>
        </w:rPr>
        <w:t>3. New in v2.0 - engagement features (research-backed)</w:t>
      </w:r>
    </w:p>
    <w:p>
      <w:pPr>
        <w:spacing w:after="140"/>
      </w:pPr>
      <w:r>
        <w:rPr>
          <w:i w:val="0"/>
        </w:rPr>
        <w:t>Added to improve retention, based on 2026 personal-finance app research: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fill="E8F5EE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3744"/>
            <w:shd w:fill="E8F5EE"/>
          </w:tcPr>
          <w:p>
            <w:r>
              <w:rPr>
                <w:b/>
              </w:rPr>
              <w:t>Evidence</w:t>
            </w:r>
          </w:p>
        </w:tc>
        <w:tc>
          <w:tcPr>
            <w:tcW w:type="dxa" w:w="3888"/>
            <w:shd w:fill="E8F5EE"/>
          </w:tcPr>
          <w:p>
            <w:r>
              <w:rPr>
                <w:b/>
              </w:rPr>
              <w:t>Implementation</w:t>
            </w:r>
          </w:p>
        </w:tc>
      </w:tr>
      <w:tr>
        <w:tc>
          <w:tcPr>
            <w:tcW w:type="dxa" w:w="3600"/>
          </w:tcPr>
          <w:p>
            <w:r>
              <w:t>Gamified goals (On track / Behind badges, levels)</w:t>
            </w:r>
          </w:p>
        </w:tc>
        <w:tc>
          <w:tcPr>
            <w:tcW w:type="dxa" w:w="3744"/>
          </w:tcPr>
          <w:p>
            <w:r>
              <w:t>~+32% retention with milestone gamification</w:t>
            </w:r>
          </w:p>
        </w:tc>
        <w:tc>
          <w:tcPr>
            <w:tcW w:type="dxa" w:w="3888"/>
          </w:tcPr>
          <w:p>
            <w:r>
              <w:t>Status badges on goal cards; level system on the savings streak</w:t>
            </w:r>
          </w:p>
        </w:tc>
      </w:tr>
      <w:tr>
        <w:tc>
          <w:tcPr>
            <w:tcW w:type="dxa" w:w="3600"/>
          </w:tcPr>
          <w:p>
            <w:r>
              <w:t>Personalized Insights card</w:t>
            </w:r>
          </w:p>
        </w:tc>
        <w:tc>
          <w:tcPr>
            <w:tcW w:type="dxa" w:w="3744"/>
          </w:tcPr>
          <w:p>
            <w:r>
              <w:t>~+27% daily active usage</w:t>
            </w:r>
          </w:p>
        </w:tc>
        <w:tc>
          <w:tcPr>
            <w:tcW w:type="dxa" w:w="3888"/>
          </w:tcPr>
          <w:p>
            <w:r>
              <w:t>Saved-this-month, savings streak, goals-on-track tiles</w:t>
            </w:r>
          </w:p>
        </w:tc>
      </w:tr>
      <w:tr>
        <w:tc>
          <w:tcPr>
            <w:tcW w:type="dxa" w:w="3600"/>
          </w:tcPr>
          <w:p>
            <w:r>
              <w:t>Streak progress ring + levels</w:t>
            </w:r>
          </w:p>
        </w:tc>
        <w:tc>
          <w:tcPr>
            <w:tcW w:type="dxa" w:w="3744"/>
          </w:tcPr>
          <w:p>
            <w:r>
              <w:t>Milestone/streak mechanics drive return visits</w:t>
            </w:r>
          </w:p>
        </w:tc>
        <w:tc>
          <w:tcPr>
            <w:tcW w:type="dxa" w:w="3888"/>
          </w:tcPr>
          <w:p>
            <w:r>
              <w:t>SVG progress ring (6/12 to next level), Level indicator</w:t>
            </w:r>
          </w:p>
        </w:tc>
      </w:tr>
      <w:tr>
        <w:tc>
          <w:tcPr>
            <w:tcW w:type="dxa" w:w="3600"/>
          </w:tcPr>
          <w:p>
            <w:r>
              <w:t>Monthly budget / spending view</w:t>
            </w:r>
          </w:p>
        </w:tc>
        <w:tc>
          <w:tcPr>
            <w:tcW w:type="dxa" w:w="3744"/>
          </w:tcPr>
          <w:p>
            <w:r>
              <w:t>Budgeting + forecasting is a top-requested PFM feature</w:t>
            </w:r>
          </w:p>
        </w:tc>
        <w:tc>
          <w:tcPr>
            <w:tcW w:type="dxa" w:w="3888"/>
          </w:tcPr>
          <w:p>
            <w:r>
              <w:t>Category spend bars vs budget, computed from transactions</w:t>
            </w:r>
          </w:p>
        </w:tc>
      </w:tr>
    </w:tbl>
    <w:p>
      <w:pPr>
        <w:spacing w:before="240" w:after="80"/>
      </w:pPr>
      <w:r>
        <w:rPr>
          <w:b/>
          <w:color w:val="0E9C66"/>
          <w:sz w:val="26"/>
        </w:rPr>
        <w:t>4. Verification &amp; test results</w:t>
      </w:r>
    </w:p>
    <w:p>
      <w:pPr>
        <w:spacing w:after="140"/>
      </w:pPr>
      <w:r>
        <w:rPr>
          <w:i w:val="0"/>
        </w:rPr>
        <w:t>Automated Node tests (no browser needed) re-run after each change and in GitHub Actions CI.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312"/>
            <w:shd w:fill="E8F5EE"/>
          </w:tcPr>
          <w:p>
            <w:r>
              <w:rPr>
                <w:b/>
              </w:rPr>
              <w:t>Area</w:t>
            </w:r>
          </w:p>
        </w:tc>
        <w:tc>
          <w:tcPr>
            <w:tcW w:type="dxa" w:w="5184"/>
            <w:shd w:fill="E8F5EE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3456"/>
            <w:shd w:fill="E8F5EE"/>
          </w:tcPr>
          <w:p>
            <w:r>
              <w:rPr>
                <w:b/>
              </w:rPr>
              <w:t>Result</w:t>
            </w:r>
          </w:p>
        </w:tc>
      </w:tr>
      <w:tr>
        <w:tc>
          <w:tcPr>
            <w:tcW w:type="dxa" w:w="3312"/>
          </w:tcPr>
          <w:p>
            <w:r>
              <w:t>Finance formulas</w:t>
            </w:r>
          </w:p>
        </w:tc>
        <w:tc>
          <w:tcPr>
            <w:tcW w:type="dxa" w:w="5184"/>
          </w:tcPr>
          <w:p>
            <w:r>
              <w:t>Node unit tests vs textbook values</w:t>
            </w:r>
          </w:p>
        </w:tc>
        <w:tc>
          <w:tcPr>
            <w:tcW w:type="dxa" w:w="3456"/>
          </w:tcPr>
          <w:p>
            <w:r>
              <w:t>8 / 8 PASS</w:t>
            </w:r>
          </w:p>
        </w:tc>
      </w:tr>
      <w:tr>
        <w:tc>
          <w:tcPr>
            <w:tcW w:type="dxa" w:w="3312"/>
          </w:tcPr>
          <w:p>
            <w:r>
              <w:t>Color contrast (light)</w:t>
            </w:r>
          </w:p>
        </w:tc>
        <w:tc>
          <w:tcPr>
            <w:tcW w:type="dxa" w:w="5184"/>
          </w:tcPr>
          <w:p>
            <w:r>
              <w:t>WCAG luminance ratio</w:t>
            </w:r>
          </w:p>
        </w:tc>
        <w:tc>
          <w:tcPr>
            <w:tcW w:type="dxa" w:w="3456"/>
          </w:tcPr>
          <w:p>
            <w:r>
              <w:t>0 failures (&gt;= 4.5:1)</w:t>
            </w:r>
          </w:p>
        </w:tc>
      </w:tr>
      <w:tr>
        <w:tc>
          <w:tcPr>
            <w:tcW w:type="dxa" w:w="3312"/>
          </w:tcPr>
          <w:p>
            <w:r>
              <w:t>Color contrast (dark)</w:t>
            </w:r>
          </w:p>
        </w:tc>
        <w:tc>
          <w:tcPr>
            <w:tcW w:type="dxa" w:w="5184"/>
          </w:tcPr>
          <w:p>
            <w:r>
              <w:t>WCAG luminance ratio</w:t>
            </w:r>
          </w:p>
        </w:tc>
        <w:tc>
          <w:tcPr>
            <w:tcW w:type="dxa" w:w="3456"/>
          </w:tcPr>
          <w:p>
            <w:r>
              <w:t>0 failures (&gt;= 4.5:1)</w:t>
            </w:r>
          </w:p>
        </w:tc>
      </w:tr>
      <w:tr>
        <w:tc>
          <w:tcPr>
            <w:tcW w:type="dxa" w:w="3312"/>
          </w:tcPr>
          <w:p>
            <w:r>
              <w:t>i18n completeness</w:t>
            </w:r>
          </w:p>
        </w:tc>
        <w:tc>
          <w:tcPr>
            <w:tcW w:type="dxa" w:w="5184"/>
          </w:tcPr>
          <w:p>
            <w:r>
              <w:t>Key/language audit</w:t>
            </w:r>
          </w:p>
        </w:tc>
        <w:tc>
          <w:tcPr>
            <w:tcW w:type="dxa" w:w="3456"/>
          </w:tcPr>
          <w:p>
            <w:r>
              <w:t>166 keys x 6 langs, balanced</w:t>
            </w:r>
          </w:p>
        </w:tc>
      </w:tr>
      <w:tr>
        <w:tc>
          <w:tcPr>
            <w:tcW w:type="dxa" w:w="3312"/>
          </w:tcPr>
          <w:p>
            <w:r>
              <w:t>Markup integrity</w:t>
            </w:r>
          </w:p>
        </w:tc>
        <w:tc>
          <w:tcPr>
            <w:tcW w:type="dxa" w:w="5184"/>
          </w:tcPr>
          <w:p>
            <w:r>
              <w:t>Structure + closing checks</w:t>
            </w:r>
          </w:p>
        </w:tc>
        <w:tc>
          <w:tcPr>
            <w:tcW w:type="dxa" w:w="3456"/>
          </w:tcPr>
          <w:p>
            <w:r>
              <w:t>PASS</w:t>
            </w:r>
          </w:p>
        </w:tc>
      </w:tr>
    </w:tbl>
    <w:p>
      <w:pPr>
        <w:spacing w:after="140"/>
      </w:pPr>
      <w:r>
        <w:rPr>
          <w:i/>
          <w:color w:val="666666"/>
        </w:rPr>
        <w:t>Limitation: the review environment blocks headless browsers, so pixel-level rendering is validated by code review plus Chrome device-mode rather than automated screenshots.</w:t>
      </w:r>
    </w:p>
    <w:p>
      <w:pPr>
        <w:spacing w:before="240" w:after="80"/>
      </w:pPr>
      <w:r>
        <w:rPr>
          <w:b/>
          <w:color w:val="0E9C66"/>
          <w:sz w:val="26"/>
        </w:rPr>
        <w:t>5. Defects found &amp; resolved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68"/>
            <w:shd w:fill="E8F5EE"/>
          </w:tcPr>
          <w:p>
            <w:r>
              <w:rPr>
                <w:b/>
              </w:rPr>
              <w:t>Issue</w:t>
            </w:r>
          </w:p>
        </w:tc>
        <w:tc>
          <w:tcPr>
            <w:tcW w:type="dxa" w:w="1440"/>
            <w:shd w:fill="E8F5EE"/>
          </w:tcPr>
          <w:p>
            <w:r>
              <w:rPr>
                <w:b/>
              </w:rPr>
              <w:t>Severity</w:t>
            </w:r>
          </w:p>
        </w:tc>
        <w:tc>
          <w:tcPr>
            <w:tcW w:type="dxa" w:w="7344"/>
            <w:shd w:fill="E8F5EE"/>
          </w:tcPr>
          <w:p>
            <w:r>
              <w:rPr>
                <w:b/>
              </w:rPr>
              <w:t>Resolution</w:t>
            </w:r>
          </w:p>
        </w:tc>
      </w:tr>
      <w:tr>
        <w:tc>
          <w:tcPr>
            <w:tcW w:type="dxa" w:w="3168"/>
          </w:tcPr>
          <w:p>
            <w:r>
              <w:t>Stale build after redeploy</w:t>
            </w:r>
          </w:p>
        </w:tc>
        <w:tc>
          <w:tcPr>
            <w:tcW w:type="dxa" w:w="1440"/>
          </w:tcPr>
          <w:p>
            <w:r>
              <w:t>High</w:t>
            </w:r>
          </w:p>
        </w:tc>
        <w:tc>
          <w:tcPr>
            <w:tcW w:type="dxa" w:w="7344"/>
          </w:tcPr>
          <w:p>
            <w:r>
              <w:t>Cache-first service worker replaced with active unregister; GitHub Pages (fresh origin) recommended</w:t>
            </w:r>
          </w:p>
        </w:tc>
      </w:tr>
      <w:tr>
        <w:tc>
          <w:tcPr>
            <w:tcW w:type="dxa" w:w="3168"/>
          </w:tcPr>
          <w:p>
            <w:r>
              <w:t>Dark-mode text unreadable</w:t>
            </w:r>
          </w:p>
        </w:tc>
        <w:tc>
          <w:tcPr>
            <w:tcW w:type="dxa" w:w="1440"/>
          </w:tcPr>
          <w:p>
            <w:r>
              <w:t>High</w:t>
            </w:r>
          </w:p>
        </w:tc>
        <w:tc>
          <w:tcPr>
            <w:tcW w:type="dxa" w:w="7344"/>
          </w:tcPr>
          <w:p>
            <w:r>
              <w:t>Buttons inherit theme color; inputs/selects use card background on focus; option styling</w:t>
            </w:r>
          </w:p>
        </w:tc>
      </w:tr>
      <w:tr>
        <w:tc>
          <w:tcPr>
            <w:tcW w:type="dxa" w:w="3168"/>
          </w:tcPr>
          <w:p>
            <w:r>
              <w:t>Arabic menu would not open</w:t>
            </w:r>
          </w:p>
        </w:tc>
        <w:tc>
          <w:tcPr>
            <w:tcW w:type="dxa" w:w="1440"/>
          </w:tcPr>
          <w:p>
            <w:r>
              <w:t>High</w:t>
            </w:r>
          </w:p>
        </w:tc>
        <w:tc>
          <w:tcPr>
            <w:tcW w:type="dxa" w:w="7344"/>
          </w:tcPr>
          <w:p>
            <w:r>
              <w:t>Explicit RTL 'open' rule; numbers forced left-to-right</w:t>
            </w:r>
          </w:p>
        </w:tc>
      </w:tr>
      <w:tr>
        <w:tc>
          <w:tcPr>
            <w:tcW w:type="dxa" w:w="3168"/>
          </w:tcPr>
          <w:p>
            <w:r>
              <w:t>Too large on iPhone</w:t>
            </w:r>
          </w:p>
        </w:tc>
        <w:tc>
          <w:tcPr>
            <w:tcW w:type="dxa" w:w="1440"/>
          </w:tcPr>
          <w:p>
            <w:r>
              <w:t>Medium</w:t>
            </w:r>
          </w:p>
        </w:tc>
        <w:tc>
          <w:tcPr>
            <w:tcW w:type="dxa" w:w="7344"/>
          </w:tcPr>
          <w:p>
            <w:r>
              <w:t>shrink-to-fit=no; removed fixed widths; responsive chart</w:t>
            </w:r>
          </w:p>
        </w:tc>
      </w:tr>
      <w:tr>
        <w:tc>
          <w:tcPr>
            <w:tcW w:type="dxa" w:w="3168"/>
          </w:tcPr>
          <w:p>
            <w:r>
              <w:t>Cramped on rotate</w:t>
            </w:r>
          </w:p>
        </w:tc>
        <w:tc>
          <w:tcPr>
            <w:tcW w:type="dxa" w:w="1440"/>
          </w:tcPr>
          <w:p>
            <w:r>
              <w:t>Medium</w:t>
            </w:r>
          </w:p>
        </w:tc>
        <w:tc>
          <w:tcPr>
            <w:tcW w:type="dxa" w:w="7344"/>
          </w:tcPr>
          <w:p>
            <w:r>
              <w:t>Single-column whenever sidebar is a drawer</w:t>
            </w:r>
          </w:p>
        </w:tc>
      </w:tr>
      <w:tr>
        <w:tc>
          <w:tcPr>
            <w:tcW w:type="dxa" w:w="3168"/>
          </w:tcPr>
          <w:p>
            <w:r>
              <w:t>Settings cut off / icon missing on iOS</w:t>
            </w:r>
          </w:p>
        </w:tc>
        <w:tc>
          <w:tcPr>
            <w:tcW w:type="dxa" w:w="1440"/>
          </w:tcPr>
          <w:p>
            <w:r>
              <w:t>Medium</w:t>
            </w:r>
          </w:p>
        </w:tc>
        <w:tc>
          <w:tcPr>
            <w:tcW w:type="dxa" w:w="7344"/>
          </w:tcPr>
          <w:p>
            <w:r>
              <w:t>Bottom-sheet settings; full-bleed PNG icons with sized, cache-busted links</w:t>
            </w:r>
          </w:p>
        </w:tc>
      </w:tr>
    </w:tbl>
    <w:p>
      <w:pPr>
        <w:spacing w:before="240" w:after="80"/>
      </w:pPr>
      <w:r>
        <w:rPr>
          <w:b/>
          <w:color w:val="0E9C66"/>
          <w:sz w:val="26"/>
        </w:rPr>
        <w:t>6. Accessibility</w:t>
      </w:r>
    </w:p>
    <w:p>
      <w:pPr>
        <w:pStyle w:val="ListBullet"/>
        <w:spacing w:after="40"/>
      </w:pPr>
      <w:r>
        <w:t>WCAG 2.1 AA contrast in both themes (verified, 0 failures), including the new insight ring and badges.</w:t>
      </w:r>
    </w:p>
    <w:p>
      <w:pPr>
        <w:pStyle w:val="ListBullet"/>
        <w:spacing w:after="40"/>
      </w:pPr>
      <w:r>
        <w:t>Landmarks, ARIA labels, aria-current, live regions; full keyboard operation; visible focus; reduced-motion respected.</w:t>
      </w:r>
    </w:p>
    <w:p>
      <w:pPr>
        <w:spacing w:before="240" w:after="80"/>
      </w:pPr>
      <w:r>
        <w:rPr>
          <w:b/>
          <w:color w:val="0E9C66"/>
          <w:sz w:val="26"/>
        </w:rPr>
        <w:t>7. Security &amp; compliance posture</w:t>
      </w:r>
    </w:p>
    <w:p>
      <w:pPr>
        <w:spacing w:after="140"/>
      </w:pPr>
      <w:r>
        <w:rPr>
          <w:i w:val="0"/>
        </w:rPr>
        <w:t>As a demo the app stores nothing server-side and transmits no data; preferences stay in the browser. The security model shown (tokenized read-only OAuth, AES-256, SOC 2/ISO 27001/PCI-DSS, biometrics) is illustrative; a real product must implement it and add KYC/AML, money-transmitter licensing, and a banking partner.</w:t>
      </w:r>
    </w:p>
    <w:p>
      <w:pPr>
        <w:spacing w:before="240" w:after="80"/>
      </w:pPr>
      <w:r>
        <w:rPr>
          <w:b/>
          <w:color w:val="0E9C66"/>
          <w:sz w:val="26"/>
        </w:rPr>
        <w:t>8. Recommendations (prioritized)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296"/>
            <w:shd w:fill="E8F5EE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1376"/>
            <w:shd w:fill="E8F5EE"/>
          </w:tcPr>
          <w:p>
            <w:r>
              <w:rPr>
                <w:b/>
              </w:rPr>
              <w:t>Recommendation</w:t>
            </w:r>
          </w:p>
        </w:tc>
      </w:tr>
      <w:tr>
        <w:tc>
          <w:tcPr>
            <w:tcW w:type="dxa" w:w="1296"/>
          </w:tcPr>
          <w:p>
            <w:r>
              <w:t>1</w:t>
            </w:r>
          </w:p>
        </w:tc>
        <w:tc>
          <w:tcPr>
            <w:tcW w:type="dxa" w:w="11376"/>
          </w:tcPr>
          <w:p>
            <w:r>
              <w:t>Enable GitHub Pages (Deploy from branch -&gt; main, public repo) and confirm the live demo loads.</w:t>
            </w:r>
          </w:p>
        </w:tc>
      </w:tr>
      <w:tr>
        <w:tc>
          <w:tcPr>
            <w:tcW w:type="dxa" w:w="1296"/>
          </w:tcPr>
          <w:p>
            <w:r>
              <w:t>2</w:t>
            </w:r>
          </w:p>
        </w:tc>
        <w:tc>
          <w:tcPr>
            <w:tcW w:type="dxa" w:w="11376"/>
          </w:tcPr>
          <w:p>
            <w:r>
              <w:t>User-test the hosted link; measure whether the v2.0 engagement features lift return visits.</w:t>
            </w:r>
          </w:p>
        </w:tc>
      </w:tr>
      <w:tr>
        <w:tc>
          <w:tcPr>
            <w:tcW w:type="dxa" w:w="1296"/>
          </w:tcPr>
          <w:p>
            <w:r>
              <w:t>3</w:t>
            </w:r>
          </w:p>
        </w:tc>
        <w:tc>
          <w:tcPr>
            <w:tcW w:type="dxa" w:w="11376"/>
          </w:tcPr>
          <w:p>
            <w:r>
              <w:t>Scope an MVP: React Native/Flutter shell + Plaid sandbox + simple backend.</w:t>
            </w:r>
          </w:p>
        </w:tc>
      </w:tr>
      <w:tr>
        <w:tc>
          <w:tcPr>
            <w:tcW w:type="dxa" w:w="1296"/>
          </w:tcPr>
          <w:p>
            <w:r>
              <w:t>4</w:t>
            </w:r>
          </w:p>
        </w:tc>
        <w:tc>
          <w:tcPr>
            <w:tcW w:type="dxa" w:w="11376"/>
          </w:tcPr>
          <w:p>
            <w:r>
              <w:t>Engage a fintech attorney on licensing and a banking/BaaS partner before real funds.</w:t>
            </w:r>
          </w:p>
        </w:tc>
      </w:tr>
      <w:tr>
        <w:tc>
          <w:tcPr>
            <w:tcW w:type="dxa" w:w="1296"/>
          </w:tcPr>
          <w:p>
            <w:r>
              <w:t>5</w:t>
            </w:r>
          </w:p>
        </w:tc>
        <w:tc>
          <w:tcPr>
            <w:tcW w:type="dxa" w:w="11376"/>
          </w:tcPr>
          <w:p>
            <w:r>
              <w:t>Add Playwright visual/E2E tests to CI once a build toolchain exists.</w:t>
            </w:r>
          </w:p>
        </w:tc>
      </w:tr>
    </w:tbl>
    <w:p>
      <w:pPr>
        <w:spacing w:before="240" w:after="80"/>
      </w:pPr>
      <w:r>
        <w:rPr>
          <w:b/>
          <w:color w:val="0E9C66"/>
          <w:sz w:val="26"/>
        </w:rPr>
        <w:t>9. Overall assessment</w:t>
      </w:r>
    </w:p>
    <w:p>
      <w:pPr>
        <w:spacing w:after="140"/>
      </w:pPr>
      <w:r>
        <w:rPr>
          <w:i w:val="0"/>
        </w:rPr>
        <w:t>A strong, professional demonstration with verified math, accessibility, and now research-backed engagement mechanics. Suitable for user validation and investor conversations; not to be represented as a functioning bank. Status: APPROVED as a demo.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