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4DB2F9" w14:textId="5EEB0E80" w:rsidR="00597ACC" w:rsidRPr="00597ACC" w:rsidRDefault="00597ACC" w:rsidP="00976C55">
      <w:pPr>
        <w:spacing w:line="240" w:lineRule="auto"/>
        <w:jc w:val="both"/>
        <w:rPr>
          <w:rFonts w:ascii="Calibri" w:eastAsia="Calibri" w:hAnsi="Calibri" w:cs="Calibri"/>
          <w:sz w:val="24"/>
          <w:szCs w:val="24"/>
          <w:lang w:val="en-GB"/>
        </w:rPr>
      </w:pPr>
      <w:r w:rsidRPr="00597ACC">
        <w:rPr>
          <w:rFonts w:ascii="Calibri" w:eastAsia="Calibri" w:hAnsi="Calibri" w:cs="Calibri"/>
          <w:sz w:val="24"/>
          <w:szCs w:val="24"/>
          <w:lang w:val="en-GB"/>
        </w:rPr>
        <w:t>The General Data Protection Regulation (EU) 2016/679 (GDPR) is a regulation in EU law on data protection and privacy for all individual citizens of the EU and the EEA. One of GDPR’s</w:t>
      </w:r>
      <w:r w:rsidR="00965292">
        <w:rPr>
          <w:rFonts w:ascii="Calibri" w:eastAsia="Calibri" w:hAnsi="Calibri" w:cs="Calibri"/>
          <w:sz w:val="24"/>
          <w:szCs w:val="24"/>
          <w:lang w:val="en-GB"/>
        </w:rPr>
        <w:t xml:space="preserve"> aims</w:t>
      </w:r>
      <w:r w:rsidRPr="00597ACC">
        <w:rPr>
          <w:rFonts w:ascii="Calibri" w:eastAsia="Calibri" w:hAnsi="Calibri" w:cs="Calibri"/>
          <w:sz w:val="24"/>
          <w:szCs w:val="24"/>
          <w:lang w:val="en-GB"/>
        </w:rPr>
        <w:t xml:space="preserve"> is to protect individuals and give them control over their personal data. The regulation is extensive and therefore it is important to know how to imply it properly. The method of how a lawyer should go about a legal question regarding the processing of personal dat</w:t>
      </w:r>
      <w:r w:rsidR="00965292">
        <w:rPr>
          <w:rFonts w:ascii="Calibri" w:eastAsia="Calibri" w:hAnsi="Calibri" w:cs="Calibri"/>
          <w:sz w:val="24"/>
          <w:szCs w:val="24"/>
          <w:lang w:val="en-GB"/>
        </w:rPr>
        <w:t xml:space="preserve">a is found in the regulation and </w:t>
      </w:r>
      <w:r w:rsidRPr="00597ACC">
        <w:rPr>
          <w:rFonts w:ascii="Calibri" w:eastAsia="Calibri" w:hAnsi="Calibri" w:cs="Calibri"/>
          <w:sz w:val="24"/>
          <w:szCs w:val="24"/>
          <w:lang w:val="en-GB"/>
        </w:rPr>
        <w:t xml:space="preserve">key </w:t>
      </w:r>
      <w:r w:rsidR="00965292">
        <w:rPr>
          <w:rFonts w:ascii="Calibri" w:eastAsia="Calibri" w:hAnsi="Calibri" w:cs="Calibri"/>
          <w:sz w:val="24"/>
          <w:szCs w:val="24"/>
          <w:lang w:val="en-GB"/>
        </w:rPr>
        <w:t>articles</w:t>
      </w:r>
      <w:r w:rsidRPr="00597ACC">
        <w:rPr>
          <w:rFonts w:ascii="Calibri" w:eastAsia="Calibri" w:hAnsi="Calibri" w:cs="Calibri"/>
          <w:sz w:val="24"/>
          <w:szCs w:val="24"/>
          <w:lang w:val="en-GB"/>
        </w:rPr>
        <w:t xml:space="preserve"> will be </w:t>
      </w:r>
      <w:r w:rsidR="00D96E94">
        <w:rPr>
          <w:rFonts w:ascii="Calibri" w:eastAsia="Calibri" w:hAnsi="Calibri" w:cs="Calibri"/>
          <w:sz w:val="24"/>
          <w:szCs w:val="24"/>
          <w:lang w:val="en-GB"/>
        </w:rPr>
        <w:t xml:space="preserve">chronically </w:t>
      </w:r>
      <w:r w:rsidRPr="00597ACC">
        <w:rPr>
          <w:rFonts w:ascii="Calibri" w:eastAsia="Calibri" w:hAnsi="Calibri" w:cs="Calibri"/>
          <w:sz w:val="24"/>
          <w:szCs w:val="24"/>
          <w:lang w:val="en-GB"/>
        </w:rPr>
        <w:t xml:space="preserve">presented below. The lawyer in this </w:t>
      </w:r>
      <w:r w:rsidR="00976C55">
        <w:rPr>
          <w:rFonts w:ascii="Calibri" w:eastAsia="Calibri" w:hAnsi="Calibri" w:cs="Calibri"/>
          <w:sz w:val="24"/>
          <w:szCs w:val="24"/>
          <w:lang w:val="en-GB"/>
        </w:rPr>
        <w:t>memorandum</w:t>
      </w:r>
      <w:r w:rsidRPr="00597ACC">
        <w:rPr>
          <w:rFonts w:ascii="Calibri" w:eastAsia="Calibri" w:hAnsi="Calibri" w:cs="Calibri"/>
          <w:sz w:val="24"/>
          <w:szCs w:val="24"/>
          <w:lang w:val="en-GB"/>
        </w:rPr>
        <w:t xml:space="preserve"> is advising his/her employer within the EU regarding whether the company has legal right to process a type of personal data. </w:t>
      </w:r>
    </w:p>
    <w:p w14:paraId="05DEB178" w14:textId="77ABE27A" w:rsidR="00597ACC" w:rsidRPr="00597ACC" w:rsidRDefault="00597ACC" w:rsidP="008E4428">
      <w:pPr>
        <w:spacing w:line="240" w:lineRule="auto"/>
        <w:jc w:val="both"/>
        <w:rPr>
          <w:rFonts w:ascii="Calibri" w:eastAsia="Calibri" w:hAnsi="Calibri" w:cs="Calibri"/>
          <w:sz w:val="24"/>
          <w:szCs w:val="24"/>
          <w:lang w:val="en-GB"/>
        </w:rPr>
      </w:pPr>
      <w:r w:rsidRPr="00597ACC">
        <w:rPr>
          <w:rFonts w:ascii="Calibri" w:eastAsia="Calibri" w:hAnsi="Calibri" w:cs="Calibri"/>
          <w:sz w:val="24"/>
          <w:szCs w:val="24"/>
          <w:lang w:val="en-GB"/>
        </w:rPr>
        <w:t xml:space="preserve">The first question that should be answered is whether GDPR is applicable, which it is if it operates within the EU or if somebody outside of the EU provides services within the EU. Article 2 of the regulation presents its material scope. GDPR applies to the processing of personal data wholly or partially by automated means and to the processing other than by automated means of personal data which form part of a filing system. Definitions of words are found in article 4. Personal data is any information relating to an identified or </w:t>
      </w:r>
      <w:r w:rsidRPr="00597ACC">
        <w:rPr>
          <w:rFonts w:ascii="Calibri" w:eastAsia="Calibri" w:hAnsi="Calibri" w:cs="Calibri"/>
          <w:i/>
          <w:sz w:val="24"/>
          <w:szCs w:val="24"/>
          <w:lang w:val="en-GB"/>
        </w:rPr>
        <w:t>identifiable</w:t>
      </w:r>
      <w:r w:rsidRPr="00597ACC">
        <w:rPr>
          <w:rFonts w:ascii="Calibri" w:eastAsia="Calibri" w:hAnsi="Calibri" w:cs="Calibri"/>
          <w:sz w:val="24"/>
          <w:szCs w:val="24"/>
          <w:lang w:val="en-GB"/>
        </w:rPr>
        <w:t xml:space="preserve"> natural person, </w:t>
      </w:r>
      <w:r w:rsidR="004A6906">
        <w:rPr>
          <w:rFonts w:ascii="Calibri" w:eastAsia="Calibri" w:hAnsi="Calibri" w:cs="Calibri"/>
          <w:sz w:val="24"/>
          <w:szCs w:val="24"/>
          <w:lang w:val="en-GB"/>
        </w:rPr>
        <w:t>the “data subject</w:t>
      </w:r>
      <w:r w:rsidRPr="00597ACC">
        <w:rPr>
          <w:rFonts w:ascii="Calibri" w:eastAsia="Calibri" w:hAnsi="Calibri" w:cs="Calibri"/>
          <w:sz w:val="24"/>
          <w:szCs w:val="24"/>
          <w:lang w:val="en-GB"/>
        </w:rPr>
        <w:t>”</w:t>
      </w:r>
      <w:r w:rsidR="004A6906">
        <w:rPr>
          <w:rFonts w:ascii="Calibri" w:eastAsia="Calibri" w:hAnsi="Calibri" w:cs="Calibri"/>
          <w:sz w:val="24"/>
          <w:szCs w:val="24"/>
          <w:lang w:val="en-GB"/>
        </w:rPr>
        <w:t>.</w:t>
      </w:r>
      <w:r w:rsidRPr="00597ACC">
        <w:rPr>
          <w:rFonts w:ascii="Calibri" w:eastAsia="Calibri" w:hAnsi="Calibri" w:cs="Calibri"/>
          <w:sz w:val="24"/>
          <w:szCs w:val="24"/>
          <w:lang w:val="en-GB"/>
        </w:rPr>
        <w:t xml:space="preserve"> </w:t>
      </w:r>
      <w:r w:rsidR="00D96E94">
        <w:rPr>
          <w:rFonts w:ascii="Calibri" w:eastAsia="Calibri" w:hAnsi="Calibri" w:cs="Calibri"/>
          <w:sz w:val="24"/>
          <w:szCs w:val="24"/>
          <w:lang w:val="en-GB"/>
        </w:rPr>
        <w:t>An</w:t>
      </w:r>
      <w:r w:rsidR="00D96E94" w:rsidRPr="00D96E94">
        <w:rPr>
          <w:rFonts w:ascii="Calibri" w:eastAsia="Calibri" w:hAnsi="Calibri" w:cs="Calibri"/>
          <w:sz w:val="24"/>
          <w:szCs w:val="24"/>
          <w:lang w:val="en-GB"/>
        </w:rPr>
        <w:t xml:space="preserve"> identifiable natural person is one who can be iden</w:t>
      </w:r>
      <w:r w:rsidR="008E4428">
        <w:rPr>
          <w:rFonts w:ascii="Calibri" w:eastAsia="Calibri" w:hAnsi="Calibri" w:cs="Calibri"/>
          <w:sz w:val="24"/>
          <w:szCs w:val="24"/>
          <w:lang w:val="en-GB"/>
        </w:rPr>
        <w:t>tified, directly or indirectly</w:t>
      </w:r>
      <w:r w:rsidR="00D96E94" w:rsidRPr="00D96E94">
        <w:rPr>
          <w:rFonts w:ascii="Calibri" w:eastAsia="Calibri" w:hAnsi="Calibri" w:cs="Calibri"/>
          <w:sz w:val="24"/>
          <w:szCs w:val="24"/>
          <w:lang w:val="en-GB"/>
        </w:rPr>
        <w:t xml:space="preserve"> by reference </w:t>
      </w:r>
      <w:r w:rsidR="00D96E94">
        <w:rPr>
          <w:rFonts w:ascii="Calibri" w:eastAsia="Calibri" w:hAnsi="Calibri" w:cs="Calibri"/>
          <w:sz w:val="24"/>
          <w:szCs w:val="24"/>
          <w:lang w:val="en-GB"/>
        </w:rPr>
        <w:t>to</w:t>
      </w:r>
      <w:r w:rsidR="008E4428">
        <w:rPr>
          <w:rFonts w:ascii="Calibri" w:eastAsia="Calibri" w:hAnsi="Calibri" w:cs="Calibri"/>
          <w:sz w:val="24"/>
          <w:szCs w:val="24"/>
          <w:lang w:val="en-GB"/>
        </w:rPr>
        <w:t xml:space="preserve"> an identifier such as a name or</w:t>
      </w:r>
      <w:r w:rsidR="00D96E94">
        <w:rPr>
          <w:rFonts w:ascii="Calibri" w:eastAsia="Calibri" w:hAnsi="Calibri" w:cs="Calibri"/>
          <w:sz w:val="24"/>
          <w:szCs w:val="24"/>
          <w:lang w:val="en-GB"/>
        </w:rPr>
        <w:t xml:space="preserve"> </w:t>
      </w:r>
      <w:r w:rsidR="008E4428">
        <w:rPr>
          <w:rFonts w:ascii="Calibri" w:eastAsia="Calibri" w:hAnsi="Calibri" w:cs="Calibri"/>
          <w:sz w:val="24"/>
          <w:szCs w:val="24"/>
          <w:lang w:val="en-GB"/>
        </w:rPr>
        <w:t xml:space="preserve">location data. </w:t>
      </w:r>
      <w:r w:rsidRPr="00597ACC">
        <w:rPr>
          <w:rFonts w:ascii="Calibri" w:eastAsia="Calibri" w:hAnsi="Calibri" w:cs="Calibri"/>
          <w:sz w:val="24"/>
          <w:szCs w:val="24"/>
          <w:lang w:val="en-GB"/>
        </w:rPr>
        <w:t>However, recital 18 states that the regulation does not apply to data with no connection to a professional or commercial activity. Another important question to answer, in order to clarify the company’s responsibilities, is whether t</w:t>
      </w:r>
      <w:r w:rsidR="00F6445B">
        <w:rPr>
          <w:rFonts w:ascii="Calibri" w:eastAsia="Calibri" w:hAnsi="Calibri" w:cs="Calibri"/>
          <w:sz w:val="24"/>
          <w:szCs w:val="24"/>
          <w:lang w:val="en-GB"/>
        </w:rPr>
        <w:t xml:space="preserve">he company is a controller, </w:t>
      </w:r>
      <w:r w:rsidRPr="00597ACC">
        <w:rPr>
          <w:rFonts w:ascii="Calibri" w:eastAsia="Calibri" w:hAnsi="Calibri" w:cs="Calibri"/>
          <w:sz w:val="24"/>
          <w:szCs w:val="24"/>
          <w:lang w:val="en-GB"/>
        </w:rPr>
        <w:t>processor</w:t>
      </w:r>
      <w:r w:rsidR="00F6445B">
        <w:rPr>
          <w:rFonts w:ascii="Calibri" w:eastAsia="Calibri" w:hAnsi="Calibri" w:cs="Calibri"/>
          <w:sz w:val="24"/>
          <w:szCs w:val="24"/>
          <w:lang w:val="en-GB"/>
        </w:rPr>
        <w:t xml:space="preserve"> or recipient</w:t>
      </w:r>
      <w:r w:rsidRPr="00597ACC">
        <w:rPr>
          <w:rFonts w:ascii="Calibri" w:eastAsia="Calibri" w:hAnsi="Calibri" w:cs="Calibri"/>
          <w:sz w:val="24"/>
          <w:szCs w:val="24"/>
          <w:lang w:val="en-GB"/>
        </w:rPr>
        <w:t xml:space="preserve"> of legal data. Controllers carry responsibility for breaches of the regulation. </w:t>
      </w:r>
    </w:p>
    <w:p w14:paraId="17252B2C" w14:textId="61D0ABAA" w:rsidR="00597ACC" w:rsidRPr="00597ACC" w:rsidRDefault="00597ACC" w:rsidP="00597ACC">
      <w:pPr>
        <w:spacing w:line="240" w:lineRule="auto"/>
        <w:jc w:val="both"/>
        <w:rPr>
          <w:rFonts w:ascii="Calibri" w:eastAsia="Calibri" w:hAnsi="Calibri" w:cs="Calibri"/>
          <w:sz w:val="24"/>
          <w:szCs w:val="24"/>
          <w:lang w:val="en-GB"/>
        </w:rPr>
      </w:pPr>
      <w:r w:rsidRPr="00597ACC">
        <w:rPr>
          <w:rFonts w:ascii="Calibri" w:eastAsia="Calibri" w:hAnsi="Calibri" w:cs="Calibri"/>
          <w:sz w:val="24"/>
          <w:szCs w:val="24"/>
          <w:lang w:val="en-GB"/>
        </w:rPr>
        <w:t xml:space="preserve">Further important questions to answer is whether the company complies with the principles relating to processing of personal data, which are stated in article 5. The company ought to collect the data for a specified and legitimate purpose and process it lawfully, fairly and in transparent manner in relation to the data subject. The data should be minimised to what is necessary, limited in time of storage and processed with integrity and confidentiality. Article 13 states that the data subject should be informed of how his/her data is being processed. </w:t>
      </w:r>
    </w:p>
    <w:p w14:paraId="55C53AF0" w14:textId="227EDE34" w:rsidR="00A85764" w:rsidRPr="00597ACC" w:rsidRDefault="00597ACC" w:rsidP="00976C55">
      <w:pPr>
        <w:spacing w:line="240" w:lineRule="auto"/>
        <w:jc w:val="both"/>
        <w:rPr>
          <w:rFonts w:ascii="Calibri" w:eastAsia="Calibri" w:hAnsi="Calibri" w:cs="Calibri"/>
          <w:sz w:val="24"/>
          <w:szCs w:val="24"/>
          <w:lang w:val="en-GB"/>
        </w:rPr>
      </w:pPr>
      <w:r w:rsidRPr="00597ACC">
        <w:rPr>
          <w:rFonts w:ascii="Calibri" w:eastAsia="Calibri" w:hAnsi="Calibri" w:cs="Calibri"/>
          <w:sz w:val="24"/>
          <w:szCs w:val="24"/>
          <w:lang w:val="en-GB"/>
        </w:rPr>
        <w:t xml:space="preserve">The company should also have </w:t>
      </w:r>
      <w:r w:rsidR="004A6906">
        <w:rPr>
          <w:rFonts w:ascii="Calibri" w:eastAsia="Calibri" w:hAnsi="Calibri" w:cs="Calibri"/>
          <w:sz w:val="24"/>
          <w:szCs w:val="24"/>
          <w:lang w:val="en-GB"/>
        </w:rPr>
        <w:t xml:space="preserve">legal </w:t>
      </w:r>
      <w:r w:rsidR="00976C55">
        <w:rPr>
          <w:rFonts w:ascii="Calibri" w:eastAsia="Calibri" w:hAnsi="Calibri" w:cs="Calibri"/>
          <w:sz w:val="24"/>
          <w:szCs w:val="24"/>
          <w:lang w:val="en-GB"/>
        </w:rPr>
        <w:t>ground</w:t>
      </w:r>
      <w:r w:rsidR="004A6906">
        <w:rPr>
          <w:rFonts w:ascii="Calibri" w:eastAsia="Calibri" w:hAnsi="Calibri" w:cs="Calibri"/>
          <w:sz w:val="24"/>
          <w:szCs w:val="24"/>
          <w:lang w:val="en-GB"/>
        </w:rPr>
        <w:t xml:space="preserve"> </w:t>
      </w:r>
      <w:r w:rsidRPr="00597ACC">
        <w:rPr>
          <w:rFonts w:ascii="Calibri" w:eastAsia="Calibri" w:hAnsi="Calibri" w:cs="Calibri"/>
          <w:sz w:val="24"/>
          <w:szCs w:val="24"/>
          <w:lang w:val="en-GB"/>
        </w:rPr>
        <w:t xml:space="preserve">for the data in order for the processing to be lawful. </w:t>
      </w:r>
      <w:r w:rsidR="00976C55">
        <w:rPr>
          <w:rFonts w:ascii="Calibri" w:eastAsia="Calibri" w:hAnsi="Calibri" w:cs="Calibri"/>
          <w:sz w:val="24"/>
          <w:szCs w:val="24"/>
          <w:lang w:val="en-GB"/>
        </w:rPr>
        <w:t>The possible</w:t>
      </w:r>
      <w:r w:rsidR="00A85764">
        <w:rPr>
          <w:rFonts w:ascii="Calibri" w:eastAsia="Calibri" w:hAnsi="Calibri" w:cs="Calibri"/>
          <w:sz w:val="24"/>
          <w:szCs w:val="24"/>
          <w:lang w:val="en-GB"/>
        </w:rPr>
        <w:t xml:space="preserve"> legal </w:t>
      </w:r>
      <w:r w:rsidR="00976C55">
        <w:rPr>
          <w:rFonts w:ascii="Calibri" w:eastAsia="Calibri" w:hAnsi="Calibri" w:cs="Calibri"/>
          <w:sz w:val="24"/>
          <w:szCs w:val="24"/>
          <w:lang w:val="en-GB"/>
        </w:rPr>
        <w:t>grounds</w:t>
      </w:r>
      <w:r w:rsidR="00A85764">
        <w:rPr>
          <w:rFonts w:ascii="Calibri" w:eastAsia="Calibri" w:hAnsi="Calibri" w:cs="Calibri"/>
          <w:sz w:val="24"/>
          <w:szCs w:val="24"/>
          <w:lang w:val="en-GB"/>
        </w:rPr>
        <w:t xml:space="preserve"> are listed in article 6 of the regulation. T</w:t>
      </w:r>
      <w:r w:rsidRPr="00597ACC">
        <w:rPr>
          <w:rFonts w:ascii="Calibri" w:eastAsia="Calibri" w:hAnsi="Calibri" w:cs="Calibri"/>
          <w:sz w:val="24"/>
          <w:szCs w:val="24"/>
          <w:lang w:val="en-GB"/>
        </w:rPr>
        <w:t xml:space="preserve">he company </w:t>
      </w:r>
      <w:r w:rsidR="004A6906">
        <w:rPr>
          <w:rFonts w:ascii="Calibri" w:eastAsia="Calibri" w:hAnsi="Calibri" w:cs="Calibri"/>
          <w:sz w:val="24"/>
          <w:szCs w:val="24"/>
          <w:lang w:val="en-GB"/>
        </w:rPr>
        <w:t>could</w:t>
      </w:r>
      <w:r w:rsidR="00A85764">
        <w:rPr>
          <w:rFonts w:ascii="Calibri" w:eastAsia="Calibri" w:hAnsi="Calibri" w:cs="Calibri"/>
          <w:sz w:val="24"/>
          <w:szCs w:val="24"/>
          <w:lang w:val="en-GB"/>
        </w:rPr>
        <w:t xml:space="preserve"> either</w:t>
      </w:r>
      <w:r w:rsidRPr="00597ACC">
        <w:rPr>
          <w:rFonts w:ascii="Calibri" w:eastAsia="Calibri" w:hAnsi="Calibri" w:cs="Calibri"/>
          <w:sz w:val="24"/>
          <w:szCs w:val="24"/>
          <w:lang w:val="en-GB"/>
        </w:rPr>
        <w:t xml:space="preserve"> have consent by the data subject to the data proces</w:t>
      </w:r>
      <w:r w:rsidR="004A6906">
        <w:rPr>
          <w:rFonts w:ascii="Calibri" w:eastAsia="Calibri" w:hAnsi="Calibri" w:cs="Calibri"/>
          <w:sz w:val="24"/>
          <w:szCs w:val="24"/>
          <w:lang w:val="en-GB"/>
        </w:rPr>
        <w:t>sing for the specific purpose</w:t>
      </w:r>
      <w:r w:rsidRPr="00597ACC">
        <w:rPr>
          <w:rFonts w:ascii="Calibri" w:eastAsia="Calibri" w:hAnsi="Calibri" w:cs="Calibri"/>
          <w:sz w:val="24"/>
          <w:szCs w:val="24"/>
          <w:lang w:val="en-GB"/>
        </w:rPr>
        <w:t xml:space="preserve"> or find processing necessary for: compliance with a legal obligation, protect</w:t>
      </w:r>
      <w:r w:rsidR="004A6906">
        <w:rPr>
          <w:rFonts w:ascii="Calibri" w:eastAsia="Calibri" w:hAnsi="Calibri" w:cs="Calibri"/>
          <w:sz w:val="24"/>
          <w:szCs w:val="24"/>
          <w:lang w:val="en-GB"/>
        </w:rPr>
        <w:t>ion of</w:t>
      </w:r>
      <w:r w:rsidRPr="00597ACC">
        <w:rPr>
          <w:rFonts w:ascii="Calibri" w:eastAsia="Calibri" w:hAnsi="Calibri" w:cs="Calibri"/>
          <w:sz w:val="24"/>
          <w:szCs w:val="24"/>
          <w:lang w:val="en-GB"/>
        </w:rPr>
        <w:t xml:space="preserve"> the vital interests of the data subject or for the legitimate purposes of the controller. The controller ought </w:t>
      </w:r>
      <w:r w:rsidR="004A6906">
        <w:rPr>
          <w:rFonts w:ascii="Calibri" w:eastAsia="Calibri" w:hAnsi="Calibri" w:cs="Calibri"/>
          <w:sz w:val="24"/>
          <w:szCs w:val="24"/>
          <w:lang w:val="en-GB"/>
        </w:rPr>
        <w:t xml:space="preserve">to </w:t>
      </w:r>
      <w:r w:rsidRPr="00597ACC">
        <w:rPr>
          <w:rFonts w:ascii="Calibri" w:eastAsia="Calibri" w:hAnsi="Calibri" w:cs="Calibri"/>
          <w:sz w:val="24"/>
          <w:szCs w:val="24"/>
          <w:lang w:val="en-GB"/>
        </w:rPr>
        <w:t xml:space="preserve">be able to demonstrate that the data subject has consented has been given and the data subject should have the right to withdraw the consent easily. However, consent is not applicable in situations where there is a power imbalance. Furthermore, although the company might have legal </w:t>
      </w:r>
      <w:r w:rsidR="00976C55">
        <w:rPr>
          <w:rFonts w:ascii="Calibri" w:eastAsia="Calibri" w:hAnsi="Calibri" w:cs="Calibri"/>
          <w:sz w:val="24"/>
          <w:szCs w:val="24"/>
          <w:lang w:val="en-GB"/>
        </w:rPr>
        <w:t>ground</w:t>
      </w:r>
      <w:r w:rsidRPr="00597ACC">
        <w:rPr>
          <w:rFonts w:ascii="Calibri" w:eastAsia="Calibri" w:hAnsi="Calibri" w:cs="Calibri"/>
          <w:sz w:val="24"/>
          <w:szCs w:val="24"/>
          <w:lang w:val="en-GB"/>
        </w:rPr>
        <w:t xml:space="preserve"> for the personal data, processing </w:t>
      </w:r>
      <w:r w:rsidR="00D96E94">
        <w:rPr>
          <w:rFonts w:ascii="Calibri" w:eastAsia="Calibri" w:hAnsi="Calibri" w:cs="Calibri"/>
          <w:sz w:val="24"/>
          <w:szCs w:val="24"/>
          <w:lang w:val="en-GB"/>
        </w:rPr>
        <w:t>could</w:t>
      </w:r>
      <w:r w:rsidRPr="00597ACC">
        <w:rPr>
          <w:rFonts w:ascii="Calibri" w:eastAsia="Calibri" w:hAnsi="Calibri" w:cs="Calibri"/>
          <w:sz w:val="24"/>
          <w:szCs w:val="24"/>
          <w:lang w:val="en-GB"/>
        </w:rPr>
        <w:t xml:space="preserve"> still be prohibited regarding special categories of personal data that are found in article 9.1, for example racial origin and data concerning health. However, article 9.2 states exceptions. </w:t>
      </w:r>
      <w:r w:rsidR="00A85764" w:rsidRPr="00965292">
        <w:rPr>
          <w:rFonts w:ascii="Calibri" w:eastAsia="Calibri" w:hAnsi="Calibri" w:cs="Calibri"/>
          <w:color w:val="000000" w:themeColor="text1"/>
          <w:sz w:val="24"/>
          <w:szCs w:val="24"/>
          <w:lang w:val="en-GB"/>
        </w:rPr>
        <w:t xml:space="preserve">In cases of </w:t>
      </w:r>
      <w:r w:rsidR="00C74164" w:rsidRPr="00965292">
        <w:rPr>
          <w:rFonts w:ascii="Calibri" w:eastAsia="Calibri" w:hAnsi="Calibri" w:cs="Calibri"/>
          <w:color w:val="000000" w:themeColor="text1"/>
          <w:sz w:val="24"/>
          <w:szCs w:val="24"/>
          <w:lang w:val="en-GB"/>
        </w:rPr>
        <w:t xml:space="preserve">doubt, </w:t>
      </w:r>
      <w:r w:rsidR="00F6445B" w:rsidRPr="00965292">
        <w:rPr>
          <w:rFonts w:ascii="Calibri" w:eastAsia="Calibri" w:hAnsi="Calibri" w:cs="Calibri"/>
          <w:color w:val="000000" w:themeColor="text1"/>
          <w:sz w:val="24"/>
          <w:szCs w:val="24"/>
          <w:lang w:val="en-GB"/>
        </w:rPr>
        <w:t xml:space="preserve">decision must be taken after the different parties’ legitimate interests have been taken into consideration. </w:t>
      </w:r>
    </w:p>
    <w:p w14:paraId="7A2841E2" w14:textId="15D2439E" w:rsidR="004A6906" w:rsidRPr="004A6906" w:rsidRDefault="00597ACC" w:rsidP="00D96E94">
      <w:pPr>
        <w:spacing w:line="240" w:lineRule="auto"/>
        <w:jc w:val="both"/>
        <w:rPr>
          <w:rFonts w:ascii="Calibri" w:eastAsia="Calibri" w:hAnsi="Calibri" w:cs="Calibri"/>
          <w:sz w:val="24"/>
          <w:szCs w:val="24"/>
          <w:lang w:val="en-GB"/>
        </w:rPr>
      </w:pPr>
      <w:r w:rsidRPr="00597ACC">
        <w:rPr>
          <w:rFonts w:ascii="Calibri" w:eastAsia="Calibri" w:hAnsi="Calibri" w:cs="Calibri"/>
          <w:sz w:val="24"/>
          <w:szCs w:val="24"/>
          <w:lang w:val="en-GB"/>
        </w:rPr>
        <w:t xml:space="preserve">Lastly, the </w:t>
      </w:r>
      <w:r w:rsidR="00965292">
        <w:rPr>
          <w:rFonts w:ascii="Calibri" w:eastAsia="Calibri" w:hAnsi="Calibri" w:cs="Calibri"/>
          <w:sz w:val="24"/>
          <w:szCs w:val="24"/>
          <w:lang w:val="en-GB"/>
        </w:rPr>
        <w:t>company</w:t>
      </w:r>
      <w:r w:rsidRPr="00597ACC">
        <w:rPr>
          <w:rFonts w:ascii="Calibri" w:eastAsia="Calibri" w:hAnsi="Calibri" w:cs="Calibri"/>
          <w:sz w:val="24"/>
          <w:szCs w:val="24"/>
          <w:lang w:val="en-GB"/>
        </w:rPr>
        <w:t xml:space="preserve"> should be aware that fines will apply in case of breaches of the regulation if the company is a controller of personal data. Processing of personal data in breach of the GDPR may result in penalt</w:t>
      </w:r>
      <w:r w:rsidR="00A85764">
        <w:rPr>
          <w:rFonts w:ascii="Calibri" w:eastAsia="Calibri" w:hAnsi="Calibri" w:cs="Calibri"/>
          <w:sz w:val="24"/>
          <w:szCs w:val="24"/>
          <w:lang w:val="en-GB"/>
        </w:rPr>
        <w:t>ies of up to 20 000 000 EUR or</w:t>
      </w:r>
      <w:r w:rsidRPr="00597ACC">
        <w:rPr>
          <w:rFonts w:ascii="Calibri" w:eastAsia="Calibri" w:hAnsi="Calibri" w:cs="Calibri"/>
          <w:sz w:val="24"/>
          <w:szCs w:val="24"/>
          <w:lang w:val="en-GB"/>
        </w:rPr>
        <w:t xml:space="preserve"> up to 4% of total global annual turnover in the previous financial year. Whichever amount is higher will be </w:t>
      </w:r>
      <w:r w:rsidR="00D96E94">
        <w:rPr>
          <w:rFonts w:ascii="Calibri" w:eastAsia="Calibri" w:hAnsi="Calibri" w:cs="Calibri"/>
          <w:sz w:val="24"/>
          <w:szCs w:val="24"/>
          <w:lang w:val="en-GB"/>
        </w:rPr>
        <w:t xml:space="preserve">imposed, as stated in article 83. </w:t>
      </w:r>
    </w:p>
    <w:sectPr w:rsidR="004A6906" w:rsidRPr="004A690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4ADFF" w14:textId="77777777" w:rsidR="0039067B" w:rsidRDefault="0039067B">
      <w:pPr>
        <w:spacing w:after="0" w:line="240" w:lineRule="auto"/>
      </w:pPr>
      <w:r>
        <w:separator/>
      </w:r>
    </w:p>
  </w:endnote>
  <w:endnote w:type="continuationSeparator" w:id="0">
    <w:p w14:paraId="5755EBA6" w14:textId="77777777" w:rsidR="0039067B" w:rsidRDefault="00390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3579C3" w14:textId="77777777" w:rsidR="006E7B6C" w:rsidRDefault="006E7B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9"/>
      <w:gridCol w:w="3009"/>
      <w:gridCol w:w="3009"/>
    </w:tblGrid>
    <w:tr w:rsidR="1F7CF826" w14:paraId="73E74D5A" w14:textId="77777777" w:rsidTr="1F7CF826">
      <w:tc>
        <w:tcPr>
          <w:tcW w:w="3009" w:type="dxa"/>
        </w:tcPr>
        <w:p w14:paraId="1DB5A3AF" w14:textId="21AD75A0" w:rsidR="1F7CF826" w:rsidRDefault="1F7CF826" w:rsidP="1F7CF826">
          <w:pPr>
            <w:pStyle w:val="Header"/>
            <w:ind w:left="-115"/>
          </w:pPr>
        </w:p>
      </w:tc>
      <w:tc>
        <w:tcPr>
          <w:tcW w:w="3009" w:type="dxa"/>
        </w:tcPr>
        <w:p w14:paraId="11058BAE" w14:textId="38802F9F" w:rsidR="1F7CF826" w:rsidRDefault="1F7CF826" w:rsidP="1F7CF826">
          <w:pPr>
            <w:pStyle w:val="Header"/>
            <w:jc w:val="center"/>
          </w:pPr>
        </w:p>
      </w:tc>
      <w:tc>
        <w:tcPr>
          <w:tcW w:w="3009" w:type="dxa"/>
        </w:tcPr>
        <w:p w14:paraId="3B85D0BA" w14:textId="70371229" w:rsidR="1F7CF826" w:rsidRDefault="1F7CF826" w:rsidP="1F7CF826">
          <w:pPr>
            <w:pStyle w:val="Header"/>
            <w:ind w:right="-115"/>
            <w:jc w:val="right"/>
          </w:pPr>
        </w:p>
      </w:tc>
    </w:tr>
  </w:tbl>
  <w:p w14:paraId="3A88313B" w14:textId="1F0D8DE6" w:rsidR="1F7CF826" w:rsidRDefault="1F7CF826" w:rsidP="1F7CF8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57CC68" w14:textId="77777777" w:rsidR="006E7B6C" w:rsidRDefault="006E7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E40ED6" w14:textId="77777777" w:rsidR="0039067B" w:rsidRDefault="0039067B">
      <w:pPr>
        <w:spacing w:after="0" w:line="240" w:lineRule="auto"/>
      </w:pPr>
      <w:r>
        <w:separator/>
      </w:r>
    </w:p>
  </w:footnote>
  <w:footnote w:type="continuationSeparator" w:id="0">
    <w:p w14:paraId="68874299" w14:textId="77777777" w:rsidR="0039067B" w:rsidRDefault="00390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62D29" w14:textId="77777777" w:rsidR="006E7B6C" w:rsidRDefault="006E7B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9"/>
      <w:gridCol w:w="3009"/>
      <w:gridCol w:w="3009"/>
    </w:tblGrid>
    <w:tr w:rsidR="1F7CF826" w14:paraId="0C5DA087" w14:textId="77777777" w:rsidTr="1F7CF826">
      <w:tc>
        <w:tcPr>
          <w:tcW w:w="3009" w:type="dxa"/>
        </w:tcPr>
        <w:p w14:paraId="7F6B16EB" w14:textId="41DDAA20" w:rsidR="1F7CF826" w:rsidRDefault="1F7CF826" w:rsidP="1F7CF826">
          <w:pPr>
            <w:pStyle w:val="Header"/>
            <w:ind w:left="-115"/>
          </w:pPr>
        </w:p>
      </w:tc>
      <w:tc>
        <w:tcPr>
          <w:tcW w:w="3009" w:type="dxa"/>
        </w:tcPr>
        <w:p w14:paraId="475A530B" w14:textId="07EA0721" w:rsidR="1F7CF826" w:rsidRDefault="1F7CF826" w:rsidP="1F7CF826">
          <w:pPr>
            <w:pStyle w:val="Header"/>
            <w:jc w:val="center"/>
          </w:pPr>
        </w:p>
      </w:tc>
      <w:tc>
        <w:tcPr>
          <w:tcW w:w="3009" w:type="dxa"/>
        </w:tcPr>
        <w:p w14:paraId="7DF6EF2D" w14:textId="0657522F" w:rsidR="1F7CF826" w:rsidRDefault="1F7CF826" w:rsidP="1F7CF826">
          <w:pPr>
            <w:pStyle w:val="Header"/>
            <w:ind w:right="-115"/>
            <w:jc w:val="right"/>
          </w:pPr>
        </w:p>
      </w:tc>
    </w:tr>
  </w:tbl>
  <w:p w14:paraId="374560F1" w14:textId="31971FD0" w:rsidR="00597ACC" w:rsidRDefault="00705143" w:rsidP="00597ACC">
    <w:pPr>
      <w:pStyle w:val="Header"/>
    </w:pPr>
    <w:r>
      <w:br/>
    </w:r>
    <w:r w:rsidR="00597ACC">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BBD19" w14:textId="77777777" w:rsidR="006E7B6C" w:rsidRDefault="006E7B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2AB181"/>
    <w:rsid w:val="00016112"/>
    <w:rsid w:val="0039067B"/>
    <w:rsid w:val="003A096B"/>
    <w:rsid w:val="004A6906"/>
    <w:rsid w:val="00597ACC"/>
    <w:rsid w:val="006C4EBD"/>
    <w:rsid w:val="006E7B6C"/>
    <w:rsid w:val="00705143"/>
    <w:rsid w:val="008E4428"/>
    <w:rsid w:val="00965292"/>
    <w:rsid w:val="00976C55"/>
    <w:rsid w:val="00A62D65"/>
    <w:rsid w:val="00A85764"/>
    <w:rsid w:val="00C74164"/>
    <w:rsid w:val="00D96E94"/>
    <w:rsid w:val="00F6445B"/>
    <w:rsid w:val="0A2AB181"/>
    <w:rsid w:val="1F7CF826"/>
    <w:rsid w:val="2FDD7DA0"/>
    <w:rsid w:val="4D455826"/>
    <w:rsid w:val="55CDC430"/>
    <w:rsid w:val="5DC0125F"/>
    <w:rsid w:val="671E8E87"/>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2AB181"/>
  <w15:chartTrackingRefBased/>
  <w15:docId w15:val="{CA0FD26B-2248-473B-BD72-A924A291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123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575</Words>
  <Characters>3283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Emelie Ishouh</dc:creator>
  <cp:keywords/>
  <dc:description/>
  <cp:lastModifiedBy>Alexander A</cp:lastModifiedBy>
  <cp:revision>7</cp:revision>
  <dcterms:created xsi:type="dcterms:W3CDTF">2019-09-05T14:27:00Z</dcterms:created>
  <dcterms:modified xsi:type="dcterms:W3CDTF">2020-05-10T13:48:00Z</dcterms:modified>
</cp:coreProperties>
</file>