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BC242E" w14:textId="77777777" w:rsidR="00E37FB1" w:rsidRDefault="0036095E" w:rsidP="0036095E">
      <w:pPr>
        <w:ind w:right="-5" w:firstLine="0"/>
      </w:pPr>
      <w:r>
        <w:t xml:space="preserve">It’s important to understand that the regulation is aiming to protect the processing of personal data, which is defined in art. 4, and the free movement of the same, art. 1. By data subject GDPR means </w:t>
      </w:r>
      <w:proofErr w:type="gramStart"/>
      <w:r>
        <w:t>a</w:t>
      </w:r>
      <w:proofErr w:type="gramEnd"/>
      <w:r>
        <w:t xml:space="preserve"> identified or identifiable natural person. The regula</w:t>
      </w:r>
      <w:r>
        <w:t xml:space="preserve">tion also focuses on protecting the fundamental rights and freedom of natural persons, in particular the protection of their personal data.  </w:t>
      </w:r>
    </w:p>
    <w:p w14:paraId="16C4CBA9" w14:textId="77777777" w:rsidR="00E37FB1" w:rsidRDefault="0036095E">
      <w:pPr>
        <w:ind w:left="-15" w:right="-5"/>
      </w:pPr>
      <w:r>
        <w:t>The requirements for the material and territorial scope must be met, art. 2-3. The material scope requires the per</w:t>
      </w:r>
      <w:r>
        <w:t xml:space="preserve">sonal data to be processed wholly or partly by automated means or form part of a filing system or intend to form such system. If the client is based physically, or to some extent is established within the Union, they are within the territorial scope. </w:t>
      </w:r>
    </w:p>
    <w:p w14:paraId="16C5C8CC" w14:textId="77777777" w:rsidR="00E37FB1" w:rsidRDefault="0036095E">
      <w:pPr>
        <w:ind w:left="-15" w:right="-5"/>
      </w:pPr>
      <w:r>
        <w:t xml:space="preserve">The </w:t>
      </w:r>
      <w:r>
        <w:t xml:space="preserve">client also </w:t>
      </w:r>
      <w:proofErr w:type="gramStart"/>
      <w:r>
        <w:t>have</w:t>
      </w:r>
      <w:proofErr w:type="gramEnd"/>
      <w:r>
        <w:t xml:space="preserve"> to sort out who is who in their own organization. The controller and the processor and who therefore, primarily, will be responsible for potential errors. The controller is usually the one who determines the purpose and means of the proces</w:t>
      </w:r>
      <w:r>
        <w:t>sing in question, whilst the processor executes the actual processing on behalf of the controller, art. 4 GDPR. Even though it may seem as a non-priority question, it’s crucial since sanctions against unlawful data processing can reach as high as 20 000 00</w:t>
      </w:r>
      <w:r>
        <w:t xml:space="preserve">0 EUR or 4% of the global annual sales.  </w:t>
      </w:r>
    </w:p>
    <w:p w14:paraId="3CB4E8A4" w14:textId="77777777" w:rsidR="00E37FB1" w:rsidRDefault="0036095E">
      <w:pPr>
        <w:ind w:left="-15" w:right="-5"/>
      </w:pPr>
      <w:r>
        <w:t xml:space="preserve">When made sure that the regulation is applicable on the situation in question, you have to observe the principles presented in art. 5. These are supposed to function as a framework for how the personal data can be </w:t>
      </w:r>
      <w:r>
        <w:t>processed and all of them must be fulfilled for the processing to be legitimate. Firstly, the processing must be lawfully, fairly and transparent in relation to the data subject. In regard of this principle, you have to make sure to follow the applicable l</w:t>
      </w:r>
      <w:r>
        <w:t>aw. Then follows four principles which all are related to the purpose of the collecting of personal data. The collection must be specified, explicit and legitimate. The personal data also have to be adequate, relevant and limited in relation to the purpose</w:t>
      </w:r>
      <w:r>
        <w:t xml:space="preserve">. Additionally, the personal data also have to be accurate. If not, it should be erased or rectified without delay. Lastly, the collected personal data should not be stored for any longer than what is needed to fulfill the purpose. These principles should </w:t>
      </w:r>
      <w:r>
        <w:t xml:space="preserve">affect all of your processing of personal data. </w:t>
      </w:r>
    </w:p>
    <w:p w14:paraId="034DADB4" w14:textId="77777777" w:rsidR="00E37FB1" w:rsidRDefault="0036095E">
      <w:pPr>
        <w:ind w:left="-15" w:right="-5"/>
      </w:pPr>
      <w:r>
        <w:t>All processing of personal data must apply to the lawfulness of processing, art. 6. At least one of the legal grounds pointed out in the article must be fulfilled. Bear in mind that giving of consent, (a), i</w:t>
      </w:r>
      <w:r>
        <w:t>s not applicable when there is a clear imbalance between the data subject and the controller, art. 7.4 and reason 43. If none of the legal grounds in art. 6.1(a-e) is applicable on the given situation, the processing may be lawful through weighting of inte</w:t>
      </w:r>
      <w:r>
        <w:t xml:space="preserve">rests if it’s necessary for the purpose of the legitimate interests pursued by the controller as long as these interests override the fundamental rights and freedoms of the data subject, especially where the data subject is a child. </w:t>
      </w:r>
    </w:p>
    <w:p w14:paraId="560D88DD" w14:textId="77777777" w:rsidR="00E37FB1" w:rsidRDefault="0036095E">
      <w:pPr>
        <w:ind w:left="-15" w:right="-5"/>
      </w:pPr>
      <w:r>
        <w:t>All processing of data</w:t>
      </w:r>
      <w:r>
        <w:t xml:space="preserve"> involving such information mentioned in art. 9.1 is unlawful, unless an exception in art. 9.2(a-j) is applicable. Note that processing of national identification number is as well considered sensitive data, art. 87.  </w:t>
      </w:r>
    </w:p>
    <w:p w14:paraId="60486226" w14:textId="77777777" w:rsidR="00E37FB1" w:rsidRDefault="0036095E">
      <w:pPr>
        <w:ind w:left="-15" w:right="-5"/>
      </w:pPr>
      <w:r>
        <w:t>The data subjects have rights stipula</w:t>
      </w:r>
      <w:r>
        <w:t xml:space="preserve">ted in art 12-23 which the client has to live up to. An example is that the data subject has to be informed accordingly about how their personal data will be processed and for what purpose, art. 13-15. The controller also </w:t>
      </w:r>
      <w:proofErr w:type="gramStart"/>
      <w:r>
        <w:t>have</w:t>
      </w:r>
      <w:proofErr w:type="gramEnd"/>
      <w:r>
        <w:t xml:space="preserve"> to keep record of processing </w:t>
      </w:r>
      <w:r>
        <w:t xml:space="preserve">activities, art. 30.  </w:t>
      </w:r>
    </w:p>
    <w:p w14:paraId="53EA30CF" w14:textId="77777777" w:rsidR="00E37FB1" w:rsidRDefault="0036095E">
      <w:pPr>
        <w:ind w:left="-15" w:right="-5"/>
      </w:pPr>
      <w:r>
        <w:t xml:space="preserve">The level of security must be levelled with the importance of the data being processed, art. 32. In case of </w:t>
      </w:r>
      <w:proofErr w:type="gramStart"/>
      <w:r>
        <w:t>an</w:t>
      </w:r>
      <w:proofErr w:type="gramEnd"/>
      <w:r>
        <w:t xml:space="preserve"> breach in said security the controller shall without delay, at latest 72 hours, notify the supervisory authority about the</w:t>
      </w:r>
      <w:r>
        <w:t xml:space="preserve"> breach, art. 33. In Sweden this would be Datainspektionen.  </w:t>
      </w:r>
    </w:p>
    <w:sectPr w:rsidR="00E37FB1">
      <w:pgSz w:w="11900" w:h="16840"/>
      <w:pgMar w:top="1440" w:right="1411"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FB1"/>
    <w:rsid w:val="0036095E"/>
    <w:rsid w:val="00E37FB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8E23"/>
  <w15:docId w15:val="{063C8F83-D269-4014-971A-744DD215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E" w:eastAsia="en-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1" w:lineRule="auto"/>
      <w:ind w:right="5" w:firstLine="331"/>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PM.docx</dc:title>
  <dc:subject/>
  <dc:creator>Alexander A</dc:creator>
  <cp:keywords/>
  <cp:lastModifiedBy>Alexander A</cp:lastModifiedBy>
  <cp:revision>2</cp:revision>
  <dcterms:created xsi:type="dcterms:W3CDTF">2020-05-10T13:48:00Z</dcterms:created>
  <dcterms:modified xsi:type="dcterms:W3CDTF">2020-05-10T13:48:00Z</dcterms:modified>
</cp:coreProperties>
</file>