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6C6C4A" w14:textId="64508CBA" w:rsidR="00891EB1" w:rsidRPr="006157F8" w:rsidRDefault="00891EB1" w:rsidP="00891EB1">
      <w:pPr>
        <w:rPr>
          <w:lang w:val="en-US"/>
        </w:rPr>
      </w:pPr>
      <w:r w:rsidRPr="006157F8">
        <w:rPr>
          <w:lang w:val="en-US"/>
        </w:rPr>
        <w:t xml:space="preserve">The </w:t>
      </w:r>
      <w:r>
        <w:rPr>
          <w:lang w:val="en-US"/>
        </w:rPr>
        <w:t>G</w:t>
      </w:r>
      <w:r w:rsidRPr="006157F8">
        <w:rPr>
          <w:lang w:val="en-US"/>
        </w:rPr>
        <w:t xml:space="preserve">eneral </w:t>
      </w:r>
      <w:r>
        <w:rPr>
          <w:lang w:val="en-US"/>
        </w:rPr>
        <w:t>D</w:t>
      </w:r>
      <w:r w:rsidRPr="006157F8">
        <w:rPr>
          <w:lang w:val="en-US"/>
        </w:rPr>
        <w:t xml:space="preserve">ata </w:t>
      </w:r>
      <w:r>
        <w:rPr>
          <w:lang w:val="en-US"/>
        </w:rPr>
        <w:t>P</w:t>
      </w:r>
      <w:r w:rsidRPr="006157F8">
        <w:rPr>
          <w:lang w:val="en-US"/>
        </w:rPr>
        <w:t xml:space="preserve">rotection </w:t>
      </w:r>
      <w:r>
        <w:rPr>
          <w:lang w:val="en-US"/>
        </w:rPr>
        <w:t>R</w:t>
      </w:r>
      <w:r w:rsidRPr="006157F8">
        <w:rPr>
          <w:lang w:val="en-US"/>
        </w:rPr>
        <w:t>egulation (GDPR) contains rules regarding the protection of personal information concerning individuals when their personal data is processed. When applying GDPR it is important to be systematic. Following is a general outline how to approach the GDRP.</w:t>
      </w:r>
    </w:p>
    <w:p w14:paraId="36FF53EF" w14:textId="77777777" w:rsidR="00AC6D8F" w:rsidRDefault="00AC6D8F" w:rsidP="00AC6D8F">
      <w:pPr>
        <w:rPr>
          <w:lang w:val="en-US"/>
        </w:rPr>
      </w:pPr>
    </w:p>
    <w:p w14:paraId="439761F0" w14:textId="08F61A03" w:rsidR="00AC6D8F" w:rsidRDefault="00891EB1" w:rsidP="00AC6D8F">
      <w:pPr>
        <w:rPr>
          <w:lang w:val="en-US"/>
        </w:rPr>
      </w:pPr>
      <w:r w:rsidRPr="00EA3425">
        <w:rPr>
          <w:lang w:val="en-US"/>
        </w:rPr>
        <w:t xml:space="preserve">To begin with, the material </w:t>
      </w:r>
      <w:r>
        <w:rPr>
          <w:lang w:val="en-US"/>
        </w:rPr>
        <w:t>scope of the regulation has to be assessed. The regulation is applicable to the processing of personal data wholly or partly by automated means. The regulation is also applicable to the processing other than by automated means of personal data which form part of a filing system or are intended to do so,</w:t>
      </w:r>
      <w:r w:rsidR="00AC6D8F">
        <w:rPr>
          <w:lang w:val="en-US"/>
        </w:rPr>
        <w:t xml:space="preserve"> as stated in</w:t>
      </w:r>
      <w:r>
        <w:rPr>
          <w:lang w:val="en-US"/>
        </w:rPr>
        <w:t xml:space="preserve"> ar</w:t>
      </w:r>
      <w:r w:rsidR="00AC6D8F">
        <w:rPr>
          <w:lang w:val="en-US"/>
        </w:rPr>
        <w:t>t.</w:t>
      </w:r>
      <w:r>
        <w:rPr>
          <w:lang w:val="en-US"/>
        </w:rPr>
        <w:t xml:space="preserve"> 2(1) GDPR.</w:t>
      </w:r>
      <w:r w:rsidR="00AC6D8F">
        <w:rPr>
          <w:lang w:val="en-US"/>
        </w:rPr>
        <w:t xml:space="preserve"> </w:t>
      </w:r>
      <w:r>
        <w:rPr>
          <w:lang w:val="en-US"/>
        </w:rPr>
        <w:t>Furthermore, there are a number of situations that are exempt from the scope of the GDPR, these are stated in art</w:t>
      </w:r>
      <w:r w:rsidR="00AC6D8F">
        <w:rPr>
          <w:lang w:val="en-US"/>
        </w:rPr>
        <w:t>.</w:t>
      </w:r>
      <w:r>
        <w:rPr>
          <w:lang w:val="en-US"/>
        </w:rPr>
        <w:t xml:space="preserve"> 2(2) GDPR. The exemptions include, but are not limited to, the course of an activity which falls outside the scope of union law. </w:t>
      </w:r>
      <w:r w:rsidR="00AC6D8F">
        <w:rPr>
          <w:lang w:val="en-US"/>
        </w:rPr>
        <w:t>In addition</w:t>
      </w:r>
      <w:r>
        <w:rPr>
          <w:lang w:val="en-US"/>
        </w:rPr>
        <w:t xml:space="preserve">, processing of data by a natural person as part of </w:t>
      </w:r>
      <w:r w:rsidR="00AC6D8F">
        <w:rPr>
          <w:lang w:val="en-US"/>
        </w:rPr>
        <w:t>purely</w:t>
      </w:r>
      <w:r>
        <w:rPr>
          <w:lang w:val="en-US"/>
        </w:rPr>
        <w:t xml:space="preserve"> personal or household activity is exempt from the </w:t>
      </w:r>
      <w:r w:rsidR="00AC6D8F">
        <w:rPr>
          <w:lang w:val="en-US"/>
        </w:rPr>
        <w:t>GDPR.</w:t>
      </w:r>
    </w:p>
    <w:p w14:paraId="253B9435" w14:textId="77777777" w:rsidR="00AC6D8F" w:rsidRDefault="00AC6D8F" w:rsidP="00AC6D8F">
      <w:pPr>
        <w:rPr>
          <w:lang w:val="en-US"/>
        </w:rPr>
      </w:pPr>
    </w:p>
    <w:p w14:paraId="1943E433" w14:textId="03E938FA" w:rsidR="00891EB1" w:rsidRDefault="00891EB1" w:rsidP="00AC6D8F">
      <w:pPr>
        <w:rPr>
          <w:lang w:val="en-US"/>
        </w:rPr>
      </w:pPr>
      <w:r>
        <w:rPr>
          <w:lang w:val="en-US"/>
        </w:rPr>
        <w:t xml:space="preserve">Following the assessment of the material scope, an </w:t>
      </w:r>
      <w:r w:rsidR="00AC6D8F">
        <w:rPr>
          <w:lang w:val="en-US"/>
        </w:rPr>
        <w:t>assessment</w:t>
      </w:r>
      <w:r>
        <w:rPr>
          <w:lang w:val="en-US"/>
        </w:rPr>
        <w:t xml:space="preserve"> of the territorial scope is </w:t>
      </w:r>
      <w:r w:rsidR="00AC6D8F">
        <w:rPr>
          <w:lang w:val="en-US"/>
        </w:rPr>
        <w:t>necessary</w:t>
      </w:r>
      <w:r>
        <w:rPr>
          <w:lang w:val="en-US"/>
        </w:rPr>
        <w:t>. According to art</w:t>
      </w:r>
      <w:r w:rsidR="00AC6D8F">
        <w:rPr>
          <w:lang w:val="en-US"/>
        </w:rPr>
        <w:t>icle</w:t>
      </w:r>
      <w:r>
        <w:rPr>
          <w:lang w:val="en-US"/>
        </w:rPr>
        <w:t xml:space="preserve"> 3(1) GDPR, the regulation is applicable to the processing of personal data by controllers and processors who are established in the European Union. Thus, it is not relevant where the actual processing is carried out. In addition, the GDPR is applicable when the subjects of personal data are in the European Union. Regardless of place of establishment as stated in art</w:t>
      </w:r>
      <w:r w:rsidR="00AC6D8F">
        <w:rPr>
          <w:lang w:val="en-US"/>
        </w:rPr>
        <w:t>icle</w:t>
      </w:r>
      <w:r>
        <w:rPr>
          <w:lang w:val="en-US"/>
        </w:rPr>
        <w:t xml:space="preserve"> 3(2) GDPR. </w:t>
      </w:r>
    </w:p>
    <w:p w14:paraId="08ECEA67" w14:textId="77777777" w:rsidR="00AC6D8F" w:rsidRDefault="00AC6D8F" w:rsidP="00AC6D8F">
      <w:pPr>
        <w:rPr>
          <w:lang w:val="en-US"/>
        </w:rPr>
      </w:pPr>
    </w:p>
    <w:p w14:paraId="0E1D6809" w14:textId="492E1BCA" w:rsidR="00891EB1" w:rsidRDefault="00891EB1" w:rsidP="00AC6D8F">
      <w:pPr>
        <w:rPr>
          <w:lang w:val="en-US"/>
        </w:rPr>
      </w:pPr>
      <w:r>
        <w:rPr>
          <w:lang w:val="en-US"/>
        </w:rPr>
        <w:t>Art</w:t>
      </w:r>
      <w:r w:rsidR="00AC6D8F">
        <w:rPr>
          <w:lang w:val="en-US"/>
        </w:rPr>
        <w:t>icle</w:t>
      </w:r>
      <w:r>
        <w:rPr>
          <w:lang w:val="en-US"/>
        </w:rPr>
        <w:t xml:space="preserve"> 3 GDPR is pointing out principles under the GDPR that are of importance in the general processing of personal data and needs to be considered at all times.  According to the GDPR, as specified in art</w:t>
      </w:r>
      <w:r w:rsidR="00AC6D8F">
        <w:rPr>
          <w:lang w:val="en-US"/>
        </w:rPr>
        <w:t>icle</w:t>
      </w:r>
      <w:r>
        <w:rPr>
          <w:lang w:val="en-US"/>
        </w:rPr>
        <w:t xml:space="preserve"> 3(a), any processing of personal data should be lawful and fair. Moreover, as a part of the core principles, the processing of data also to be transparent to the natural persons the data is concerning. The principle of transparency requires the processing of data to be easily </w:t>
      </w:r>
      <w:r w:rsidR="00AC6D8F">
        <w:rPr>
          <w:lang w:val="en-US"/>
        </w:rPr>
        <w:t>accessible</w:t>
      </w:r>
      <w:r>
        <w:rPr>
          <w:lang w:val="en-US"/>
        </w:rPr>
        <w:t xml:space="preserve"> and clear. Furthermore, it needs to be assured that the data is collected for specific purposes that are legitimate and determined at the time of the collection,</w:t>
      </w:r>
      <w:r w:rsidR="00AC6D8F">
        <w:rPr>
          <w:lang w:val="en-US"/>
        </w:rPr>
        <w:t xml:space="preserve"> article</w:t>
      </w:r>
      <w:r>
        <w:rPr>
          <w:lang w:val="en-US"/>
        </w:rPr>
        <w:t xml:space="preserve"> 3(b) GDPR. In addition, the principle of data minimization needs to be taken into account as well as making sure the personal data is accurate as pointed out in art</w:t>
      </w:r>
      <w:r w:rsidR="00AC6D8F">
        <w:rPr>
          <w:lang w:val="en-US"/>
        </w:rPr>
        <w:t>icles</w:t>
      </w:r>
      <w:r>
        <w:rPr>
          <w:lang w:val="en-US"/>
        </w:rPr>
        <w:t xml:space="preserve"> 3(c) and 3(d) GDPR. Moreover, the personal data is not allowed to be kept longer than </w:t>
      </w:r>
      <w:r w:rsidR="00AC6D8F">
        <w:rPr>
          <w:lang w:val="en-US"/>
        </w:rPr>
        <w:t>necessary</w:t>
      </w:r>
      <w:r>
        <w:rPr>
          <w:lang w:val="en-US"/>
        </w:rPr>
        <w:t>, art</w:t>
      </w:r>
      <w:r w:rsidR="00AC6D8F">
        <w:rPr>
          <w:lang w:val="en-US"/>
        </w:rPr>
        <w:t>icle</w:t>
      </w:r>
      <w:r>
        <w:rPr>
          <w:lang w:val="en-US"/>
        </w:rPr>
        <w:t xml:space="preserve"> 3(e) GDPR. Additionally, personal data must be </w:t>
      </w:r>
      <w:r w:rsidR="00AC6D8F">
        <w:rPr>
          <w:lang w:val="en-US"/>
        </w:rPr>
        <w:t>processed</w:t>
      </w:r>
      <w:r>
        <w:rPr>
          <w:lang w:val="en-US"/>
        </w:rPr>
        <w:t xml:space="preserve"> in a manner that ensures appropriate security, art</w:t>
      </w:r>
      <w:r w:rsidR="00AC6D8F">
        <w:rPr>
          <w:lang w:val="en-US"/>
        </w:rPr>
        <w:t>icle</w:t>
      </w:r>
      <w:r>
        <w:rPr>
          <w:lang w:val="en-US"/>
        </w:rPr>
        <w:t xml:space="preserve"> 3(f) GDPR. </w:t>
      </w:r>
    </w:p>
    <w:p w14:paraId="53F7DF98" w14:textId="77777777" w:rsidR="00AC6D8F" w:rsidRDefault="00AC6D8F" w:rsidP="00AC6D8F">
      <w:pPr>
        <w:rPr>
          <w:lang w:val="en-US"/>
        </w:rPr>
      </w:pPr>
    </w:p>
    <w:p w14:paraId="4432FB97" w14:textId="051D66A8" w:rsidR="00891EB1" w:rsidRDefault="00891EB1" w:rsidP="00AC6D8F">
      <w:pPr>
        <w:rPr>
          <w:lang w:val="en-US"/>
        </w:rPr>
      </w:pPr>
      <w:r>
        <w:rPr>
          <w:lang w:val="en-US"/>
        </w:rPr>
        <w:t>In order for processing to be lawful at least one of the necessary conditions of art. 6 GDPR needs to be met. One satisfactory legal basis is consent. Consent in the co</w:t>
      </w:r>
      <w:r w:rsidR="00AC6D8F">
        <w:rPr>
          <w:lang w:val="en-US"/>
        </w:rPr>
        <w:t>n</w:t>
      </w:r>
      <w:r>
        <w:rPr>
          <w:lang w:val="en-US"/>
        </w:rPr>
        <w:t>text of the GDPR is defined in art</w:t>
      </w:r>
      <w:r w:rsidR="00AC6D8F">
        <w:rPr>
          <w:lang w:val="en-US"/>
        </w:rPr>
        <w:t>icle</w:t>
      </w:r>
      <w:r>
        <w:rPr>
          <w:lang w:val="en-US"/>
        </w:rPr>
        <w:t xml:space="preserve"> 4(11) GDPR. The GDPR further clarifies the conditions for consent in art</w:t>
      </w:r>
      <w:r w:rsidR="00AC6D8F">
        <w:rPr>
          <w:lang w:val="en-US"/>
        </w:rPr>
        <w:t>icle</w:t>
      </w:r>
      <w:r>
        <w:rPr>
          <w:lang w:val="en-US"/>
        </w:rPr>
        <w:t xml:space="preserve"> 7 GDPR. However, it is only one of six legal bases of which at least one has to be satisfied. In addition, if the personal data is of sensitive nature, this may never be justified to process. The sensitive data is outlined in art</w:t>
      </w:r>
      <w:r w:rsidR="00AC6D8F">
        <w:rPr>
          <w:lang w:val="en-US"/>
        </w:rPr>
        <w:t>icle</w:t>
      </w:r>
      <w:r>
        <w:rPr>
          <w:lang w:val="en-US"/>
        </w:rPr>
        <w:t xml:space="preserve"> 9(1) GDPR. This category of data requires one of the circumstances set out in art</w:t>
      </w:r>
      <w:r w:rsidR="00AC6D8F">
        <w:rPr>
          <w:lang w:val="en-US"/>
        </w:rPr>
        <w:t>icle</w:t>
      </w:r>
      <w:r>
        <w:rPr>
          <w:lang w:val="en-US"/>
        </w:rPr>
        <w:t xml:space="preserve"> 9(2) to be satisfied as well as art. 6 GDPR.</w:t>
      </w:r>
    </w:p>
    <w:p w14:paraId="7EA70DBC" w14:textId="77777777" w:rsidR="00AC6D8F" w:rsidRDefault="00AC6D8F">
      <w:pPr>
        <w:rPr>
          <w:lang w:val="en-US"/>
        </w:rPr>
      </w:pPr>
    </w:p>
    <w:p w14:paraId="166AC1F9" w14:textId="274E372A" w:rsidR="007637F5" w:rsidRPr="00891EB1" w:rsidRDefault="00AC6D8F">
      <w:pPr>
        <w:rPr>
          <w:lang w:val="en-US"/>
        </w:rPr>
      </w:pPr>
      <w:r>
        <w:rPr>
          <w:lang w:val="en-US"/>
        </w:rPr>
        <w:t>Lastly, every individual has a right to be informed about the collection and use of their personal data. The regulations regarding the right to be informed can be found in articles 13 and 14 GDPR. This information needs to be given at the time of the collection for the processing of personal data to be lawful.</w:t>
      </w:r>
    </w:p>
    <w:sectPr w:rsidR="007637F5" w:rsidRPr="00891EB1" w:rsidSect="00A34F2B">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1F15C7" w14:textId="77777777" w:rsidR="00FD302C" w:rsidRDefault="00FD302C" w:rsidP="00AC6D8F">
      <w:r>
        <w:separator/>
      </w:r>
    </w:p>
  </w:endnote>
  <w:endnote w:type="continuationSeparator" w:id="0">
    <w:p w14:paraId="480E6282" w14:textId="77777777" w:rsidR="00FD302C" w:rsidRDefault="00FD302C" w:rsidP="00AC6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68A6A4" w14:textId="77777777" w:rsidR="00FD302C" w:rsidRDefault="00FD302C" w:rsidP="00AC6D8F">
      <w:r>
        <w:separator/>
      </w:r>
    </w:p>
  </w:footnote>
  <w:footnote w:type="continuationSeparator" w:id="0">
    <w:p w14:paraId="0C56F829" w14:textId="77777777" w:rsidR="00FD302C" w:rsidRDefault="00FD302C" w:rsidP="00AC6D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C63BB3"/>
    <w:multiLevelType w:val="hybridMultilevel"/>
    <w:tmpl w:val="47260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EB1"/>
    <w:rsid w:val="00090761"/>
    <w:rsid w:val="00422D4E"/>
    <w:rsid w:val="00891EB1"/>
    <w:rsid w:val="00A34F2B"/>
    <w:rsid w:val="00AC6D8F"/>
    <w:rsid w:val="00AC70FD"/>
    <w:rsid w:val="00FC2F2D"/>
    <w:rsid w:val="00FD302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79051"/>
  <w15:chartTrackingRefBased/>
  <w15:docId w15:val="{CBB25D1F-69DC-F949-81C9-2C1E0DD97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E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EB1"/>
    <w:pPr>
      <w:ind w:left="720"/>
      <w:contextualSpacing/>
    </w:pPr>
  </w:style>
  <w:style w:type="paragraph" w:styleId="Header">
    <w:name w:val="header"/>
    <w:basedOn w:val="Normal"/>
    <w:link w:val="HeaderChar"/>
    <w:uiPriority w:val="99"/>
    <w:unhideWhenUsed/>
    <w:rsid w:val="00891EB1"/>
    <w:pPr>
      <w:tabs>
        <w:tab w:val="center" w:pos="4703"/>
        <w:tab w:val="right" w:pos="9406"/>
      </w:tabs>
    </w:pPr>
  </w:style>
  <w:style w:type="character" w:customStyle="1" w:styleId="HeaderChar">
    <w:name w:val="Header Char"/>
    <w:basedOn w:val="DefaultParagraphFont"/>
    <w:link w:val="Header"/>
    <w:uiPriority w:val="99"/>
    <w:rsid w:val="00891EB1"/>
  </w:style>
  <w:style w:type="paragraph" w:styleId="Footer">
    <w:name w:val="footer"/>
    <w:basedOn w:val="Normal"/>
    <w:link w:val="FooterChar"/>
    <w:uiPriority w:val="99"/>
    <w:unhideWhenUsed/>
    <w:rsid w:val="00AC6D8F"/>
    <w:pPr>
      <w:tabs>
        <w:tab w:val="center" w:pos="4703"/>
        <w:tab w:val="right" w:pos="9406"/>
      </w:tabs>
    </w:pPr>
  </w:style>
  <w:style w:type="character" w:customStyle="1" w:styleId="FooterChar">
    <w:name w:val="Footer Char"/>
    <w:basedOn w:val="DefaultParagraphFont"/>
    <w:link w:val="Footer"/>
    <w:uiPriority w:val="99"/>
    <w:rsid w:val="00AC6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Elin Lindh</dc:creator>
  <cp:keywords/>
  <dc:description/>
  <cp:lastModifiedBy>Alexander A</cp:lastModifiedBy>
  <cp:revision>4</cp:revision>
  <dcterms:created xsi:type="dcterms:W3CDTF">2019-09-04T12:21:00Z</dcterms:created>
  <dcterms:modified xsi:type="dcterms:W3CDTF">2020-05-10T13:48:00Z</dcterms:modified>
</cp:coreProperties>
</file>