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8EE802" w14:textId="77777777" w:rsidR="00617D13" w:rsidRDefault="00DE1411" w:rsidP="00DE1411">
      <w:pPr>
        <w:ind w:left="-14" w:right="-11" w:firstLine="0"/>
      </w:pPr>
      <w:r>
        <w:t>The General Data Protection Regulation (GDPR) has direct effect across all EU member states. Its main purpose which is stated in article 1, is to protect personal data processed by organizations regarding natural persons. Non-compliance with the law can ge</w:t>
      </w:r>
      <w:r>
        <w:t xml:space="preserve">nerate in fines up to 4 % of the company’s yearly income. This paper presents an overview of the key issues that needs to be considered for GDPR compliance.  </w:t>
      </w:r>
    </w:p>
    <w:p w14:paraId="20677C0E" w14:textId="77777777" w:rsidR="00617D13" w:rsidRDefault="00DE1411">
      <w:pPr>
        <w:ind w:left="-4" w:right="-11"/>
      </w:pPr>
      <w:r>
        <w:t>The first issue is to decide whether the law is applicable. Article 2 (GDPR) states that the regu</w:t>
      </w:r>
      <w:r>
        <w:t>lation covers the processing of personal data wholly or partly by automated means. Furthermore, the article clearly points out that personal data collected manually also is included if it forms or its intent is to form a filing system. The article also poi</w:t>
      </w:r>
      <w:r>
        <w:t xml:space="preserve">nts out exceptions in cases that the law does not need to be followed, such as if the data is purely personal or a household activity. It also has to be established that the activity falls within the territorial scope of the European union (article 3). </w:t>
      </w:r>
    </w:p>
    <w:p w14:paraId="3D0EEB12" w14:textId="77777777" w:rsidR="00617D13" w:rsidRDefault="00DE1411">
      <w:pPr>
        <w:ind w:left="-4" w:right="-11"/>
      </w:pPr>
      <w:r>
        <w:t>Se</w:t>
      </w:r>
      <w:r>
        <w:t>condly, it is important for the company to establish an understanding for some key definitions such as controller and processor (article 4) and in some cases designate a data protection officer (article 37). It is also important to understand that personal</w:t>
      </w:r>
      <w:r>
        <w:t xml:space="preserve"> data has a wide definition as it includes all data that can be used to directly or indirectly identify a person (article 4).  Furthermore, the principles in article 5 relating to processing of personal data needs to be considered. The article points out s</w:t>
      </w:r>
      <w:r>
        <w:t xml:space="preserve">ome key values such as purpose limitation, data minimization and accuracy that needs to be f.  It is also important to not storage longer than necessary.  </w:t>
      </w:r>
    </w:p>
    <w:p w14:paraId="005CDE0C" w14:textId="77777777" w:rsidR="00617D13" w:rsidRDefault="00DE1411">
      <w:pPr>
        <w:ind w:left="-4" w:right="-11"/>
      </w:pPr>
      <w:r>
        <w:t>Article 6 states the grounds on which processing of personal data is lawful. If none of these points</w:t>
      </w:r>
      <w:r>
        <w:t xml:space="preserve"> are fulfilled data processing is not allowed. The first point is when the data subject has given their consent to data processing. However, the consent needs to be clearly distinguishable from other matters and written in a clear and plain language, the c</w:t>
      </w:r>
      <w:r>
        <w:t>onsent is also withdrawable (article 7). Since consent can be up for interpretation it should be carefully considered. The other grounds in article 6 are as follows: that it is necessary for the performance of a contract, it is necessary to be in complianc</w:t>
      </w:r>
      <w:r>
        <w:t>e with legal obligations, it is necessary to protect vital interests of the data subject, it’s necessary for the performance of a task carried out in the public interest, and the last point which is that it is necessary for the purpose of a legitimate inte</w:t>
      </w:r>
      <w:r>
        <w:t xml:space="preserve">rested of pursued by the controller, if this is not overridden by the interest of fundamental rights and freedoms of the data subject.  In other words, the last point requires the interests to be balanced against each other. </w:t>
      </w:r>
    </w:p>
    <w:p w14:paraId="05BF10EF" w14:textId="77777777" w:rsidR="00617D13" w:rsidRDefault="00DE1411">
      <w:pPr>
        <w:ind w:left="-4" w:right="-11"/>
      </w:pPr>
      <w:r>
        <w:t>There are special rules for da</w:t>
      </w:r>
      <w:r>
        <w:t>ta protection regarding children and there are some personal data that is considered more delicate in article 9. Among others, these are for example ethnic origin, political opinions and religious or philosophical beliefs. When the special categories of pe</w:t>
      </w:r>
      <w:r>
        <w:t xml:space="preserve">rsonal data are considered requirements of protections are stricter. Moreover, there are rules for transparency towards the data subject and also a right to be forgotten (article 17). </w:t>
      </w:r>
    </w:p>
    <w:sectPr w:rsidR="00617D13">
      <w:pgSz w:w="11900" w:h="16840"/>
      <w:pgMar w:top="1440" w:right="1413" w:bottom="1440" w:left="141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D13"/>
    <w:rsid w:val="00617D13"/>
    <w:rsid w:val="00DE1411"/>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4E6C7"/>
  <w15:docId w15:val="{063C8F83-D269-4014-971A-744DD215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SE" w:eastAsia="en-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2" w:line="240" w:lineRule="auto"/>
      <w:ind w:left="11" w:right="1" w:hanging="1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0" w:line="240" w:lineRule="auto"/>
      <w:ind w:firstLine="1"/>
      <w:outlineLvl w:val="0"/>
    </w:pPr>
    <w:rPr>
      <w:rFonts w:ascii="Calibri" w:eastAsia="Calibri" w:hAnsi="Calibri" w:cs="Calibri"/>
      <w:color w:val="000000"/>
      <w:sz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pm.docx</dc:title>
  <dc:subject/>
  <dc:creator>Alexander A</dc:creator>
  <cp:keywords/>
  <cp:lastModifiedBy>Alexander A</cp:lastModifiedBy>
  <cp:revision>2</cp:revision>
  <dcterms:created xsi:type="dcterms:W3CDTF">2020-05-10T13:49:00Z</dcterms:created>
  <dcterms:modified xsi:type="dcterms:W3CDTF">2020-05-10T13:49:00Z</dcterms:modified>
</cp:coreProperties>
</file>