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48CD" w:rsidRPr="006F122F" w:rsidRDefault="003E48CD" w:rsidP="006F122F">
      <w:p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6F122F">
        <w:rPr>
          <w:rFonts w:cstheme="minorHAnsi"/>
          <w:sz w:val="24"/>
          <w:szCs w:val="24"/>
          <w:lang w:val="en-US"/>
        </w:rPr>
        <w:t>Initially</w:t>
      </w:r>
      <w:bookmarkStart w:id="0" w:name="_GoBack"/>
      <w:bookmarkEnd w:id="0"/>
      <w:r w:rsidRPr="006F122F">
        <w:rPr>
          <w:rFonts w:cstheme="minorHAnsi"/>
          <w:sz w:val="24"/>
          <w:szCs w:val="24"/>
          <w:lang w:val="en-US"/>
        </w:rPr>
        <w:t xml:space="preserve">, it should be carefully noted that the General Data Protection Regulation </w:t>
      </w:r>
      <w:r w:rsidR="006C24EB" w:rsidRPr="006F122F">
        <w:rPr>
          <w:rFonts w:cstheme="minorHAnsi"/>
          <w:sz w:val="24"/>
          <w:szCs w:val="24"/>
          <w:lang w:val="en-US"/>
        </w:rPr>
        <w:t>(henceforth “GDPR”</w:t>
      </w:r>
      <w:r w:rsidR="00CA75A4" w:rsidRPr="006F122F">
        <w:rPr>
          <w:rFonts w:cstheme="minorHAnsi"/>
          <w:sz w:val="24"/>
          <w:szCs w:val="24"/>
          <w:lang w:val="en-US"/>
        </w:rPr>
        <w:t xml:space="preserve">) is a European Union (“EU”) regulation. This means that it has so called direct applicability in all member states </w:t>
      </w:r>
      <w:r w:rsidR="006C24EB" w:rsidRPr="006F122F">
        <w:rPr>
          <w:rFonts w:cstheme="minorHAnsi"/>
          <w:sz w:val="24"/>
          <w:szCs w:val="24"/>
          <w:lang w:val="en-US"/>
        </w:rPr>
        <w:t>and has to be abided by like normal legislation</w:t>
      </w:r>
      <w:r w:rsidR="00CA75A4" w:rsidRPr="006F122F">
        <w:rPr>
          <w:rFonts w:cstheme="minorHAnsi"/>
          <w:sz w:val="24"/>
          <w:szCs w:val="24"/>
          <w:lang w:val="en-US"/>
        </w:rPr>
        <w:t>. Being an EU regulation also means that it takes pre</w:t>
      </w:r>
      <w:r w:rsidR="006C24EB" w:rsidRPr="006F122F">
        <w:rPr>
          <w:rFonts w:cstheme="minorHAnsi"/>
          <w:sz w:val="24"/>
          <w:szCs w:val="24"/>
          <w:lang w:val="en-US"/>
        </w:rPr>
        <w:t>cedence over any and all national</w:t>
      </w:r>
      <w:r w:rsidR="00CA75A4" w:rsidRPr="006F122F">
        <w:rPr>
          <w:rFonts w:cstheme="minorHAnsi"/>
          <w:sz w:val="24"/>
          <w:szCs w:val="24"/>
          <w:lang w:val="en-US"/>
        </w:rPr>
        <w:t xml:space="preserve"> law</w:t>
      </w:r>
      <w:r w:rsidR="00777913" w:rsidRPr="006F122F">
        <w:rPr>
          <w:rFonts w:cstheme="minorHAnsi"/>
          <w:sz w:val="24"/>
          <w:szCs w:val="24"/>
          <w:lang w:val="en-US"/>
        </w:rPr>
        <w:t xml:space="preserve"> in the event of a conflict of laws. </w:t>
      </w:r>
    </w:p>
    <w:p w:rsidR="00C0794B" w:rsidRPr="006F122F" w:rsidRDefault="006C24EB" w:rsidP="006F122F">
      <w:p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6F122F">
        <w:rPr>
          <w:rFonts w:cstheme="minorHAnsi"/>
          <w:sz w:val="24"/>
          <w:szCs w:val="24"/>
          <w:lang w:val="en-US"/>
        </w:rPr>
        <w:t>The GDPR should be used systematically and it is wise to study its articles</w:t>
      </w:r>
      <w:r w:rsidR="00C0794B" w:rsidRPr="006F122F">
        <w:rPr>
          <w:rFonts w:cstheme="minorHAnsi"/>
          <w:sz w:val="24"/>
          <w:szCs w:val="24"/>
          <w:lang w:val="en-US"/>
        </w:rPr>
        <w:t xml:space="preserve"> chronologically</w:t>
      </w:r>
      <w:r w:rsidRPr="006F122F">
        <w:rPr>
          <w:rFonts w:cstheme="minorHAnsi"/>
          <w:sz w:val="24"/>
          <w:szCs w:val="24"/>
          <w:lang w:val="en-US"/>
        </w:rPr>
        <w:t xml:space="preserve"> (i.e. article 1 first, then article 2 and so forth)</w:t>
      </w:r>
      <w:r w:rsidR="00C0794B" w:rsidRPr="006F122F">
        <w:rPr>
          <w:rFonts w:cstheme="minorHAnsi"/>
          <w:sz w:val="24"/>
          <w:szCs w:val="24"/>
          <w:lang w:val="en-US"/>
        </w:rPr>
        <w:t xml:space="preserve"> as a</w:t>
      </w:r>
      <w:r w:rsidRPr="006F122F">
        <w:rPr>
          <w:rFonts w:cstheme="minorHAnsi"/>
          <w:sz w:val="24"/>
          <w:szCs w:val="24"/>
          <w:lang w:val="en-US"/>
        </w:rPr>
        <w:t xml:space="preserve"> type of checklist. This way extra work </w:t>
      </w:r>
      <w:r w:rsidR="00995AEF" w:rsidRPr="006F122F">
        <w:rPr>
          <w:rFonts w:cstheme="minorHAnsi"/>
          <w:sz w:val="24"/>
          <w:szCs w:val="24"/>
          <w:lang w:val="en-US"/>
        </w:rPr>
        <w:t>is avoided</w:t>
      </w:r>
      <w:r w:rsidRPr="006F122F">
        <w:rPr>
          <w:rFonts w:cstheme="minorHAnsi"/>
          <w:sz w:val="24"/>
          <w:szCs w:val="24"/>
          <w:lang w:val="en-US"/>
        </w:rPr>
        <w:t xml:space="preserve"> if an answer is found sooner rather than later in the checklist. As alluded to earlier on, t</w:t>
      </w:r>
      <w:r w:rsidR="009F168C" w:rsidRPr="006F122F">
        <w:rPr>
          <w:rFonts w:cstheme="minorHAnsi"/>
          <w:sz w:val="24"/>
          <w:szCs w:val="24"/>
          <w:lang w:val="en-US"/>
        </w:rPr>
        <w:t xml:space="preserve">his also carries with it the added benefit of </w:t>
      </w:r>
      <w:r w:rsidR="0012489E" w:rsidRPr="006F122F">
        <w:rPr>
          <w:rFonts w:cstheme="minorHAnsi"/>
          <w:sz w:val="24"/>
          <w:szCs w:val="24"/>
          <w:lang w:val="en-US"/>
        </w:rPr>
        <w:t>being a thorough and systematical appr</w:t>
      </w:r>
      <w:r w:rsidRPr="006F122F">
        <w:rPr>
          <w:rFonts w:cstheme="minorHAnsi"/>
          <w:sz w:val="24"/>
          <w:szCs w:val="24"/>
          <w:lang w:val="en-US"/>
        </w:rPr>
        <w:t>oach to solving a legal problem</w:t>
      </w:r>
      <w:r w:rsidR="0012489E" w:rsidRPr="006F122F">
        <w:rPr>
          <w:rFonts w:cstheme="minorHAnsi"/>
          <w:sz w:val="24"/>
          <w:szCs w:val="24"/>
          <w:lang w:val="en-US"/>
        </w:rPr>
        <w:t xml:space="preserve"> as the risk of missing certain vital aspects</w:t>
      </w:r>
      <w:r w:rsidRPr="006F122F">
        <w:rPr>
          <w:rFonts w:cstheme="minorHAnsi"/>
          <w:sz w:val="24"/>
          <w:szCs w:val="24"/>
          <w:lang w:val="en-US"/>
        </w:rPr>
        <w:t xml:space="preserve"> of a legal problem</w:t>
      </w:r>
      <w:r w:rsidR="0012489E" w:rsidRPr="006F122F">
        <w:rPr>
          <w:rFonts w:cstheme="minorHAnsi"/>
          <w:sz w:val="24"/>
          <w:szCs w:val="24"/>
          <w:lang w:val="en-US"/>
        </w:rPr>
        <w:t xml:space="preserve"> is decreased. </w:t>
      </w:r>
    </w:p>
    <w:p w:rsidR="00741E6B" w:rsidRPr="006F122F" w:rsidRDefault="00741E6B" w:rsidP="006F122F">
      <w:p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6F122F">
        <w:rPr>
          <w:rFonts w:cstheme="minorHAnsi"/>
          <w:sz w:val="24"/>
          <w:szCs w:val="24"/>
          <w:lang w:val="en-US"/>
        </w:rPr>
        <w:t xml:space="preserve">Naturally, </w:t>
      </w:r>
      <w:r w:rsidR="001F6C7F" w:rsidRPr="006F122F">
        <w:rPr>
          <w:rFonts w:cstheme="minorHAnsi"/>
          <w:sz w:val="24"/>
          <w:szCs w:val="24"/>
          <w:lang w:val="en-US"/>
        </w:rPr>
        <w:t>checking</w:t>
      </w:r>
      <w:r w:rsidRPr="006F122F">
        <w:rPr>
          <w:rFonts w:cstheme="minorHAnsi"/>
          <w:sz w:val="24"/>
          <w:szCs w:val="24"/>
          <w:lang w:val="en-US"/>
        </w:rPr>
        <w:t xml:space="preserve"> off</w:t>
      </w:r>
      <w:r w:rsidR="001F6C7F" w:rsidRPr="006F122F">
        <w:rPr>
          <w:rFonts w:cstheme="minorHAnsi"/>
          <w:sz w:val="24"/>
          <w:szCs w:val="24"/>
          <w:lang w:val="en-US"/>
        </w:rPr>
        <w:t xml:space="preserve"> every single article of the GDPR is unrealistic in a practical setting where decisions have to be m</w:t>
      </w:r>
      <w:r w:rsidR="00E353D5" w:rsidRPr="006F122F">
        <w:rPr>
          <w:rFonts w:cstheme="minorHAnsi"/>
          <w:sz w:val="24"/>
          <w:szCs w:val="24"/>
          <w:lang w:val="en-US"/>
        </w:rPr>
        <w:t xml:space="preserve">ade within a set time frame. </w:t>
      </w:r>
      <w:r w:rsidR="00BB2BAE" w:rsidRPr="006F122F">
        <w:rPr>
          <w:rFonts w:cstheme="minorHAnsi"/>
          <w:sz w:val="24"/>
          <w:szCs w:val="24"/>
          <w:lang w:val="en-US"/>
        </w:rPr>
        <w:t xml:space="preserve">The </w:t>
      </w:r>
      <w:proofErr w:type="gramStart"/>
      <w:r w:rsidR="00BB2BAE" w:rsidRPr="006F122F">
        <w:rPr>
          <w:rFonts w:cstheme="minorHAnsi"/>
          <w:sz w:val="24"/>
          <w:szCs w:val="24"/>
          <w:lang w:val="en-US"/>
        </w:rPr>
        <w:t xml:space="preserve">realities </w:t>
      </w:r>
      <w:r w:rsidRPr="006F122F">
        <w:rPr>
          <w:rFonts w:cstheme="minorHAnsi"/>
          <w:sz w:val="24"/>
          <w:szCs w:val="24"/>
          <w:lang w:val="en-US"/>
        </w:rPr>
        <w:t>of a practical setting therefore calls</w:t>
      </w:r>
      <w:proofErr w:type="gramEnd"/>
      <w:r w:rsidRPr="006F122F">
        <w:rPr>
          <w:rFonts w:cstheme="minorHAnsi"/>
          <w:sz w:val="24"/>
          <w:szCs w:val="24"/>
          <w:lang w:val="en-US"/>
        </w:rPr>
        <w:t xml:space="preserve"> for a summarized checklist. Even though the points below constitute only a summary version of the exhaustive GDPR they should work as a starting point for many cases. </w:t>
      </w:r>
    </w:p>
    <w:p w:rsidR="00741E6B" w:rsidRPr="006F122F" w:rsidRDefault="007232BC" w:rsidP="006F122F">
      <w:p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6F122F">
        <w:rPr>
          <w:rFonts w:cstheme="minorHAnsi"/>
          <w:sz w:val="24"/>
          <w:szCs w:val="24"/>
          <w:lang w:val="en-US"/>
        </w:rPr>
        <w:t xml:space="preserve">The first step is to establish whether or not the GDPR is applicable at all. Applicability </w:t>
      </w:r>
      <w:r w:rsidR="00741E6B" w:rsidRPr="006F122F">
        <w:rPr>
          <w:rFonts w:cstheme="minorHAnsi"/>
          <w:sz w:val="24"/>
          <w:szCs w:val="24"/>
          <w:lang w:val="en-US"/>
        </w:rPr>
        <w:t>can be divided up in to two, material applicability (a</w:t>
      </w:r>
      <w:r w:rsidRPr="006F122F">
        <w:rPr>
          <w:rFonts w:cstheme="minorHAnsi"/>
          <w:sz w:val="24"/>
          <w:szCs w:val="24"/>
          <w:lang w:val="en-US"/>
        </w:rPr>
        <w:t xml:space="preserve">rticle 2) </w:t>
      </w:r>
      <w:r w:rsidR="00741E6B" w:rsidRPr="006F122F">
        <w:rPr>
          <w:rFonts w:cstheme="minorHAnsi"/>
          <w:sz w:val="24"/>
          <w:szCs w:val="24"/>
          <w:lang w:val="en-US"/>
        </w:rPr>
        <w:t>and territorial applicability (a</w:t>
      </w:r>
      <w:r w:rsidRPr="006F122F">
        <w:rPr>
          <w:rFonts w:cstheme="minorHAnsi"/>
          <w:sz w:val="24"/>
          <w:szCs w:val="24"/>
          <w:lang w:val="en-US"/>
        </w:rPr>
        <w:t xml:space="preserve">rticle 3). </w:t>
      </w:r>
      <w:r w:rsidR="00F22A4E" w:rsidRPr="006F122F">
        <w:rPr>
          <w:rFonts w:cstheme="minorHAnsi"/>
          <w:sz w:val="24"/>
          <w:szCs w:val="24"/>
          <w:lang w:val="en-US"/>
        </w:rPr>
        <w:t>As goes for material applicability, the rule of thumb is that the GDPR is applicable in situations where</w:t>
      </w:r>
      <w:r w:rsidR="00BB2BAE" w:rsidRPr="006F122F">
        <w:rPr>
          <w:rFonts w:cstheme="minorHAnsi"/>
          <w:sz w:val="24"/>
          <w:szCs w:val="24"/>
          <w:lang w:val="en-US"/>
        </w:rPr>
        <w:t xml:space="preserve"> personal</w:t>
      </w:r>
      <w:r w:rsidR="00F22A4E" w:rsidRPr="006F122F">
        <w:rPr>
          <w:rFonts w:cstheme="minorHAnsi"/>
          <w:sz w:val="24"/>
          <w:szCs w:val="24"/>
          <w:lang w:val="en-US"/>
        </w:rPr>
        <w:t xml:space="preserve"> data is processed partly or wholly automatically. </w:t>
      </w:r>
      <w:r w:rsidR="00741E6B" w:rsidRPr="006F122F">
        <w:rPr>
          <w:rFonts w:cstheme="minorHAnsi"/>
          <w:sz w:val="24"/>
          <w:szCs w:val="24"/>
          <w:lang w:val="en-US"/>
        </w:rPr>
        <w:t>Article 2 is however full of exceptions and one should be cautious when studying it. Regarding territorial applicability,</w:t>
      </w:r>
      <w:r w:rsidR="00745525" w:rsidRPr="006F122F">
        <w:rPr>
          <w:rFonts w:cstheme="minorHAnsi"/>
          <w:sz w:val="24"/>
          <w:szCs w:val="24"/>
          <w:lang w:val="en-US"/>
        </w:rPr>
        <w:t xml:space="preserve"> the main rule</w:t>
      </w:r>
      <w:r w:rsidR="00741E6B" w:rsidRPr="006F122F">
        <w:rPr>
          <w:rFonts w:cstheme="minorHAnsi"/>
          <w:sz w:val="24"/>
          <w:szCs w:val="24"/>
          <w:lang w:val="en-US"/>
        </w:rPr>
        <w:t xml:space="preserve"> is that the</w:t>
      </w:r>
      <w:r w:rsidR="00BB2BAE" w:rsidRPr="006F122F">
        <w:rPr>
          <w:rFonts w:cstheme="minorHAnsi"/>
          <w:sz w:val="24"/>
          <w:szCs w:val="24"/>
          <w:lang w:val="en-US"/>
        </w:rPr>
        <w:t xml:space="preserve"> personal</w:t>
      </w:r>
      <w:r w:rsidR="00741E6B" w:rsidRPr="006F122F">
        <w:rPr>
          <w:rFonts w:cstheme="minorHAnsi"/>
          <w:sz w:val="24"/>
          <w:szCs w:val="24"/>
          <w:lang w:val="en-US"/>
        </w:rPr>
        <w:t xml:space="preserve"> data processing has to serve a </w:t>
      </w:r>
      <w:r w:rsidR="00745525" w:rsidRPr="006F122F">
        <w:rPr>
          <w:rFonts w:cstheme="minorHAnsi"/>
          <w:sz w:val="24"/>
          <w:szCs w:val="24"/>
          <w:lang w:val="en-US"/>
        </w:rPr>
        <w:t xml:space="preserve">place of operations within the EU. </w:t>
      </w:r>
      <w:r w:rsidR="00BB2BAE" w:rsidRPr="006F122F">
        <w:rPr>
          <w:rFonts w:cstheme="minorHAnsi"/>
          <w:sz w:val="24"/>
          <w:szCs w:val="24"/>
          <w:lang w:val="en-US"/>
        </w:rPr>
        <w:t xml:space="preserve">The personal data processing itself does not have to take place within the EU. </w:t>
      </w:r>
    </w:p>
    <w:p w:rsidR="00BB2BAE" w:rsidRPr="006F122F" w:rsidRDefault="00951C3B" w:rsidP="006F122F">
      <w:p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6F122F">
        <w:rPr>
          <w:rFonts w:cstheme="minorHAnsi"/>
          <w:sz w:val="24"/>
          <w:szCs w:val="24"/>
          <w:lang w:val="en-US"/>
        </w:rPr>
        <w:t>Moreover it is necessary to establish who the P</w:t>
      </w:r>
      <w:r w:rsidR="00BB2BAE" w:rsidRPr="006F122F">
        <w:rPr>
          <w:rFonts w:cstheme="minorHAnsi"/>
          <w:sz w:val="24"/>
          <w:szCs w:val="24"/>
          <w:lang w:val="en-US"/>
        </w:rPr>
        <w:t xml:space="preserve">ersonal Data Controller is, given they according to article 82 are ultimately responsible for any damages caused by a transgression of the GDPR. It is also possible that this has been outsourced to a Personal Data Processor in which case they, in accordance with article 82, may be responsible. Legal definitions of these parties can be found in article 4. A transgression may result in an administrative fee. The administrative fee is not fixed </w:t>
      </w:r>
      <w:r w:rsidR="002D5E12" w:rsidRPr="006F122F">
        <w:rPr>
          <w:rFonts w:cstheme="minorHAnsi"/>
          <w:sz w:val="24"/>
          <w:szCs w:val="24"/>
          <w:lang w:val="en-US"/>
        </w:rPr>
        <w:t>and depends on the transgression in question. An absolute maximum of 20 000 000 EUR or 4 % of global revenue for companies</w:t>
      </w:r>
      <w:r w:rsidR="00B512D3" w:rsidRPr="006F122F">
        <w:rPr>
          <w:rFonts w:cstheme="minorHAnsi"/>
          <w:sz w:val="24"/>
          <w:szCs w:val="24"/>
          <w:lang w:val="en-US"/>
        </w:rPr>
        <w:t xml:space="preserve"> (whichever is the largest)</w:t>
      </w:r>
      <w:r w:rsidR="002D5E12" w:rsidRPr="006F122F">
        <w:rPr>
          <w:rFonts w:cstheme="minorHAnsi"/>
          <w:sz w:val="24"/>
          <w:szCs w:val="24"/>
          <w:lang w:val="en-US"/>
        </w:rPr>
        <w:t xml:space="preserve"> has however been fixed in </w:t>
      </w:r>
      <w:r w:rsidR="00B512D3" w:rsidRPr="006F122F">
        <w:rPr>
          <w:rFonts w:cstheme="minorHAnsi"/>
          <w:sz w:val="24"/>
          <w:szCs w:val="24"/>
          <w:lang w:val="en-US"/>
        </w:rPr>
        <w:t xml:space="preserve">article 83. </w:t>
      </w:r>
    </w:p>
    <w:p w:rsidR="00BA12AF" w:rsidRPr="006F122F" w:rsidRDefault="009D39A4" w:rsidP="006F122F">
      <w:p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6F122F">
        <w:rPr>
          <w:rFonts w:cstheme="minorHAnsi"/>
          <w:sz w:val="24"/>
          <w:szCs w:val="24"/>
          <w:lang w:val="en-US"/>
        </w:rPr>
        <w:t xml:space="preserve">If the GDPR is indeed applicable and </w:t>
      </w:r>
      <w:r w:rsidR="0089217B" w:rsidRPr="006F122F">
        <w:rPr>
          <w:rFonts w:cstheme="minorHAnsi"/>
          <w:sz w:val="24"/>
          <w:szCs w:val="24"/>
          <w:lang w:val="en-US"/>
        </w:rPr>
        <w:t>a responsible party has been established the question of whether or not the data processing itself is legal then arises. This is determined by using articles 5 and 6. Article 5 concerns data protection principles, for instance whether or not the</w:t>
      </w:r>
      <w:r w:rsidR="00F54151" w:rsidRPr="006F122F">
        <w:rPr>
          <w:rFonts w:cstheme="minorHAnsi"/>
          <w:sz w:val="24"/>
          <w:szCs w:val="24"/>
          <w:lang w:val="en-US"/>
        </w:rPr>
        <w:t xml:space="preserve"> use</w:t>
      </w:r>
      <w:r w:rsidR="0089217B" w:rsidRPr="006F122F">
        <w:rPr>
          <w:rFonts w:cstheme="minorHAnsi"/>
          <w:sz w:val="24"/>
          <w:szCs w:val="24"/>
          <w:lang w:val="en-US"/>
        </w:rPr>
        <w:t xml:space="preserve"> data being processed is </w:t>
      </w:r>
      <w:r w:rsidR="00F54151" w:rsidRPr="006F122F">
        <w:rPr>
          <w:rFonts w:cstheme="minorHAnsi"/>
          <w:sz w:val="24"/>
          <w:szCs w:val="24"/>
          <w:lang w:val="en-US"/>
        </w:rPr>
        <w:t>limited to the purp</w:t>
      </w:r>
      <w:r w:rsidR="00B512D3" w:rsidRPr="006F122F">
        <w:rPr>
          <w:rFonts w:cstheme="minorHAnsi"/>
          <w:sz w:val="24"/>
          <w:szCs w:val="24"/>
          <w:lang w:val="en-US"/>
        </w:rPr>
        <w:t>oses for which it was gathered. In regard to article 6 it is used to determine</w:t>
      </w:r>
      <w:r w:rsidR="00F54151" w:rsidRPr="006F122F">
        <w:rPr>
          <w:rFonts w:cstheme="minorHAnsi"/>
          <w:sz w:val="24"/>
          <w:szCs w:val="24"/>
          <w:lang w:val="en-US"/>
        </w:rPr>
        <w:t xml:space="preserve"> whether or not there is a legal basis for the processing of the data. The most notable cases of this </w:t>
      </w:r>
      <w:proofErr w:type="gramStart"/>
      <w:r w:rsidR="00F54151" w:rsidRPr="006F122F">
        <w:rPr>
          <w:rFonts w:cstheme="minorHAnsi"/>
          <w:sz w:val="24"/>
          <w:szCs w:val="24"/>
          <w:lang w:val="en-US"/>
        </w:rPr>
        <w:t>is</w:t>
      </w:r>
      <w:proofErr w:type="gramEnd"/>
      <w:r w:rsidR="00F54151" w:rsidRPr="006F122F">
        <w:rPr>
          <w:rFonts w:cstheme="minorHAnsi"/>
          <w:sz w:val="24"/>
          <w:szCs w:val="24"/>
          <w:lang w:val="en-US"/>
        </w:rPr>
        <w:t xml:space="preserve"> </w:t>
      </w:r>
      <w:r w:rsidR="00B512D3" w:rsidRPr="006F122F">
        <w:rPr>
          <w:rFonts w:cstheme="minorHAnsi"/>
          <w:sz w:val="24"/>
          <w:szCs w:val="24"/>
          <w:lang w:val="en-US"/>
        </w:rPr>
        <w:t xml:space="preserve">consent </w:t>
      </w:r>
      <w:r w:rsidR="00623C2C" w:rsidRPr="006F122F">
        <w:rPr>
          <w:rFonts w:cstheme="minorHAnsi"/>
          <w:sz w:val="24"/>
          <w:szCs w:val="24"/>
          <w:lang w:val="en-US"/>
        </w:rPr>
        <w:t xml:space="preserve">and a </w:t>
      </w:r>
      <w:r w:rsidR="00B512D3" w:rsidRPr="006F122F">
        <w:rPr>
          <w:rFonts w:cstheme="minorHAnsi"/>
          <w:sz w:val="24"/>
          <w:szCs w:val="24"/>
          <w:lang w:val="en-US"/>
        </w:rPr>
        <w:t>balancing of interests</w:t>
      </w:r>
      <w:r w:rsidR="00623C2C" w:rsidRPr="006F122F">
        <w:rPr>
          <w:rFonts w:cstheme="minorHAnsi"/>
          <w:sz w:val="24"/>
          <w:szCs w:val="24"/>
          <w:lang w:val="en-US"/>
        </w:rPr>
        <w:t xml:space="preserve">. </w:t>
      </w:r>
    </w:p>
    <w:p w:rsidR="00A26299" w:rsidRPr="006F122F" w:rsidRDefault="007920AE" w:rsidP="006F122F">
      <w:pPr>
        <w:spacing w:line="240" w:lineRule="auto"/>
        <w:jc w:val="both"/>
        <w:rPr>
          <w:rFonts w:cstheme="minorHAnsi"/>
          <w:sz w:val="24"/>
          <w:szCs w:val="24"/>
          <w:lang w:val="en-US"/>
        </w:rPr>
      </w:pPr>
      <w:r w:rsidRPr="006F122F">
        <w:rPr>
          <w:rFonts w:cstheme="minorHAnsi"/>
          <w:sz w:val="24"/>
          <w:szCs w:val="24"/>
          <w:lang w:val="en-US"/>
        </w:rPr>
        <w:t>The rules on transferring personal data to a third country or international organization can be found in Cha</w:t>
      </w:r>
      <w:r w:rsidR="00190795" w:rsidRPr="006F122F">
        <w:rPr>
          <w:rFonts w:cstheme="minorHAnsi"/>
          <w:sz w:val="24"/>
          <w:szCs w:val="24"/>
          <w:lang w:val="en-US"/>
        </w:rPr>
        <w:t>pter V and start with article 44</w:t>
      </w:r>
      <w:r w:rsidRPr="006F122F">
        <w:rPr>
          <w:rFonts w:cstheme="minorHAnsi"/>
          <w:sz w:val="24"/>
          <w:szCs w:val="24"/>
          <w:lang w:val="en-US"/>
        </w:rPr>
        <w:t xml:space="preserve">. </w:t>
      </w:r>
      <w:r w:rsidR="0022680C" w:rsidRPr="006F122F">
        <w:rPr>
          <w:rFonts w:cstheme="minorHAnsi"/>
          <w:sz w:val="24"/>
          <w:szCs w:val="24"/>
          <w:lang w:val="en-US"/>
        </w:rPr>
        <w:t>The GDPR has a restrictive view on transfers of person</w:t>
      </w:r>
      <w:r w:rsidR="00190795" w:rsidRPr="006F122F">
        <w:rPr>
          <w:rFonts w:cstheme="minorHAnsi"/>
          <w:sz w:val="24"/>
          <w:szCs w:val="24"/>
          <w:lang w:val="en-US"/>
        </w:rPr>
        <w:t>al data outside of the EU</w:t>
      </w:r>
      <w:r w:rsidR="0022680C" w:rsidRPr="006F122F">
        <w:rPr>
          <w:rFonts w:cstheme="minorHAnsi"/>
          <w:sz w:val="24"/>
          <w:szCs w:val="24"/>
          <w:lang w:val="en-US"/>
        </w:rPr>
        <w:t xml:space="preserve">. </w:t>
      </w:r>
      <w:r w:rsidR="00A26299" w:rsidRPr="006F122F">
        <w:rPr>
          <w:rFonts w:cstheme="minorHAnsi"/>
          <w:sz w:val="24"/>
          <w:szCs w:val="24"/>
          <w:lang w:val="en-US"/>
        </w:rPr>
        <w:t>It is possible for the European Commission to decide that a certain country’s standard of data processing complies with the GDPR. Furthermore a global company can create binding corporate rules (BCR’s) for the entire organization</w:t>
      </w:r>
      <w:r w:rsidR="00190795" w:rsidRPr="006F122F">
        <w:rPr>
          <w:rFonts w:cstheme="minorHAnsi"/>
          <w:sz w:val="24"/>
          <w:szCs w:val="24"/>
          <w:lang w:val="en-US"/>
        </w:rPr>
        <w:t xml:space="preserve"> that comply with the GDPR. </w:t>
      </w:r>
    </w:p>
    <w:sectPr w:rsidR="00A26299" w:rsidRPr="006F1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D25"/>
    <w:rsid w:val="00085271"/>
    <w:rsid w:val="0012489E"/>
    <w:rsid w:val="00190795"/>
    <w:rsid w:val="001F6C7F"/>
    <w:rsid w:val="0022680C"/>
    <w:rsid w:val="002B38E3"/>
    <w:rsid w:val="002C7CF0"/>
    <w:rsid w:val="002D5E12"/>
    <w:rsid w:val="002F7D16"/>
    <w:rsid w:val="00325DCE"/>
    <w:rsid w:val="003B617A"/>
    <w:rsid w:val="003E48CD"/>
    <w:rsid w:val="00430057"/>
    <w:rsid w:val="004F5F22"/>
    <w:rsid w:val="005870B1"/>
    <w:rsid w:val="00621D25"/>
    <w:rsid w:val="00623C2C"/>
    <w:rsid w:val="0068765D"/>
    <w:rsid w:val="006C24EB"/>
    <w:rsid w:val="006F122F"/>
    <w:rsid w:val="007232BC"/>
    <w:rsid w:val="00741E6B"/>
    <w:rsid w:val="00745525"/>
    <w:rsid w:val="00765833"/>
    <w:rsid w:val="00777913"/>
    <w:rsid w:val="007920AE"/>
    <w:rsid w:val="008003AF"/>
    <w:rsid w:val="0089217B"/>
    <w:rsid w:val="00916D0C"/>
    <w:rsid w:val="00951C3B"/>
    <w:rsid w:val="00995AEF"/>
    <w:rsid w:val="009A2EDB"/>
    <w:rsid w:val="009D39A4"/>
    <w:rsid w:val="009F168C"/>
    <w:rsid w:val="00A26299"/>
    <w:rsid w:val="00B512D3"/>
    <w:rsid w:val="00BA12AF"/>
    <w:rsid w:val="00BB2BAE"/>
    <w:rsid w:val="00C0794B"/>
    <w:rsid w:val="00CA75A4"/>
    <w:rsid w:val="00E3215C"/>
    <w:rsid w:val="00E353D5"/>
    <w:rsid w:val="00E6751D"/>
    <w:rsid w:val="00F22A4E"/>
    <w:rsid w:val="00F5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1D"/>
  </w:style>
  <w:style w:type="paragraph" w:styleId="Rubrik1">
    <w:name w:val="heading 1"/>
    <w:basedOn w:val="Normal"/>
    <w:next w:val="Normal"/>
    <w:link w:val="Rubrik1Char"/>
    <w:uiPriority w:val="9"/>
    <w:qFormat/>
    <w:rsid w:val="00E675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675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675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E675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nehll1">
    <w:name w:val="toc 1"/>
    <w:basedOn w:val="Normal"/>
    <w:next w:val="Normal"/>
    <w:autoRedefine/>
    <w:uiPriority w:val="39"/>
    <w:unhideWhenUsed/>
    <w:qFormat/>
    <w:rsid w:val="00E6751D"/>
    <w:pPr>
      <w:spacing w:after="100"/>
    </w:pPr>
    <w:rPr>
      <w:rFonts w:eastAsiaTheme="minorEastAsia"/>
      <w:lang w:eastAsia="sv-SE"/>
    </w:rPr>
  </w:style>
  <w:style w:type="paragraph" w:styleId="Innehll2">
    <w:name w:val="toc 2"/>
    <w:basedOn w:val="Normal"/>
    <w:next w:val="Normal"/>
    <w:autoRedefine/>
    <w:uiPriority w:val="39"/>
    <w:unhideWhenUsed/>
    <w:qFormat/>
    <w:rsid w:val="00E6751D"/>
    <w:pPr>
      <w:spacing w:after="100"/>
      <w:ind w:left="220"/>
    </w:pPr>
    <w:rPr>
      <w:rFonts w:eastAsiaTheme="minorEastAsia"/>
      <w:lang w:eastAsia="sv-SE"/>
    </w:rPr>
  </w:style>
  <w:style w:type="paragraph" w:styleId="Innehll3">
    <w:name w:val="toc 3"/>
    <w:basedOn w:val="Normal"/>
    <w:next w:val="Normal"/>
    <w:autoRedefine/>
    <w:uiPriority w:val="39"/>
    <w:semiHidden/>
    <w:unhideWhenUsed/>
    <w:qFormat/>
    <w:rsid w:val="00E6751D"/>
    <w:pPr>
      <w:spacing w:after="100"/>
      <w:ind w:left="440"/>
    </w:pPr>
    <w:rPr>
      <w:rFonts w:eastAsiaTheme="minorEastAsia"/>
      <w:lang w:eastAsia="sv-SE"/>
    </w:rPr>
  </w:style>
  <w:style w:type="paragraph" w:styleId="Liststycke">
    <w:name w:val="List Paragraph"/>
    <w:basedOn w:val="Normal"/>
    <w:uiPriority w:val="34"/>
    <w:qFormat/>
    <w:rsid w:val="00E6751D"/>
    <w:pPr>
      <w:ind w:left="720"/>
      <w:contextualSpacing/>
    </w:p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E6751D"/>
    <w:pPr>
      <w:outlineLvl w:val="9"/>
    </w:pPr>
    <w:rPr>
      <w:lang w:eastAsia="sv-S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CA75A4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CA75A4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CA75A4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CA75A4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CA75A4"/>
    <w:rPr>
      <w:b/>
      <w:bCs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CA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CA75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1D"/>
  </w:style>
  <w:style w:type="paragraph" w:styleId="Rubrik1">
    <w:name w:val="heading 1"/>
    <w:basedOn w:val="Normal"/>
    <w:next w:val="Normal"/>
    <w:link w:val="Rubrik1Char"/>
    <w:uiPriority w:val="9"/>
    <w:qFormat/>
    <w:rsid w:val="00E6751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E675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6751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E675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nehll1">
    <w:name w:val="toc 1"/>
    <w:basedOn w:val="Normal"/>
    <w:next w:val="Normal"/>
    <w:autoRedefine/>
    <w:uiPriority w:val="39"/>
    <w:unhideWhenUsed/>
    <w:qFormat/>
    <w:rsid w:val="00E6751D"/>
    <w:pPr>
      <w:spacing w:after="100"/>
    </w:pPr>
    <w:rPr>
      <w:rFonts w:eastAsiaTheme="minorEastAsia"/>
      <w:lang w:eastAsia="sv-SE"/>
    </w:rPr>
  </w:style>
  <w:style w:type="paragraph" w:styleId="Innehll2">
    <w:name w:val="toc 2"/>
    <w:basedOn w:val="Normal"/>
    <w:next w:val="Normal"/>
    <w:autoRedefine/>
    <w:uiPriority w:val="39"/>
    <w:unhideWhenUsed/>
    <w:qFormat/>
    <w:rsid w:val="00E6751D"/>
    <w:pPr>
      <w:spacing w:after="100"/>
      <w:ind w:left="220"/>
    </w:pPr>
    <w:rPr>
      <w:rFonts w:eastAsiaTheme="minorEastAsia"/>
      <w:lang w:eastAsia="sv-SE"/>
    </w:rPr>
  </w:style>
  <w:style w:type="paragraph" w:styleId="Innehll3">
    <w:name w:val="toc 3"/>
    <w:basedOn w:val="Normal"/>
    <w:next w:val="Normal"/>
    <w:autoRedefine/>
    <w:uiPriority w:val="39"/>
    <w:semiHidden/>
    <w:unhideWhenUsed/>
    <w:qFormat/>
    <w:rsid w:val="00E6751D"/>
    <w:pPr>
      <w:spacing w:after="100"/>
      <w:ind w:left="440"/>
    </w:pPr>
    <w:rPr>
      <w:rFonts w:eastAsiaTheme="minorEastAsia"/>
      <w:lang w:eastAsia="sv-SE"/>
    </w:rPr>
  </w:style>
  <w:style w:type="paragraph" w:styleId="Liststycke">
    <w:name w:val="List Paragraph"/>
    <w:basedOn w:val="Normal"/>
    <w:uiPriority w:val="34"/>
    <w:qFormat/>
    <w:rsid w:val="00E6751D"/>
    <w:pPr>
      <w:ind w:left="720"/>
      <w:contextualSpacing/>
    </w:p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E6751D"/>
    <w:pPr>
      <w:outlineLvl w:val="9"/>
    </w:pPr>
    <w:rPr>
      <w:lang w:eastAsia="sv-S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CA75A4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CA75A4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CA75A4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CA75A4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CA75A4"/>
    <w:rPr>
      <w:b/>
      <w:bCs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CA75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CA75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576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Pomona-gruppen AB</Company>
  <LinksUpToDate>false</LinksUpToDate>
  <CharactersWithSpaces>3625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Gustaf Olsson</dc:creator>
  <cp:keywords/>
  <dc:description/>
  <cp:lastModifiedBy>Gustaf Olsson</cp:lastModifiedBy>
  <cp:revision>107</cp:revision>
  <dcterms:created xsi:type="dcterms:W3CDTF">2019-09-05T09:01:00Z</dcterms:created>
  <dcterms:modified xsi:type="dcterms:W3CDTF">2019-09-06T11:55:00Z</dcterms:modified>
</cp:coreProperties>
</file>