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2A2" w:rsidRPr="009904E0" w:rsidRDefault="00363601" w:rsidP="00CA1BD9">
      <w:pPr>
        <w:rPr>
          <w:rFonts w:asciiTheme="majorHAnsi" w:hAnsiTheme="majorHAnsi" w:cstheme="majorHAnsi"/>
          <w:lang w:val="en-US"/>
        </w:rPr>
      </w:pPr>
      <w:r>
        <w:rPr>
          <w:rFonts w:asciiTheme="majorHAnsi" w:hAnsiTheme="majorHAnsi" w:cstheme="majorHAnsi"/>
          <w:lang w:val="en-US"/>
        </w:rPr>
        <w:t xml:space="preserve">The articles in the regulation are made to be followed </w:t>
      </w:r>
      <w:r w:rsidR="009523F8">
        <w:rPr>
          <w:rFonts w:asciiTheme="majorHAnsi" w:hAnsiTheme="majorHAnsi" w:cstheme="majorHAnsi"/>
          <w:lang w:val="en-US"/>
        </w:rPr>
        <w:t>in</w:t>
      </w:r>
      <w:r>
        <w:rPr>
          <w:rFonts w:asciiTheme="majorHAnsi" w:hAnsiTheme="majorHAnsi" w:cstheme="majorHAnsi"/>
          <w:lang w:val="en-US"/>
        </w:rPr>
        <w:t xml:space="preserve"> order. Article 2 is important to go through in order to know if GDPR is applicable. Point 1 tells us when the regulation is applicable </w:t>
      </w:r>
      <w:r w:rsidR="00922F6F">
        <w:rPr>
          <w:rFonts w:asciiTheme="majorHAnsi" w:hAnsiTheme="majorHAnsi" w:cstheme="majorHAnsi"/>
          <w:lang w:val="en-US"/>
        </w:rPr>
        <w:t>(processing</w:t>
      </w:r>
      <w:r w:rsidRPr="00363601">
        <w:rPr>
          <w:rFonts w:asciiTheme="majorHAnsi" w:hAnsiTheme="majorHAnsi" w:cstheme="majorHAnsi"/>
          <w:lang w:val="en-US"/>
        </w:rPr>
        <w:t xml:space="preserve"> of personal data by automated means and </w:t>
      </w:r>
      <w:r w:rsidR="00922F6F">
        <w:rPr>
          <w:rFonts w:asciiTheme="majorHAnsi" w:hAnsiTheme="majorHAnsi" w:cstheme="majorHAnsi"/>
          <w:lang w:val="en-US"/>
        </w:rPr>
        <w:t>when it’s</w:t>
      </w:r>
      <w:r w:rsidRPr="00363601">
        <w:rPr>
          <w:rFonts w:asciiTheme="majorHAnsi" w:hAnsiTheme="majorHAnsi" w:cstheme="majorHAnsi"/>
          <w:lang w:val="en-US"/>
        </w:rPr>
        <w:t xml:space="preserve"> part of a filing system</w:t>
      </w:r>
      <w:r>
        <w:rPr>
          <w:rFonts w:asciiTheme="majorHAnsi" w:hAnsiTheme="majorHAnsi" w:cstheme="majorHAnsi"/>
          <w:lang w:val="en-US"/>
        </w:rPr>
        <w:t xml:space="preserve">) and point 2 when it is not and here </w:t>
      </w:r>
      <w:r w:rsidR="009523F8">
        <w:rPr>
          <w:rFonts w:asciiTheme="majorHAnsi" w:hAnsiTheme="majorHAnsi" w:cstheme="majorHAnsi"/>
          <w:lang w:val="en-US"/>
        </w:rPr>
        <w:t>it’s important to know that the law is not applicable for personal data that’s not covered by EU law as well</w:t>
      </w:r>
      <w:r w:rsidR="00922F6F">
        <w:rPr>
          <w:rFonts w:asciiTheme="majorHAnsi" w:hAnsiTheme="majorHAnsi" w:cstheme="majorHAnsi"/>
          <w:lang w:val="en-US"/>
        </w:rPr>
        <w:t xml:space="preserve"> as of private nature and when </w:t>
      </w:r>
      <w:r w:rsidR="009523F8">
        <w:rPr>
          <w:rFonts w:asciiTheme="majorHAnsi" w:hAnsiTheme="majorHAnsi" w:cstheme="majorHAnsi"/>
          <w:lang w:val="en-US"/>
        </w:rPr>
        <w:t xml:space="preserve">authorities </w:t>
      </w:r>
      <w:r w:rsidR="00922F6F">
        <w:rPr>
          <w:rFonts w:asciiTheme="majorHAnsi" w:hAnsiTheme="majorHAnsi" w:cstheme="majorHAnsi"/>
          <w:lang w:val="en-US"/>
        </w:rPr>
        <w:t>(</w:t>
      </w:r>
      <w:r w:rsidR="009523F8">
        <w:rPr>
          <w:rFonts w:asciiTheme="majorHAnsi" w:hAnsiTheme="majorHAnsi" w:cstheme="majorHAnsi"/>
          <w:lang w:val="en-US"/>
        </w:rPr>
        <w:t xml:space="preserve">offenses or </w:t>
      </w:r>
      <w:r w:rsidR="009523F8" w:rsidRPr="009523F8">
        <w:rPr>
          <w:rFonts w:asciiTheme="majorHAnsi" w:hAnsiTheme="majorHAnsi" w:cstheme="majorHAnsi"/>
          <w:lang w:val="en-US"/>
        </w:rPr>
        <w:t>criminal penalties</w:t>
      </w:r>
      <w:r w:rsidR="00922F6F">
        <w:rPr>
          <w:rFonts w:asciiTheme="majorHAnsi" w:hAnsiTheme="majorHAnsi" w:cstheme="majorHAnsi"/>
          <w:lang w:val="en-US"/>
        </w:rPr>
        <w:t>)</w:t>
      </w:r>
      <w:r w:rsidR="009523F8">
        <w:rPr>
          <w:rFonts w:asciiTheme="majorHAnsi" w:hAnsiTheme="majorHAnsi" w:cstheme="majorHAnsi"/>
          <w:lang w:val="en-US"/>
        </w:rPr>
        <w:t xml:space="preserve">. The law is not applicable when it comes to freedom of expression and information (art.85), public access to official documents (art.86) and </w:t>
      </w:r>
      <w:r w:rsidR="00A1792F">
        <w:rPr>
          <w:rFonts w:asciiTheme="majorHAnsi" w:hAnsiTheme="majorHAnsi" w:cstheme="majorHAnsi"/>
          <w:lang w:val="en-US"/>
        </w:rPr>
        <w:t>archiving</w:t>
      </w:r>
      <w:r w:rsidR="009523F8">
        <w:rPr>
          <w:rFonts w:asciiTheme="majorHAnsi" w:hAnsiTheme="majorHAnsi" w:cstheme="majorHAnsi"/>
          <w:lang w:val="en-US"/>
        </w:rPr>
        <w:t xml:space="preserve"> purposes in the public interest,</w:t>
      </w:r>
      <w:r w:rsidR="00A1792F">
        <w:rPr>
          <w:rFonts w:asciiTheme="majorHAnsi" w:hAnsiTheme="majorHAnsi" w:cstheme="majorHAnsi"/>
          <w:lang w:val="en-US"/>
        </w:rPr>
        <w:t xml:space="preserve"> </w:t>
      </w:r>
      <w:r w:rsidR="009523F8">
        <w:rPr>
          <w:rFonts w:asciiTheme="majorHAnsi" w:hAnsiTheme="majorHAnsi" w:cstheme="majorHAnsi"/>
          <w:lang w:val="en-US"/>
        </w:rPr>
        <w:t xml:space="preserve">scientific or historical research or statistics (art. 89). </w:t>
      </w:r>
      <w:r w:rsidR="007C301B">
        <w:rPr>
          <w:rFonts w:asciiTheme="majorHAnsi" w:hAnsiTheme="majorHAnsi" w:cstheme="majorHAnsi"/>
          <w:lang w:val="en-US"/>
        </w:rPr>
        <w:t xml:space="preserve">When we state that GDPR is applicable can we go further and try to figure out who the controller is. The definition of </w:t>
      </w:r>
      <w:r w:rsidR="00A1792F">
        <w:rPr>
          <w:rFonts w:asciiTheme="majorHAnsi" w:hAnsiTheme="majorHAnsi" w:cstheme="majorHAnsi"/>
          <w:lang w:val="en-US"/>
        </w:rPr>
        <w:t>the</w:t>
      </w:r>
      <w:r w:rsidR="007C301B">
        <w:rPr>
          <w:rFonts w:asciiTheme="majorHAnsi" w:hAnsiTheme="majorHAnsi" w:cstheme="majorHAnsi"/>
          <w:lang w:val="en-US"/>
        </w:rPr>
        <w:t xml:space="preserve"> controller can be found in art.4 (7) which is a person that is determining the purposes of the processing. </w:t>
      </w:r>
      <w:r w:rsidR="00A1792F">
        <w:rPr>
          <w:rFonts w:asciiTheme="majorHAnsi" w:hAnsiTheme="majorHAnsi" w:cstheme="majorHAnsi"/>
          <w:lang w:val="en-US"/>
        </w:rPr>
        <w:t>The controller need</w:t>
      </w:r>
      <w:r w:rsidR="002E3D26">
        <w:rPr>
          <w:rFonts w:asciiTheme="majorHAnsi" w:hAnsiTheme="majorHAnsi" w:cstheme="majorHAnsi"/>
          <w:lang w:val="en-US"/>
        </w:rPr>
        <w:t>s</w:t>
      </w:r>
      <w:r w:rsidR="00A1792F">
        <w:rPr>
          <w:rFonts w:asciiTheme="majorHAnsi" w:hAnsiTheme="majorHAnsi" w:cstheme="majorHAnsi"/>
          <w:lang w:val="en-US"/>
        </w:rPr>
        <w:t xml:space="preserve"> to designate a data protection officer in cases stated in article 37.  The next step is trying to answer the question if it’s possible to live up to principles stated in art.5. Those principles are </w:t>
      </w:r>
      <w:r w:rsidR="00A1792F" w:rsidRPr="00A1792F">
        <w:rPr>
          <w:rFonts w:asciiTheme="majorHAnsi" w:hAnsiTheme="majorHAnsi" w:cstheme="majorHAnsi"/>
          <w:lang w:val="en-US"/>
        </w:rPr>
        <w:t>lawfulness, fairness and transparency</w:t>
      </w:r>
      <w:r w:rsidR="00A1792F">
        <w:rPr>
          <w:rFonts w:asciiTheme="majorHAnsi" w:hAnsiTheme="majorHAnsi" w:cstheme="majorHAnsi"/>
          <w:lang w:val="en-US"/>
        </w:rPr>
        <w:t xml:space="preserve"> (a). </w:t>
      </w:r>
      <w:r w:rsidR="00673530">
        <w:rPr>
          <w:rFonts w:asciiTheme="majorHAnsi" w:hAnsiTheme="majorHAnsi" w:cstheme="majorHAnsi"/>
          <w:lang w:val="en-US"/>
        </w:rPr>
        <w:t>B</w:t>
      </w:r>
      <w:r w:rsidR="00A1792F">
        <w:rPr>
          <w:rFonts w:asciiTheme="majorHAnsi" w:hAnsiTheme="majorHAnsi" w:cstheme="majorHAnsi"/>
          <w:lang w:val="en-US"/>
        </w:rPr>
        <w:t xml:space="preserve"> is stating a purpose limitation which says that data can be collected for specified,</w:t>
      </w:r>
      <w:r w:rsidR="00673530">
        <w:rPr>
          <w:rFonts w:asciiTheme="majorHAnsi" w:hAnsiTheme="majorHAnsi" w:cstheme="majorHAnsi"/>
          <w:lang w:val="en-US"/>
        </w:rPr>
        <w:t xml:space="preserve"> </w:t>
      </w:r>
      <w:r w:rsidR="00A1792F">
        <w:rPr>
          <w:rFonts w:asciiTheme="majorHAnsi" w:hAnsiTheme="majorHAnsi" w:cstheme="majorHAnsi"/>
          <w:lang w:val="en-US"/>
        </w:rPr>
        <w:t xml:space="preserve">explicit and legitimate purposes and cannot be used in another manner and for other purposes. The data is </w:t>
      </w:r>
      <w:r w:rsidR="00673530">
        <w:rPr>
          <w:rFonts w:asciiTheme="majorHAnsi" w:hAnsiTheme="majorHAnsi" w:cstheme="majorHAnsi"/>
          <w:lang w:val="en-US"/>
        </w:rPr>
        <w:t>supposed to</w:t>
      </w:r>
      <w:r w:rsidR="00A1792F">
        <w:rPr>
          <w:rFonts w:asciiTheme="majorHAnsi" w:hAnsiTheme="majorHAnsi" w:cstheme="majorHAnsi"/>
          <w:lang w:val="en-US"/>
        </w:rPr>
        <w:t xml:space="preserve"> be adequate,</w:t>
      </w:r>
      <w:r w:rsidR="00673530">
        <w:rPr>
          <w:rFonts w:asciiTheme="majorHAnsi" w:hAnsiTheme="majorHAnsi" w:cstheme="majorHAnsi"/>
          <w:lang w:val="en-US"/>
        </w:rPr>
        <w:t xml:space="preserve"> </w:t>
      </w:r>
      <w:r w:rsidR="00A1792F">
        <w:rPr>
          <w:rFonts w:asciiTheme="majorHAnsi" w:hAnsiTheme="majorHAnsi" w:cstheme="majorHAnsi"/>
          <w:lang w:val="en-US"/>
        </w:rPr>
        <w:t>relevant an</w:t>
      </w:r>
      <w:r w:rsidR="00693777">
        <w:rPr>
          <w:rFonts w:asciiTheme="majorHAnsi" w:hAnsiTheme="majorHAnsi" w:cstheme="majorHAnsi"/>
          <w:lang w:val="en-US"/>
        </w:rPr>
        <w:t xml:space="preserve">d limited to what is necessary for fulfilling the original purpose which means as little personal data as possible (c). </w:t>
      </w:r>
      <w:r w:rsidR="00673530">
        <w:rPr>
          <w:rFonts w:asciiTheme="majorHAnsi" w:hAnsiTheme="majorHAnsi" w:cstheme="majorHAnsi"/>
          <w:lang w:val="en-US"/>
        </w:rPr>
        <w:t xml:space="preserve">The data is not supposed to be kept for a longer time then necessary (e) as well as processed under appropriate security (f). </w:t>
      </w:r>
      <w:r w:rsidR="00A1792F">
        <w:rPr>
          <w:rFonts w:asciiTheme="majorHAnsi" w:hAnsiTheme="majorHAnsi" w:cstheme="majorHAnsi"/>
          <w:lang w:val="en-US"/>
        </w:rPr>
        <w:t xml:space="preserve"> </w:t>
      </w:r>
      <w:r w:rsidR="00673530">
        <w:rPr>
          <w:rFonts w:asciiTheme="majorHAnsi" w:hAnsiTheme="majorHAnsi" w:cstheme="majorHAnsi"/>
          <w:lang w:val="en-US"/>
        </w:rPr>
        <w:t xml:space="preserve">Next step is answering the question of the legal bases for data processing. </w:t>
      </w:r>
      <w:r w:rsidR="00CE2039">
        <w:rPr>
          <w:rFonts w:asciiTheme="majorHAnsi" w:hAnsiTheme="majorHAnsi" w:cstheme="majorHAnsi"/>
          <w:lang w:val="en-US"/>
        </w:rPr>
        <w:t>In order for it t</w:t>
      </w:r>
      <w:r w:rsidR="002E3D26">
        <w:rPr>
          <w:rFonts w:asciiTheme="majorHAnsi" w:hAnsiTheme="majorHAnsi" w:cstheme="majorHAnsi"/>
          <w:lang w:val="en-US"/>
        </w:rPr>
        <w:t>o be legal at least one of term</w:t>
      </w:r>
      <w:r w:rsidR="00CE2039">
        <w:rPr>
          <w:rFonts w:asciiTheme="majorHAnsi" w:hAnsiTheme="majorHAnsi" w:cstheme="majorHAnsi"/>
          <w:lang w:val="en-US"/>
        </w:rPr>
        <w:t xml:space="preserve"> in article 6 needs to be </w:t>
      </w:r>
      <w:r w:rsidR="0087482D">
        <w:rPr>
          <w:rFonts w:asciiTheme="majorHAnsi" w:hAnsiTheme="majorHAnsi" w:cstheme="majorHAnsi"/>
          <w:lang w:val="en-US"/>
        </w:rPr>
        <w:t>fulfilled</w:t>
      </w:r>
      <w:r w:rsidR="00CE2039">
        <w:rPr>
          <w:rFonts w:asciiTheme="majorHAnsi" w:hAnsiTheme="majorHAnsi" w:cstheme="majorHAnsi"/>
          <w:lang w:val="en-US"/>
        </w:rPr>
        <w:t xml:space="preserve">. The first one is when person </w:t>
      </w:r>
      <w:r w:rsidR="0087482D">
        <w:rPr>
          <w:rFonts w:asciiTheme="majorHAnsi" w:hAnsiTheme="majorHAnsi" w:cstheme="majorHAnsi"/>
          <w:lang w:val="en-US"/>
        </w:rPr>
        <w:t>itself</w:t>
      </w:r>
      <w:r w:rsidR="00CE2039">
        <w:rPr>
          <w:rFonts w:asciiTheme="majorHAnsi" w:hAnsiTheme="majorHAnsi" w:cstheme="majorHAnsi"/>
          <w:lang w:val="en-US"/>
        </w:rPr>
        <w:t xml:space="preserve"> gives a consent for data processing</w:t>
      </w:r>
      <w:r w:rsidR="00015947">
        <w:rPr>
          <w:rFonts w:asciiTheme="majorHAnsi" w:hAnsiTheme="majorHAnsi" w:cstheme="majorHAnsi"/>
          <w:lang w:val="en-US"/>
        </w:rPr>
        <w:t xml:space="preserve">, when it’s necessary for the performance </w:t>
      </w:r>
      <w:r w:rsidR="00741144">
        <w:rPr>
          <w:rFonts w:asciiTheme="majorHAnsi" w:hAnsiTheme="majorHAnsi" w:cstheme="majorHAnsi"/>
          <w:lang w:val="en-US"/>
        </w:rPr>
        <w:t>of</w:t>
      </w:r>
      <w:r w:rsidR="00015947">
        <w:rPr>
          <w:rFonts w:asciiTheme="majorHAnsi" w:hAnsiTheme="majorHAnsi" w:cstheme="majorHAnsi"/>
          <w:lang w:val="en-US"/>
        </w:rPr>
        <w:t xml:space="preserve"> a contract in which person is a part, </w:t>
      </w:r>
      <w:r w:rsidR="00741144">
        <w:rPr>
          <w:rFonts w:asciiTheme="majorHAnsi" w:hAnsiTheme="majorHAnsi" w:cstheme="majorHAnsi"/>
          <w:lang w:val="en-US"/>
        </w:rPr>
        <w:t>it’s</w:t>
      </w:r>
      <w:r w:rsidR="00015947">
        <w:rPr>
          <w:rFonts w:asciiTheme="majorHAnsi" w:hAnsiTheme="majorHAnsi" w:cstheme="majorHAnsi"/>
          <w:lang w:val="en-US"/>
        </w:rPr>
        <w:t xml:space="preserve"> necessary for </w:t>
      </w:r>
      <w:r w:rsidR="00741144">
        <w:rPr>
          <w:rFonts w:asciiTheme="majorHAnsi" w:hAnsiTheme="majorHAnsi" w:cstheme="majorHAnsi"/>
          <w:lang w:val="en-US"/>
        </w:rPr>
        <w:t>fulfilling</w:t>
      </w:r>
      <w:r w:rsidR="00015947">
        <w:rPr>
          <w:rFonts w:asciiTheme="majorHAnsi" w:hAnsiTheme="majorHAnsi" w:cstheme="majorHAnsi"/>
          <w:lang w:val="en-US"/>
        </w:rPr>
        <w:t xml:space="preserve"> of a legal obligation of the controller, </w:t>
      </w:r>
      <w:r w:rsidR="00015947" w:rsidRPr="00015947">
        <w:rPr>
          <w:rFonts w:asciiTheme="majorHAnsi" w:hAnsiTheme="majorHAnsi" w:cstheme="majorHAnsi"/>
          <w:lang w:val="en-US"/>
        </w:rPr>
        <w:t xml:space="preserve">protection </w:t>
      </w:r>
      <w:r w:rsidR="00015947">
        <w:rPr>
          <w:rFonts w:asciiTheme="majorHAnsi" w:hAnsiTheme="majorHAnsi" w:cstheme="majorHAnsi"/>
          <w:lang w:val="en-US"/>
        </w:rPr>
        <w:t xml:space="preserve">of </w:t>
      </w:r>
      <w:r w:rsidR="00015947" w:rsidRPr="00015947">
        <w:rPr>
          <w:rFonts w:asciiTheme="majorHAnsi" w:hAnsiTheme="majorHAnsi" w:cstheme="majorHAnsi"/>
          <w:lang w:val="en-US"/>
        </w:rPr>
        <w:t>interest of fundamental importance</w:t>
      </w:r>
      <w:r w:rsidR="00015947">
        <w:rPr>
          <w:rFonts w:asciiTheme="majorHAnsi" w:hAnsiTheme="majorHAnsi" w:cstheme="majorHAnsi"/>
          <w:lang w:val="en-US"/>
        </w:rPr>
        <w:t xml:space="preserve">, </w:t>
      </w:r>
      <w:r w:rsidR="00015947" w:rsidRPr="00015947">
        <w:rPr>
          <w:rFonts w:asciiTheme="majorHAnsi" w:hAnsiTheme="majorHAnsi" w:cstheme="majorHAnsi"/>
          <w:lang w:val="en-US"/>
        </w:rPr>
        <w:t>task of general interest</w:t>
      </w:r>
      <w:r w:rsidR="00015947">
        <w:rPr>
          <w:rFonts w:asciiTheme="majorHAnsi" w:hAnsiTheme="majorHAnsi" w:cstheme="majorHAnsi"/>
          <w:lang w:val="en-US"/>
        </w:rPr>
        <w:t xml:space="preserve"> or </w:t>
      </w:r>
      <w:r w:rsidR="00015947" w:rsidRPr="00015947">
        <w:rPr>
          <w:rFonts w:asciiTheme="majorHAnsi" w:hAnsiTheme="majorHAnsi" w:cstheme="majorHAnsi"/>
          <w:lang w:val="en-US"/>
        </w:rPr>
        <w:t>exercise of official aut</w:t>
      </w:r>
      <w:r w:rsidR="00015947">
        <w:rPr>
          <w:rFonts w:asciiTheme="majorHAnsi" w:hAnsiTheme="majorHAnsi" w:cstheme="majorHAnsi"/>
          <w:lang w:val="en-US"/>
        </w:rPr>
        <w:t xml:space="preserve">hority vested in the controller. The last point that is often important is balancing of the interests of the controller and </w:t>
      </w:r>
      <w:r w:rsidR="00015947" w:rsidRPr="00015947">
        <w:rPr>
          <w:rFonts w:asciiTheme="majorHAnsi" w:hAnsiTheme="majorHAnsi" w:cstheme="majorHAnsi"/>
          <w:lang w:val="en-US"/>
        </w:rPr>
        <w:t>interests or fundamental rights and freedoms of the data subject</w:t>
      </w:r>
      <w:r w:rsidR="00015947">
        <w:rPr>
          <w:rFonts w:asciiTheme="majorHAnsi" w:hAnsiTheme="majorHAnsi" w:cstheme="majorHAnsi"/>
          <w:lang w:val="en-US"/>
        </w:rPr>
        <w:t xml:space="preserve">. </w:t>
      </w:r>
      <w:r w:rsidR="00741144">
        <w:rPr>
          <w:rFonts w:asciiTheme="majorHAnsi" w:hAnsiTheme="majorHAnsi" w:cstheme="majorHAnsi"/>
          <w:lang w:val="en-US"/>
        </w:rPr>
        <w:t>The next important question is if the personal data is a part</w:t>
      </w:r>
      <w:r w:rsidR="00B35EEE">
        <w:rPr>
          <w:rFonts w:asciiTheme="majorHAnsi" w:hAnsiTheme="majorHAnsi" w:cstheme="majorHAnsi"/>
          <w:lang w:val="en-US"/>
        </w:rPr>
        <w:t xml:space="preserve"> of a special category. An </w:t>
      </w:r>
      <w:r w:rsidR="0025440D">
        <w:rPr>
          <w:rFonts w:asciiTheme="majorHAnsi" w:hAnsiTheme="majorHAnsi" w:cstheme="majorHAnsi"/>
          <w:lang w:val="en-US"/>
        </w:rPr>
        <w:t>example</w:t>
      </w:r>
      <w:r w:rsidR="00B35EEE">
        <w:rPr>
          <w:rFonts w:asciiTheme="majorHAnsi" w:hAnsiTheme="majorHAnsi" w:cstheme="majorHAnsi"/>
          <w:lang w:val="en-US"/>
        </w:rPr>
        <w:t xml:space="preserve"> of prohibited data is one of racial or ethnic origin, political opinions, genetic data or data concerning ones health or sexual orientation (art. 9). </w:t>
      </w:r>
      <w:r w:rsidR="0025440D">
        <w:rPr>
          <w:rFonts w:asciiTheme="majorHAnsi" w:hAnsiTheme="majorHAnsi" w:cstheme="majorHAnsi"/>
          <w:lang w:val="en-US"/>
        </w:rPr>
        <w:t xml:space="preserve"> Next special category of data is </w:t>
      </w:r>
      <w:r w:rsidR="0025440D" w:rsidRPr="0025440D">
        <w:rPr>
          <w:rFonts w:asciiTheme="majorHAnsi" w:hAnsiTheme="majorHAnsi" w:cstheme="majorHAnsi"/>
          <w:lang w:val="en-US"/>
        </w:rPr>
        <w:t>information on law violations</w:t>
      </w:r>
      <w:r w:rsidR="0025440D">
        <w:rPr>
          <w:rFonts w:asciiTheme="majorHAnsi" w:hAnsiTheme="majorHAnsi" w:cstheme="majorHAnsi"/>
          <w:lang w:val="en-US"/>
        </w:rPr>
        <w:t xml:space="preserve"> (art.10). Here the rule is that it </w:t>
      </w:r>
      <w:r w:rsidR="0025440D" w:rsidRPr="0025440D">
        <w:rPr>
          <w:rFonts w:asciiTheme="majorHAnsi" w:hAnsiTheme="majorHAnsi" w:cstheme="majorHAnsi"/>
          <w:lang w:val="en-US"/>
        </w:rPr>
        <w:t xml:space="preserve">shall be carried out only under the control of official authority or when the processing is </w:t>
      </w:r>
      <w:r w:rsidR="00CA1BD9" w:rsidRPr="0025440D">
        <w:rPr>
          <w:rFonts w:asciiTheme="majorHAnsi" w:hAnsiTheme="majorHAnsi" w:cstheme="majorHAnsi"/>
          <w:lang w:val="en-US"/>
        </w:rPr>
        <w:t>authorized</w:t>
      </w:r>
      <w:r w:rsidR="0025440D" w:rsidRPr="0025440D">
        <w:rPr>
          <w:rFonts w:asciiTheme="majorHAnsi" w:hAnsiTheme="majorHAnsi" w:cstheme="majorHAnsi"/>
          <w:lang w:val="en-US"/>
        </w:rPr>
        <w:t xml:space="preserve"> by Union or Member State law</w:t>
      </w:r>
      <w:r w:rsidR="0025440D">
        <w:rPr>
          <w:rFonts w:asciiTheme="majorHAnsi" w:hAnsiTheme="majorHAnsi" w:cstheme="majorHAnsi"/>
          <w:lang w:val="en-US"/>
        </w:rPr>
        <w:t xml:space="preserve">. There is a special rule for processing of the national identification number which states that member states can determine the specific conditions for its processing but it shall be used only under appropriate safeguards for the rights and freedoms of the data subject. Next step is to ask oneself if the data </w:t>
      </w:r>
      <w:r w:rsidR="00CA1BD9">
        <w:rPr>
          <w:rFonts w:asciiTheme="majorHAnsi" w:hAnsiTheme="majorHAnsi" w:cstheme="majorHAnsi"/>
          <w:lang w:val="en-US"/>
        </w:rPr>
        <w:t>subject’s</w:t>
      </w:r>
      <w:r w:rsidR="0025440D">
        <w:rPr>
          <w:rFonts w:asciiTheme="majorHAnsi" w:hAnsiTheme="majorHAnsi" w:cstheme="majorHAnsi"/>
          <w:lang w:val="en-US"/>
        </w:rPr>
        <w:t xml:space="preserve"> </w:t>
      </w:r>
      <w:r w:rsidR="00CA1BD9">
        <w:rPr>
          <w:rFonts w:asciiTheme="majorHAnsi" w:hAnsiTheme="majorHAnsi" w:cstheme="majorHAnsi"/>
          <w:lang w:val="en-US"/>
        </w:rPr>
        <w:t>right is</w:t>
      </w:r>
      <w:r w:rsidR="0025440D">
        <w:rPr>
          <w:rFonts w:asciiTheme="majorHAnsi" w:hAnsiTheme="majorHAnsi" w:cstheme="majorHAnsi"/>
          <w:lang w:val="en-US"/>
        </w:rPr>
        <w:t xml:space="preserve"> </w:t>
      </w:r>
      <w:r w:rsidR="00CA1BD9">
        <w:rPr>
          <w:rFonts w:asciiTheme="majorHAnsi" w:hAnsiTheme="majorHAnsi" w:cstheme="majorHAnsi"/>
          <w:lang w:val="en-US"/>
        </w:rPr>
        <w:t>fulfilled</w:t>
      </w:r>
      <w:r w:rsidR="0025440D">
        <w:rPr>
          <w:rFonts w:asciiTheme="majorHAnsi" w:hAnsiTheme="majorHAnsi" w:cstheme="majorHAnsi"/>
          <w:lang w:val="en-US"/>
        </w:rPr>
        <w:t xml:space="preserve">. </w:t>
      </w:r>
      <w:r w:rsidR="00430EAD">
        <w:rPr>
          <w:rFonts w:asciiTheme="majorHAnsi" w:hAnsiTheme="majorHAnsi" w:cstheme="majorHAnsi"/>
          <w:lang w:val="en-US"/>
        </w:rPr>
        <w:t xml:space="preserve">The data subject should have an insight in the data stores about him and the information needs to be given of one’s </w:t>
      </w:r>
      <w:r w:rsidR="00CA1BD9">
        <w:rPr>
          <w:rFonts w:asciiTheme="majorHAnsi" w:hAnsiTheme="majorHAnsi" w:cstheme="majorHAnsi"/>
          <w:lang w:val="en-US"/>
        </w:rPr>
        <w:t>own</w:t>
      </w:r>
      <w:r w:rsidR="00430EAD">
        <w:rPr>
          <w:rFonts w:asciiTheme="majorHAnsi" w:hAnsiTheme="majorHAnsi" w:cstheme="majorHAnsi"/>
          <w:lang w:val="en-US"/>
        </w:rPr>
        <w:t xml:space="preserve"> accord as well as data </w:t>
      </w:r>
      <w:r w:rsidR="00CA1BD9">
        <w:rPr>
          <w:rFonts w:asciiTheme="majorHAnsi" w:hAnsiTheme="majorHAnsi" w:cstheme="majorHAnsi"/>
          <w:lang w:val="en-US"/>
        </w:rPr>
        <w:t>subjects’</w:t>
      </w:r>
      <w:r w:rsidR="00430EAD">
        <w:rPr>
          <w:rFonts w:asciiTheme="majorHAnsi" w:hAnsiTheme="majorHAnsi" w:cstheme="majorHAnsi"/>
          <w:lang w:val="en-US"/>
        </w:rPr>
        <w:t xml:space="preserve"> request (art. 12-15).  The data subject should have a chance to correct wrong data about </w:t>
      </w:r>
      <w:r w:rsidR="00DE017E">
        <w:rPr>
          <w:rFonts w:asciiTheme="majorHAnsi" w:hAnsiTheme="majorHAnsi" w:cstheme="majorHAnsi"/>
          <w:lang w:val="en-US"/>
        </w:rPr>
        <w:t>him</w:t>
      </w:r>
      <w:r w:rsidR="00430EAD">
        <w:rPr>
          <w:rFonts w:asciiTheme="majorHAnsi" w:hAnsiTheme="majorHAnsi" w:cstheme="majorHAnsi"/>
          <w:lang w:val="en-US"/>
        </w:rPr>
        <w:t xml:space="preserve"> (art. 16), have right for data to be deleted under special </w:t>
      </w:r>
      <w:r w:rsidR="00DE017E">
        <w:rPr>
          <w:rFonts w:asciiTheme="majorHAnsi" w:hAnsiTheme="majorHAnsi" w:cstheme="majorHAnsi"/>
          <w:lang w:val="en-US"/>
        </w:rPr>
        <w:t>circumstances (</w:t>
      </w:r>
      <w:r w:rsidR="00430EAD">
        <w:rPr>
          <w:rFonts w:asciiTheme="majorHAnsi" w:hAnsiTheme="majorHAnsi" w:cstheme="majorHAnsi"/>
          <w:lang w:val="en-US"/>
        </w:rPr>
        <w:t xml:space="preserve">art.17), </w:t>
      </w:r>
      <w:r w:rsidR="00DE017E">
        <w:rPr>
          <w:rFonts w:asciiTheme="majorHAnsi" w:hAnsiTheme="majorHAnsi" w:cstheme="majorHAnsi"/>
          <w:lang w:val="en-US"/>
        </w:rPr>
        <w:t xml:space="preserve">has </w:t>
      </w:r>
      <w:r w:rsidR="00430EAD">
        <w:rPr>
          <w:rFonts w:asciiTheme="majorHAnsi" w:hAnsiTheme="majorHAnsi" w:cstheme="majorHAnsi"/>
          <w:lang w:val="en-US"/>
        </w:rPr>
        <w:t xml:space="preserve">right to object for data to be a subject of automated processing and profiling (art 22).  </w:t>
      </w:r>
      <w:r w:rsidR="00CA1BD9">
        <w:rPr>
          <w:rFonts w:asciiTheme="majorHAnsi" w:hAnsiTheme="majorHAnsi" w:cstheme="majorHAnsi"/>
          <w:lang w:val="en-US"/>
        </w:rPr>
        <w:t>Requirements for data protection by design and by default need</w:t>
      </w:r>
      <w:r w:rsidR="00430EAD">
        <w:rPr>
          <w:rFonts w:asciiTheme="majorHAnsi" w:hAnsiTheme="majorHAnsi" w:cstheme="majorHAnsi"/>
          <w:lang w:val="en-US"/>
        </w:rPr>
        <w:t xml:space="preserve"> to be </w:t>
      </w:r>
      <w:r w:rsidR="00CA1BD9">
        <w:rPr>
          <w:rFonts w:asciiTheme="majorHAnsi" w:hAnsiTheme="majorHAnsi" w:cstheme="majorHAnsi"/>
          <w:lang w:val="en-US"/>
        </w:rPr>
        <w:t>fulfilled</w:t>
      </w:r>
      <w:r w:rsidR="00430EAD">
        <w:rPr>
          <w:rFonts w:asciiTheme="majorHAnsi" w:hAnsiTheme="majorHAnsi" w:cstheme="majorHAnsi"/>
          <w:lang w:val="en-US"/>
        </w:rPr>
        <w:t xml:space="preserve"> (art. 25). There needs to be sufficient security for the data processing by technical and organizational</w:t>
      </w:r>
      <w:r w:rsidR="00CA1BD9">
        <w:rPr>
          <w:rFonts w:asciiTheme="majorHAnsi" w:hAnsiTheme="majorHAnsi" w:cstheme="majorHAnsi"/>
          <w:lang w:val="en-US"/>
        </w:rPr>
        <w:t xml:space="preserve"> measures (art.32). There are special rules for transfer of personal data to third countries (art 44-49). Art.45 says that the third country needs to </w:t>
      </w:r>
      <w:r w:rsidR="00CA1BD9" w:rsidRPr="00CA1BD9">
        <w:rPr>
          <w:rFonts w:asciiTheme="majorHAnsi" w:hAnsiTheme="majorHAnsi" w:cstheme="majorHAnsi"/>
          <w:lang w:val="en-US"/>
        </w:rPr>
        <w:t>ensure an adequate level of protection</w:t>
      </w:r>
      <w:r w:rsidR="00CA1BD9">
        <w:rPr>
          <w:rFonts w:asciiTheme="majorHAnsi" w:hAnsiTheme="majorHAnsi" w:cstheme="majorHAnsi"/>
          <w:lang w:val="en-US"/>
        </w:rPr>
        <w:t xml:space="preserve">. The controller needs to provide appropriate safeguards (art.46). The information can however be transferred when it applies to </w:t>
      </w:r>
      <w:r w:rsidR="00833DED">
        <w:rPr>
          <w:rFonts w:asciiTheme="majorHAnsi" w:hAnsiTheme="majorHAnsi" w:cstheme="majorHAnsi"/>
          <w:lang w:val="en-US"/>
        </w:rPr>
        <w:t>concerns</w:t>
      </w:r>
      <w:r w:rsidR="00CA1BD9">
        <w:rPr>
          <w:rFonts w:asciiTheme="majorHAnsi" w:hAnsiTheme="majorHAnsi" w:cstheme="majorHAnsi"/>
          <w:lang w:val="en-US"/>
        </w:rPr>
        <w:t xml:space="preserve"> with binding corporate rules (art 47). </w:t>
      </w:r>
      <w:r w:rsidR="00CA1BD9" w:rsidRPr="00CA1BD9">
        <w:rPr>
          <w:rFonts w:asciiTheme="majorHAnsi" w:hAnsiTheme="majorHAnsi" w:cstheme="majorHAnsi"/>
          <w:lang w:val="en-US"/>
        </w:rPr>
        <w:t>Any person who has suffered material or non-</w:t>
      </w:r>
      <w:r w:rsidR="00CA1BD9" w:rsidRPr="00CA1BD9">
        <w:rPr>
          <w:rFonts w:asciiTheme="majorHAnsi" w:hAnsiTheme="majorHAnsi" w:cstheme="majorHAnsi"/>
          <w:lang w:val="en-US"/>
        </w:rPr>
        <w:lastRenderedPageBreak/>
        <w:t>material damage</w:t>
      </w:r>
      <w:r w:rsidR="00CA1BD9">
        <w:rPr>
          <w:rFonts w:asciiTheme="majorHAnsi" w:hAnsiTheme="majorHAnsi" w:cstheme="majorHAnsi"/>
          <w:lang w:val="en-US"/>
        </w:rPr>
        <w:t xml:space="preserve"> </w:t>
      </w:r>
      <w:proofErr w:type="gramStart"/>
      <w:r w:rsidR="00CA1BD9">
        <w:rPr>
          <w:rFonts w:asciiTheme="majorHAnsi" w:hAnsiTheme="majorHAnsi" w:cstheme="majorHAnsi"/>
          <w:lang w:val="en-US"/>
        </w:rPr>
        <w:t>have</w:t>
      </w:r>
      <w:proofErr w:type="gramEnd"/>
      <w:r w:rsidR="00CA1BD9">
        <w:rPr>
          <w:rFonts w:asciiTheme="majorHAnsi" w:hAnsiTheme="majorHAnsi" w:cstheme="majorHAnsi"/>
          <w:lang w:val="en-US"/>
        </w:rPr>
        <w:t xml:space="preserve"> a right to indemnity and there are administrative fines for breaking the rules (art 82-83)</w:t>
      </w:r>
      <w:r w:rsidR="00DE017E">
        <w:rPr>
          <w:rFonts w:asciiTheme="majorHAnsi" w:hAnsiTheme="majorHAnsi" w:cstheme="majorHAnsi"/>
          <w:lang w:val="en-US"/>
        </w:rPr>
        <w:t>.</w:t>
      </w:r>
      <w:bookmarkStart w:id="0" w:name="_GoBack"/>
      <w:bookmarkEnd w:id="0"/>
    </w:p>
    <w:sectPr w:rsidR="000F42A2" w:rsidRPr="009904E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4E0"/>
    <w:rsid w:val="00015947"/>
    <w:rsid w:val="0025440D"/>
    <w:rsid w:val="002E3D26"/>
    <w:rsid w:val="00363601"/>
    <w:rsid w:val="00430EAD"/>
    <w:rsid w:val="005A6C3E"/>
    <w:rsid w:val="005E7E57"/>
    <w:rsid w:val="00612622"/>
    <w:rsid w:val="00673530"/>
    <w:rsid w:val="00693777"/>
    <w:rsid w:val="00731605"/>
    <w:rsid w:val="00741144"/>
    <w:rsid w:val="007C301B"/>
    <w:rsid w:val="00833DED"/>
    <w:rsid w:val="0087482D"/>
    <w:rsid w:val="00922F6F"/>
    <w:rsid w:val="009523F8"/>
    <w:rsid w:val="009904E0"/>
    <w:rsid w:val="00A1792F"/>
    <w:rsid w:val="00B35EEE"/>
    <w:rsid w:val="00BE3A9A"/>
    <w:rsid w:val="00CA1BD9"/>
    <w:rsid w:val="00CE2039"/>
    <w:rsid w:val="00DE01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C3E"/>
    <w:rPr>
      <w:lang w:val="en-GB"/>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5A6C3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C3E"/>
    <w:rPr>
      <w:lang w:val="en-GB"/>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5A6C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9D7093-4118-44C1-B253-53F6D58B9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Pages>
  <Words>743</Words>
  <Characters>3592</Characters>
  <Application>Microsoft Office Word</Application>
  <DocSecurity>0</DocSecurity>
  <Lines>46</Lines>
  <Paragraphs>2</Paragraphs>
  <ScaleCrop>false</ScaleCrop>
  <HeadingPairs>
    <vt:vector size="2" baseType="variant">
      <vt:variant>
        <vt:lpstr>Rubrik</vt:lpstr>
      </vt:variant>
      <vt:variant>
        <vt:i4>1</vt:i4>
      </vt:variant>
    </vt:vector>
  </HeadingPairs>
  <TitlesOfParts>
    <vt:vector size="1" baseType="lpstr">
      <vt:lpstr/>
    </vt:vector>
  </TitlesOfParts>
  <Company>Microsoft</Company>
  <LinksUpToDate>false</LinksUpToDate>
  <CharactersWithSpaces>4333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YYq237M</dc:creator>
  <cp:lastModifiedBy>YYq237M</cp:lastModifiedBy>
  <cp:revision>8</cp:revision>
  <dcterms:created xsi:type="dcterms:W3CDTF">2019-09-06T08:13:00Z</dcterms:created>
  <dcterms:modified xsi:type="dcterms:W3CDTF">2019-09-06T10:17:00Z</dcterms:modified>
</cp:coreProperties>
</file>