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EFDF5A" w14:textId="77777777" w:rsidR="001C6E2B" w:rsidRDefault="008E3928" w:rsidP="008E3928">
      <w:pPr>
        <w:ind w:left="0" w:right="-13" w:firstLine="0"/>
      </w:pPr>
      <w:r>
        <w:t xml:space="preserve">When </w:t>
      </w:r>
      <w:r>
        <w:t>dealing with cases concerning personal data it has to be considered if The General Data Protection Regulation (GDPR), is applicable. GDPR aims to secure and protect the fundamental rights and freedoms of individuals, in particular it´s right to protect inf</w:t>
      </w:r>
      <w:r>
        <w:t xml:space="preserve">ormation of personal data, article 1, and applies throughout the European Union. Non-compliance with the law can result in fines up to four procent of the total global sales. </w:t>
      </w:r>
    </w:p>
    <w:p w14:paraId="275869DF" w14:textId="77777777" w:rsidR="001C6E2B" w:rsidRDefault="008E3928">
      <w:pPr>
        <w:ind w:left="-5" w:right="-13"/>
      </w:pPr>
      <w:r>
        <w:t>The easiest way to not miss out on an important article is to follow them by num</w:t>
      </w:r>
      <w:r>
        <w:t>ber and start with article number one. The first step is to ensure that the legal issue is in the frame of GDPR and that it´s applicable, article 2 (</w:t>
      </w:r>
      <w:r>
        <w:rPr>
          <w:i/>
        </w:rPr>
        <w:t>material scope</w:t>
      </w:r>
      <w:r>
        <w:t xml:space="preserve">). Here you can view what´s included and what´s excluded in the law. The regulation applies </w:t>
      </w:r>
      <w:proofErr w:type="gramStart"/>
      <w:r>
        <w:t>t</w:t>
      </w:r>
      <w:r>
        <w:t xml:space="preserve">o </w:t>
      </w:r>
      <w:r>
        <w:t>”the</w:t>
      </w:r>
      <w:proofErr w:type="gramEnd"/>
      <w:r>
        <w:t xml:space="preserve"> processing of personal data wh</w:t>
      </w:r>
      <w:r>
        <w:t>olly or partly by automated means and to the processing other than by automated means of personal data which form part of a filling system or are intended to form a part of a filling system</w:t>
      </w:r>
      <w:r>
        <w:t>”.</w:t>
      </w:r>
      <w:r>
        <w:t xml:space="preserve"> For an example, is private </w:t>
      </w:r>
      <w:r>
        <w:t>activities an exception, and GDPR is not applicable. The regulation applies in the Union, regardless of where the processing takes place, article 3 (</w:t>
      </w:r>
      <w:r>
        <w:rPr>
          <w:i/>
        </w:rPr>
        <w:t>the territorial scope</w:t>
      </w:r>
      <w:r>
        <w:t>). In article 4 (</w:t>
      </w:r>
      <w:r>
        <w:rPr>
          <w:i/>
        </w:rPr>
        <w:t>definitions</w:t>
      </w:r>
      <w:r>
        <w:t xml:space="preserve">) are all the definitions described. The most common </w:t>
      </w:r>
      <w:r>
        <w:t>one i</w:t>
      </w:r>
      <w:r>
        <w:t>s for example 4(1</w:t>
      </w:r>
      <w:proofErr w:type="gramStart"/>
      <w:r>
        <w:t>) ”personal</w:t>
      </w:r>
      <w:proofErr w:type="gramEnd"/>
      <w:r>
        <w:t xml:space="preserve"> data” and 4(7) ”controller”, and it is always a good idea to </w:t>
      </w:r>
      <w:r>
        <w:t>determine this. The basis for the regulation is further processing of personal data. Controller is the person or the company that can be held responsible for not foll</w:t>
      </w:r>
      <w:r>
        <w:t xml:space="preserve">owing the regulations. Here you determine the different role distribution in the ongoing case. </w:t>
      </w:r>
    </w:p>
    <w:p w14:paraId="05E25241" w14:textId="77777777" w:rsidR="001C6E2B" w:rsidRDefault="008E3928">
      <w:pPr>
        <w:ind w:left="-5" w:right="-13"/>
      </w:pPr>
      <w:r>
        <w:t>In article 5 (</w:t>
      </w:r>
      <w:r>
        <w:rPr>
          <w:i/>
        </w:rPr>
        <w:t>principles)</w:t>
      </w:r>
      <w:r>
        <w:t xml:space="preserve"> there are some important principles relating to processing of personal data, and all the principles needs to be followed for legal bas</w:t>
      </w:r>
      <w:r>
        <w:t>is. The controller is the one who has the responsibilities for the compliance. The principles in brief is described as; They need to have a lawful basis under GDPR and be able to process personal data, collect it only for specific reasons that has legitima</w:t>
      </w:r>
      <w:r>
        <w:t>te and necessary purpose, the personal data needs to be accurate and it needs to be erased when it´s no longer needed. Article 6 (</w:t>
      </w:r>
      <w:r>
        <w:rPr>
          <w:i/>
        </w:rPr>
        <w:t>Lawfullness of processing)</w:t>
      </w:r>
      <w:r>
        <w:t xml:space="preserve"> is an important article because here you in many cases need to do a balancing of interests against </w:t>
      </w:r>
      <w:r>
        <w:t>each other. Without lawful grounds it is illegal to process personal data. There are six different lawful grounds; The data subject has given consent to the personal data for a specific purpose, the processing is necessary for a contract which the data sub</w:t>
      </w:r>
      <w:r>
        <w:t>ject is a party off or before entering a contract, weighing of interests, compliance with legal obligation, exercise of official authority or task in the public interest and fundamental interest and also if processing is necessary in order to protect the v</w:t>
      </w:r>
      <w:r>
        <w:t>ital interests of the data subject or of another natural person. The processing is lawful only if and to the extent that at least one of the grounds in article 6 is possible to apply. Even if a person has consented to the personal data processing it is not</w:t>
      </w:r>
      <w:r>
        <w:t xml:space="preserve"> always a legit lawful ground, so in this matter you need to be fully aware of the case and what has been said. Because in many cases it is not appropriate or possible to base processing on this ground. The consent must be voluntary. </w:t>
      </w:r>
    </w:p>
    <w:p w14:paraId="567A2A9B" w14:textId="77777777" w:rsidR="001C6E2B" w:rsidRDefault="008E3928">
      <w:pPr>
        <w:ind w:left="-5" w:right="-13"/>
      </w:pPr>
      <w:r>
        <w:t>There are special rul</w:t>
      </w:r>
      <w:r>
        <w:t>es in article 9 (</w:t>
      </w:r>
      <w:r>
        <w:rPr>
          <w:i/>
        </w:rPr>
        <w:t>processing of special categories of personal data</w:t>
      </w:r>
      <w:r>
        <w:t>) regarding children, to protect them and personal data that is of sensitive nature for example racial or political opinion or data concerning health or a natural person´s sex life is prohib</w:t>
      </w:r>
      <w:r>
        <w:t xml:space="preserve">ited. </w:t>
      </w:r>
    </w:p>
    <w:sectPr w:rsidR="001C6E2B">
      <w:pgSz w:w="11906" w:h="16838"/>
      <w:pgMar w:top="1440" w:right="1411" w:bottom="1440"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E2B"/>
    <w:rsid w:val="001C6E2B"/>
    <w:rsid w:val="008E3928"/>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2ECFD"/>
  <w15:docId w15:val="{063C8F83-D269-4014-971A-744DD2154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SE" w:eastAsia="en-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2"/>
      <w:ind w:left="10" w:right="3" w:hanging="10"/>
      <w:jc w:val="both"/>
    </w:pPr>
    <w:rPr>
      <w:rFonts w:ascii="Calibri" w:eastAsia="Calibri" w:hAnsi="Calibri" w:cs="Calibri"/>
      <w:color w:val="000000"/>
      <w:sz w:val="24"/>
    </w:rPr>
  </w:style>
  <w:style w:type="paragraph" w:styleId="Heading1">
    <w:name w:val="heading 1"/>
    <w:next w:val="Normal"/>
    <w:link w:val="Heading1Char"/>
    <w:uiPriority w:val="9"/>
    <w:qFormat/>
    <w:pPr>
      <w:keepNext/>
      <w:keepLines/>
      <w:spacing w:after="84"/>
      <w:outlineLvl w:val="0"/>
    </w:pPr>
    <w:rPr>
      <w:rFonts w:ascii="Calibri" w:eastAsia="Calibri" w:hAnsi="Calibri" w:cs="Calibri"/>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536</Words>
  <Characters>3060</Characters>
  <Application>Microsoft Office Word</Application>
  <DocSecurity>0</DocSecurity>
  <Lines>25</Lines>
  <Paragraphs>7</Paragraphs>
  <ScaleCrop>false</ScaleCrop>
  <Company/>
  <LinksUpToDate>false</LinksUpToDate>
  <CharactersWithSpaces>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Lindberg</dc:creator>
  <cp:keywords/>
  <cp:lastModifiedBy>Alexander A</cp:lastModifiedBy>
  <cp:revision>2</cp:revision>
  <dcterms:created xsi:type="dcterms:W3CDTF">2020-05-10T13:50:00Z</dcterms:created>
  <dcterms:modified xsi:type="dcterms:W3CDTF">2020-05-10T13:50:00Z</dcterms:modified>
</cp:coreProperties>
</file>