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5FA0C1" w14:textId="3744E915" w:rsidR="00EE1831" w:rsidRDefault="00140FC2" w:rsidP="00EE1831">
      <w:pPr>
        <w:spacing w:line="240" w:lineRule="auto"/>
        <w:jc w:val="both"/>
        <w:rPr>
          <w:rFonts w:asciiTheme="minorHAnsi" w:hAnsiTheme="minorHAnsi" w:cstheme="minorHAnsi"/>
          <w:noProof w:val="0"/>
          <w:lang w:val="en-US"/>
        </w:rPr>
      </w:pPr>
      <w:r w:rsidRPr="00EE1831">
        <w:rPr>
          <w:rFonts w:asciiTheme="minorHAnsi" w:hAnsiTheme="minorHAnsi" w:cstheme="minorHAnsi"/>
          <w:noProof w:val="0"/>
          <w:lang w:val="en-US"/>
        </w:rPr>
        <w:t xml:space="preserve">To know whether personal data is being processed legally it is important to, firstly, determine </w:t>
      </w:r>
      <w:r w:rsidR="000B247C" w:rsidRPr="00EE1831">
        <w:rPr>
          <w:rFonts w:asciiTheme="minorHAnsi" w:hAnsiTheme="minorHAnsi" w:cstheme="minorHAnsi"/>
          <w:noProof w:val="0"/>
          <w:lang w:val="en-US"/>
        </w:rPr>
        <w:t>if GDPR is</w:t>
      </w:r>
      <w:r w:rsidR="00E15F20" w:rsidRPr="00EE1831">
        <w:rPr>
          <w:rFonts w:asciiTheme="minorHAnsi" w:hAnsiTheme="minorHAnsi" w:cstheme="minorHAnsi"/>
          <w:noProof w:val="0"/>
          <w:lang w:val="en-US"/>
        </w:rPr>
        <w:t xml:space="preserve"> </w:t>
      </w:r>
      <w:r w:rsidR="000B247C" w:rsidRPr="00EE1831">
        <w:rPr>
          <w:rFonts w:asciiTheme="minorHAnsi" w:hAnsiTheme="minorHAnsi" w:cstheme="minorHAnsi"/>
          <w:noProof w:val="0"/>
          <w:lang w:val="en-US"/>
        </w:rPr>
        <w:t>applicable</w:t>
      </w:r>
      <w:r w:rsidR="006D3AF3" w:rsidRPr="00EE1831">
        <w:rPr>
          <w:rFonts w:asciiTheme="minorHAnsi" w:hAnsiTheme="minorHAnsi" w:cstheme="minorHAnsi"/>
          <w:noProof w:val="0"/>
          <w:lang w:val="en-US"/>
        </w:rPr>
        <w:t>, before starting t</w:t>
      </w:r>
      <w:r w:rsidR="002B70DD" w:rsidRPr="00EE1831">
        <w:rPr>
          <w:rFonts w:asciiTheme="minorHAnsi" w:hAnsiTheme="minorHAnsi" w:cstheme="minorHAnsi"/>
          <w:noProof w:val="0"/>
          <w:lang w:val="en-US"/>
        </w:rPr>
        <w:t>he</w:t>
      </w:r>
      <w:r w:rsidR="006D3AF3" w:rsidRPr="00EE1831">
        <w:rPr>
          <w:rFonts w:asciiTheme="minorHAnsi" w:hAnsiTheme="minorHAnsi" w:cstheme="minorHAnsi"/>
          <w:noProof w:val="0"/>
          <w:lang w:val="en-US"/>
        </w:rPr>
        <w:t xml:space="preserve"> search for </w:t>
      </w:r>
      <w:r w:rsidR="005931FB" w:rsidRPr="00EE1831">
        <w:rPr>
          <w:rFonts w:asciiTheme="minorHAnsi" w:hAnsiTheme="minorHAnsi" w:cstheme="minorHAnsi"/>
          <w:noProof w:val="0"/>
          <w:lang w:val="en-US"/>
        </w:rPr>
        <w:t>suitable content and regulations</w:t>
      </w:r>
      <w:r w:rsidR="000B247C" w:rsidRPr="00EE1831">
        <w:rPr>
          <w:rFonts w:asciiTheme="minorHAnsi" w:hAnsiTheme="minorHAnsi" w:cstheme="minorHAnsi"/>
          <w:noProof w:val="0"/>
          <w:lang w:val="en-US"/>
        </w:rPr>
        <w:t xml:space="preserve">. </w:t>
      </w:r>
      <w:r w:rsidR="00EE1831" w:rsidRPr="00EE1831">
        <w:rPr>
          <w:rFonts w:asciiTheme="minorHAnsi" w:hAnsiTheme="minorHAnsi" w:cstheme="minorHAnsi"/>
          <w:noProof w:val="0"/>
          <w:lang w:val="en-US"/>
        </w:rPr>
        <w:t>Therefore,</w:t>
      </w:r>
      <w:r w:rsidR="000B247C" w:rsidRPr="00EE1831">
        <w:rPr>
          <w:rFonts w:asciiTheme="minorHAnsi" w:hAnsiTheme="minorHAnsi" w:cstheme="minorHAnsi"/>
          <w:noProof w:val="0"/>
          <w:lang w:val="en-US"/>
        </w:rPr>
        <w:t xml:space="preserve"> </w:t>
      </w:r>
      <w:r w:rsidR="006D3AF3" w:rsidRPr="00EE1831">
        <w:rPr>
          <w:rFonts w:asciiTheme="minorHAnsi" w:hAnsiTheme="minorHAnsi" w:cstheme="minorHAnsi"/>
          <w:noProof w:val="0"/>
          <w:lang w:val="en-US"/>
        </w:rPr>
        <w:t>it is important to settle whether the personal data is being processed wholly or partly by automated means and whet</w:t>
      </w:r>
      <w:r w:rsidR="00EE1831">
        <w:rPr>
          <w:rFonts w:asciiTheme="minorHAnsi" w:hAnsiTheme="minorHAnsi" w:cstheme="minorHAnsi"/>
          <w:noProof w:val="0"/>
          <w:lang w:val="en-US"/>
        </w:rPr>
        <w:t>h</w:t>
      </w:r>
      <w:r w:rsidR="006D3AF3" w:rsidRPr="00EE1831">
        <w:rPr>
          <w:rFonts w:asciiTheme="minorHAnsi" w:hAnsiTheme="minorHAnsi" w:cstheme="minorHAnsi"/>
          <w:noProof w:val="0"/>
          <w:lang w:val="en-US"/>
        </w:rPr>
        <w:t>er the data is intended to form part of a filing system</w:t>
      </w:r>
      <w:r w:rsidR="005931FB" w:rsidRPr="00EE1831">
        <w:rPr>
          <w:rFonts w:asciiTheme="minorHAnsi" w:hAnsiTheme="minorHAnsi" w:cstheme="minorHAnsi"/>
          <w:noProof w:val="0"/>
          <w:lang w:val="en-US"/>
        </w:rPr>
        <w:t xml:space="preserve"> or already forms part of a filing system</w:t>
      </w:r>
      <w:r w:rsidR="006D3AF3" w:rsidRPr="00EE1831">
        <w:rPr>
          <w:rFonts w:asciiTheme="minorHAnsi" w:hAnsiTheme="minorHAnsi" w:cstheme="minorHAnsi"/>
          <w:noProof w:val="0"/>
          <w:lang w:val="en-US"/>
        </w:rPr>
        <w:t xml:space="preserve"> in accordance with article 2.</w:t>
      </w:r>
      <w:r w:rsidR="002B70DD" w:rsidRPr="00EE1831">
        <w:rPr>
          <w:rFonts w:asciiTheme="minorHAnsi" w:hAnsiTheme="minorHAnsi" w:cstheme="minorHAnsi"/>
          <w:noProof w:val="0"/>
          <w:lang w:val="en-US"/>
        </w:rPr>
        <w:t xml:space="preserve"> Filing system is</w:t>
      </w:r>
      <w:r w:rsidR="00E15F20" w:rsidRPr="00EE1831">
        <w:rPr>
          <w:rFonts w:asciiTheme="minorHAnsi" w:hAnsiTheme="minorHAnsi" w:cstheme="minorHAnsi"/>
          <w:noProof w:val="0"/>
          <w:lang w:val="en-US"/>
        </w:rPr>
        <w:t xml:space="preserve"> defined in article 4.6.</w:t>
      </w:r>
      <w:r w:rsidR="00EE1831">
        <w:rPr>
          <w:rFonts w:asciiTheme="minorHAnsi" w:hAnsiTheme="minorHAnsi" w:cstheme="minorHAnsi"/>
          <w:noProof w:val="0"/>
          <w:lang w:val="en-US"/>
        </w:rPr>
        <w:t xml:space="preserve"> Further, it is important to check that none of the exceptions in article 2.2 is pertinent which can make GDPR inapplicable.</w:t>
      </w:r>
      <w:r w:rsidR="006D3AF3" w:rsidRPr="00EE1831">
        <w:rPr>
          <w:rFonts w:asciiTheme="minorHAnsi" w:hAnsiTheme="minorHAnsi" w:cstheme="minorHAnsi"/>
          <w:noProof w:val="0"/>
          <w:lang w:val="en-US"/>
        </w:rPr>
        <w:t xml:space="preserve"> </w:t>
      </w:r>
      <w:r w:rsidR="00EE1831">
        <w:rPr>
          <w:rFonts w:asciiTheme="minorHAnsi" w:hAnsiTheme="minorHAnsi" w:cstheme="minorHAnsi"/>
          <w:noProof w:val="0"/>
          <w:lang w:val="en-US"/>
        </w:rPr>
        <w:t>In the next step</w:t>
      </w:r>
      <w:r w:rsidR="005931FB" w:rsidRPr="00EE1831">
        <w:rPr>
          <w:rFonts w:asciiTheme="minorHAnsi" w:hAnsiTheme="minorHAnsi" w:cstheme="minorHAnsi"/>
          <w:noProof w:val="0"/>
          <w:lang w:val="en-US"/>
        </w:rPr>
        <w:t xml:space="preserve"> it is important to determine the territorial scope so that GDPR becomes applicable, in accordance with article 3.</w:t>
      </w:r>
      <w:r w:rsidR="00E15F20" w:rsidRPr="00EE1831">
        <w:rPr>
          <w:rFonts w:asciiTheme="minorHAnsi" w:hAnsiTheme="minorHAnsi" w:cstheme="minorHAnsi"/>
          <w:noProof w:val="0"/>
          <w:lang w:val="en-US"/>
        </w:rPr>
        <w:t xml:space="preserve"> It is </w:t>
      </w:r>
      <w:r w:rsidR="00612A55">
        <w:rPr>
          <w:rFonts w:asciiTheme="minorHAnsi" w:hAnsiTheme="minorHAnsi" w:cstheme="minorHAnsi"/>
          <w:noProof w:val="0"/>
          <w:lang w:val="en-US"/>
        </w:rPr>
        <w:t xml:space="preserve">also </w:t>
      </w:r>
      <w:r w:rsidR="00E15F20" w:rsidRPr="00EE1831">
        <w:rPr>
          <w:rFonts w:asciiTheme="minorHAnsi" w:hAnsiTheme="minorHAnsi" w:cstheme="minorHAnsi"/>
          <w:noProof w:val="0"/>
          <w:lang w:val="en-US"/>
        </w:rPr>
        <w:t xml:space="preserve">important to remember that GDPR is a binding legislation for all </w:t>
      </w:r>
      <w:r w:rsidR="00DE4310">
        <w:rPr>
          <w:rFonts w:asciiTheme="minorHAnsi" w:hAnsiTheme="minorHAnsi" w:cstheme="minorHAnsi"/>
          <w:noProof w:val="0"/>
          <w:lang w:val="en-US"/>
        </w:rPr>
        <w:t>M</w:t>
      </w:r>
      <w:r w:rsidR="00E15F20" w:rsidRPr="00EE1831">
        <w:rPr>
          <w:rFonts w:asciiTheme="minorHAnsi" w:hAnsiTheme="minorHAnsi" w:cstheme="minorHAnsi"/>
          <w:noProof w:val="0"/>
          <w:lang w:val="en-US"/>
        </w:rPr>
        <w:t xml:space="preserve">ember </w:t>
      </w:r>
      <w:r w:rsidR="00DE4310">
        <w:rPr>
          <w:rFonts w:asciiTheme="minorHAnsi" w:hAnsiTheme="minorHAnsi" w:cstheme="minorHAnsi"/>
          <w:noProof w:val="0"/>
          <w:lang w:val="en-US"/>
        </w:rPr>
        <w:t>S</w:t>
      </w:r>
      <w:r w:rsidR="00E15F20" w:rsidRPr="00EE1831">
        <w:rPr>
          <w:rFonts w:asciiTheme="minorHAnsi" w:hAnsiTheme="minorHAnsi" w:cstheme="minorHAnsi"/>
          <w:noProof w:val="0"/>
          <w:lang w:val="en-US"/>
        </w:rPr>
        <w:t xml:space="preserve">tates of </w:t>
      </w:r>
      <w:r w:rsidR="007501EF" w:rsidRPr="00EE1831">
        <w:rPr>
          <w:rFonts w:asciiTheme="minorHAnsi" w:hAnsiTheme="minorHAnsi" w:cstheme="minorHAnsi"/>
          <w:noProof w:val="0"/>
          <w:lang w:val="en-US"/>
        </w:rPr>
        <w:t xml:space="preserve">the </w:t>
      </w:r>
      <w:r w:rsidR="00E15F20" w:rsidRPr="00EE1831">
        <w:rPr>
          <w:rFonts w:asciiTheme="minorHAnsi" w:hAnsiTheme="minorHAnsi" w:cstheme="minorHAnsi"/>
          <w:noProof w:val="0"/>
          <w:lang w:val="en-US"/>
        </w:rPr>
        <w:t xml:space="preserve">European Union. </w:t>
      </w:r>
      <w:r w:rsidR="005931FB" w:rsidRPr="00EE1831">
        <w:rPr>
          <w:rFonts w:asciiTheme="minorHAnsi" w:hAnsiTheme="minorHAnsi" w:cstheme="minorHAnsi"/>
          <w:noProof w:val="0"/>
          <w:lang w:val="en-US"/>
        </w:rPr>
        <w:t>When it is determined that GDPR is applicable there is one last step left</w:t>
      </w:r>
      <w:r w:rsidR="00EE1831" w:rsidRPr="00EE1831">
        <w:rPr>
          <w:rFonts w:asciiTheme="minorHAnsi" w:hAnsiTheme="minorHAnsi" w:cstheme="minorHAnsi"/>
          <w:noProof w:val="0"/>
          <w:lang w:val="en-US"/>
        </w:rPr>
        <w:t xml:space="preserve"> which</w:t>
      </w:r>
      <w:r w:rsidR="00E15F20" w:rsidRPr="00EE1831">
        <w:rPr>
          <w:rFonts w:asciiTheme="minorHAnsi" w:hAnsiTheme="minorHAnsi" w:cstheme="minorHAnsi"/>
          <w:noProof w:val="0"/>
          <w:lang w:val="en-US"/>
        </w:rPr>
        <w:t xml:space="preserve"> is to determine whether there is a controller</w:t>
      </w:r>
      <w:r w:rsidR="007501EF" w:rsidRPr="00EE1831">
        <w:rPr>
          <w:rFonts w:asciiTheme="minorHAnsi" w:hAnsiTheme="minorHAnsi" w:cstheme="minorHAnsi"/>
          <w:noProof w:val="0"/>
          <w:lang w:val="en-US"/>
        </w:rPr>
        <w:t>, a processor and a data protection officer. These are defined in articles 4.7, 4.8 and 37 to 39.</w:t>
      </w:r>
      <w:r w:rsidR="00567F05">
        <w:rPr>
          <w:rFonts w:asciiTheme="minorHAnsi" w:hAnsiTheme="minorHAnsi" w:cstheme="minorHAnsi"/>
          <w:noProof w:val="0"/>
          <w:lang w:val="en-US"/>
        </w:rPr>
        <w:t xml:space="preserve"> It is also necessary to identify the data subject.</w:t>
      </w:r>
      <w:r w:rsidR="007501EF" w:rsidRPr="00EE1831">
        <w:rPr>
          <w:rFonts w:asciiTheme="minorHAnsi" w:hAnsiTheme="minorHAnsi" w:cstheme="minorHAnsi"/>
          <w:noProof w:val="0"/>
          <w:lang w:val="en-US"/>
        </w:rPr>
        <w:t xml:space="preserve"> When </w:t>
      </w:r>
      <w:r w:rsidR="00EE1831" w:rsidRPr="00EE1831">
        <w:rPr>
          <w:rFonts w:asciiTheme="minorHAnsi" w:hAnsiTheme="minorHAnsi" w:cstheme="minorHAnsi"/>
          <w:noProof w:val="0"/>
          <w:lang w:val="en-US"/>
        </w:rPr>
        <w:t>all</w:t>
      </w:r>
      <w:r w:rsidR="007501EF" w:rsidRPr="00EE1831">
        <w:rPr>
          <w:rFonts w:asciiTheme="minorHAnsi" w:hAnsiTheme="minorHAnsi" w:cstheme="minorHAnsi"/>
          <w:noProof w:val="0"/>
          <w:lang w:val="en-US"/>
        </w:rPr>
        <w:t xml:space="preserve"> the mentioned steps are completed it is possible to </w:t>
      </w:r>
      <w:r w:rsidR="00EE1831" w:rsidRPr="00EE1831">
        <w:rPr>
          <w:rFonts w:asciiTheme="minorHAnsi" w:hAnsiTheme="minorHAnsi" w:cstheme="minorHAnsi"/>
          <w:noProof w:val="0"/>
          <w:lang w:val="en-US"/>
        </w:rPr>
        <w:t>investigate</w:t>
      </w:r>
      <w:r w:rsidR="007501EF" w:rsidRPr="00EE1831">
        <w:rPr>
          <w:rFonts w:asciiTheme="minorHAnsi" w:hAnsiTheme="minorHAnsi" w:cstheme="minorHAnsi"/>
          <w:noProof w:val="0"/>
          <w:lang w:val="en-US"/>
        </w:rPr>
        <w:t xml:space="preserve"> whether the processing of personal data is lawfully handled.</w:t>
      </w:r>
    </w:p>
    <w:p w14:paraId="5D0ADD15" w14:textId="51CD286B" w:rsidR="00A55175" w:rsidRDefault="00F44CBC" w:rsidP="00F44CBC">
      <w:pPr>
        <w:spacing w:line="240" w:lineRule="auto"/>
        <w:ind w:firstLine="284"/>
        <w:jc w:val="both"/>
        <w:rPr>
          <w:rFonts w:asciiTheme="minorHAnsi" w:hAnsiTheme="minorHAnsi" w:cstheme="minorHAnsi"/>
          <w:noProof w:val="0"/>
          <w:lang w:val="en-US"/>
        </w:rPr>
      </w:pPr>
      <w:r>
        <w:rPr>
          <w:rFonts w:asciiTheme="minorHAnsi" w:hAnsiTheme="minorHAnsi" w:cstheme="minorHAnsi"/>
          <w:noProof w:val="0"/>
          <w:lang w:val="en-US"/>
        </w:rPr>
        <w:t>The first thing to do</w:t>
      </w:r>
      <w:r w:rsidR="00567F05">
        <w:rPr>
          <w:rFonts w:asciiTheme="minorHAnsi" w:hAnsiTheme="minorHAnsi" w:cstheme="minorHAnsi"/>
          <w:noProof w:val="0"/>
          <w:lang w:val="en-US"/>
        </w:rPr>
        <w:t>, to know if the data is lawfully handled,</w:t>
      </w:r>
      <w:r>
        <w:rPr>
          <w:rFonts w:asciiTheme="minorHAnsi" w:hAnsiTheme="minorHAnsi" w:cstheme="minorHAnsi"/>
          <w:noProof w:val="0"/>
          <w:lang w:val="en-US"/>
        </w:rPr>
        <w:t xml:space="preserve"> is to analyze the list of the core principles, also called FIPs</w:t>
      </w:r>
      <w:r w:rsidR="006066C4">
        <w:rPr>
          <w:rFonts w:asciiTheme="minorHAnsi" w:hAnsiTheme="minorHAnsi" w:cstheme="minorHAnsi"/>
          <w:noProof w:val="0"/>
          <w:lang w:val="en-US"/>
        </w:rPr>
        <w:t xml:space="preserve">, </w:t>
      </w:r>
      <w:r>
        <w:rPr>
          <w:rFonts w:asciiTheme="minorHAnsi" w:hAnsiTheme="minorHAnsi" w:cstheme="minorHAnsi"/>
          <w:noProof w:val="0"/>
          <w:lang w:val="en-US"/>
        </w:rPr>
        <w:t xml:space="preserve">fair information principles, mentioned in article 5. The FIPs have central importance in GDPR and must always be fulfilled when processing personal data. </w:t>
      </w:r>
      <w:r w:rsidR="006066C4">
        <w:rPr>
          <w:rFonts w:asciiTheme="minorHAnsi" w:hAnsiTheme="minorHAnsi" w:cstheme="minorHAnsi"/>
          <w:noProof w:val="0"/>
          <w:lang w:val="en-US"/>
        </w:rPr>
        <w:t>The importance of FIPs</w:t>
      </w:r>
      <w:r>
        <w:rPr>
          <w:rFonts w:asciiTheme="minorHAnsi" w:hAnsiTheme="minorHAnsi" w:cstheme="minorHAnsi"/>
          <w:noProof w:val="0"/>
          <w:lang w:val="en-US"/>
        </w:rPr>
        <w:t xml:space="preserve"> is particularly reflected in article 83.5 which regulates the administrative fines </w:t>
      </w:r>
      <w:r w:rsidR="00A55175">
        <w:rPr>
          <w:rFonts w:asciiTheme="minorHAnsi" w:hAnsiTheme="minorHAnsi" w:cstheme="minorHAnsi"/>
          <w:noProof w:val="0"/>
          <w:lang w:val="en-US"/>
        </w:rPr>
        <w:t xml:space="preserve">and the infringements of certain obligations. </w:t>
      </w:r>
      <w:r w:rsidR="006066C4">
        <w:rPr>
          <w:rFonts w:asciiTheme="minorHAnsi" w:hAnsiTheme="minorHAnsi" w:cstheme="minorHAnsi"/>
          <w:noProof w:val="0"/>
          <w:lang w:val="en-US"/>
        </w:rPr>
        <w:t>Other</w:t>
      </w:r>
      <w:r w:rsidR="00A55175">
        <w:rPr>
          <w:rFonts w:asciiTheme="minorHAnsi" w:hAnsiTheme="minorHAnsi" w:cstheme="minorHAnsi"/>
          <w:noProof w:val="0"/>
          <w:lang w:val="en-US"/>
        </w:rPr>
        <w:t xml:space="preserve"> central regulations are article 7 which sets forth the conditions of consent</w:t>
      </w:r>
      <w:r w:rsidR="006066C4">
        <w:rPr>
          <w:rFonts w:asciiTheme="minorHAnsi" w:hAnsiTheme="minorHAnsi" w:cstheme="minorHAnsi"/>
          <w:noProof w:val="0"/>
          <w:lang w:val="en-US"/>
        </w:rPr>
        <w:t xml:space="preserve">, </w:t>
      </w:r>
      <w:r w:rsidR="00A55175">
        <w:rPr>
          <w:rFonts w:asciiTheme="minorHAnsi" w:hAnsiTheme="minorHAnsi" w:cstheme="minorHAnsi"/>
          <w:noProof w:val="0"/>
          <w:lang w:val="en-US"/>
        </w:rPr>
        <w:t>defined in article 4.11</w:t>
      </w:r>
      <w:r w:rsidR="006066C4">
        <w:rPr>
          <w:rFonts w:asciiTheme="minorHAnsi" w:hAnsiTheme="minorHAnsi" w:cstheme="minorHAnsi"/>
          <w:noProof w:val="0"/>
          <w:lang w:val="en-US"/>
        </w:rPr>
        <w:t>, and article 9 which regulates processing of sensitive personal data</w:t>
      </w:r>
      <w:r w:rsidR="00944562">
        <w:rPr>
          <w:rFonts w:asciiTheme="minorHAnsi" w:hAnsiTheme="minorHAnsi" w:cstheme="minorHAnsi"/>
          <w:noProof w:val="0"/>
          <w:lang w:val="en-US"/>
        </w:rPr>
        <w:t>, which is a special type of personal data</w:t>
      </w:r>
      <w:r w:rsidR="006066C4">
        <w:rPr>
          <w:rFonts w:asciiTheme="minorHAnsi" w:hAnsiTheme="minorHAnsi" w:cstheme="minorHAnsi"/>
          <w:noProof w:val="0"/>
          <w:lang w:val="en-US"/>
        </w:rPr>
        <w:t xml:space="preserve">. The importance of these articles is also particularly reflected in article 83.5. However, it is of importance to remember that GDPR explicitly provides a list of restrictions in article 23 which override interests of data subjects. </w:t>
      </w:r>
      <w:r w:rsidR="00940047">
        <w:rPr>
          <w:rFonts w:asciiTheme="minorHAnsi" w:hAnsiTheme="minorHAnsi" w:cstheme="minorHAnsi"/>
          <w:noProof w:val="0"/>
          <w:lang w:val="en-US"/>
        </w:rPr>
        <w:t>The point of these restrictions is to emphasize that state and societal interests may in some cases be given greater importance.</w:t>
      </w:r>
    </w:p>
    <w:p w14:paraId="08A2FE6F" w14:textId="6BDBC0EA" w:rsidR="00EE1831" w:rsidRDefault="00A55175" w:rsidP="00F44CBC">
      <w:pPr>
        <w:spacing w:line="240" w:lineRule="auto"/>
        <w:ind w:firstLine="284"/>
        <w:jc w:val="both"/>
        <w:rPr>
          <w:rFonts w:asciiTheme="minorHAnsi" w:hAnsiTheme="minorHAnsi" w:cstheme="minorHAnsi"/>
          <w:noProof w:val="0"/>
          <w:lang w:val="en-US"/>
        </w:rPr>
      </w:pPr>
      <w:r>
        <w:rPr>
          <w:rFonts w:asciiTheme="minorHAnsi" w:hAnsiTheme="minorHAnsi" w:cstheme="minorHAnsi"/>
          <w:noProof w:val="0"/>
          <w:lang w:val="en-US"/>
        </w:rPr>
        <w:t>The second thing to do is to investigate whether there is</w:t>
      </w:r>
      <w:r w:rsidR="006066C4">
        <w:rPr>
          <w:rFonts w:asciiTheme="minorHAnsi" w:hAnsiTheme="minorHAnsi" w:cstheme="minorHAnsi"/>
          <w:noProof w:val="0"/>
          <w:lang w:val="en-US"/>
        </w:rPr>
        <w:t xml:space="preserve"> a </w:t>
      </w:r>
      <w:r w:rsidR="00567F05">
        <w:rPr>
          <w:rFonts w:asciiTheme="minorHAnsi" w:hAnsiTheme="minorHAnsi" w:cstheme="minorHAnsi"/>
          <w:noProof w:val="0"/>
          <w:lang w:val="en-US"/>
        </w:rPr>
        <w:t xml:space="preserve">legal ground for processing the personal data, in accordance with article 6. At least one of these </w:t>
      </w:r>
      <w:r w:rsidR="002E125A">
        <w:rPr>
          <w:rFonts w:asciiTheme="minorHAnsi" w:hAnsiTheme="minorHAnsi" w:cstheme="minorHAnsi"/>
          <w:noProof w:val="0"/>
          <w:lang w:val="en-US"/>
        </w:rPr>
        <w:t xml:space="preserve">grounds must be applied, otherwise the processing of personal data becomes unlawful immediately. What is of importance to keep in mind is that consent, in article 6.1 (a), is defined in article 4.11 and that article 7 sets forth the conditions of consent, as mentioned earlier. Another thing to </w:t>
      </w:r>
      <w:r w:rsidR="00944562">
        <w:rPr>
          <w:rFonts w:asciiTheme="minorHAnsi" w:hAnsiTheme="minorHAnsi" w:cstheme="minorHAnsi"/>
          <w:noProof w:val="0"/>
          <w:lang w:val="en-US"/>
        </w:rPr>
        <w:t xml:space="preserve">pay attention to is that articles 6.1 (e) and (f) have </w:t>
      </w:r>
      <w:r w:rsidR="00766998">
        <w:rPr>
          <w:rFonts w:asciiTheme="minorHAnsi" w:hAnsiTheme="minorHAnsi" w:cstheme="minorHAnsi"/>
          <w:noProof w:val="0"/>
          <w:lang w:val="en-US"/>
        </w:rPr>
        <w:t>an</w:t>
      </w:r>
      <w:r w:rsidR="00944562">
        <w:rPr>
          <w:rFonts w:asciiTheme="minorHAnsi" w:hAnsiTheme="minorHAnsi" w:cstheme="minorHAnsi"/>
          <w:noProof w:val="0"/>
          <w:lang w:val="en-US"/>
        </w:rPr>
        <w:t xml:space="preserve"> interplay with article 21 that gives the data subject a right to object to processing of personal data concerning him or her.</w:t>
      </w:r>
    </w:p>
    <w:p w14:paraId="238C6799" w14:textId="5FC8984B" w:rsidR="00944562" w:rsidRDefault="00944562" w:rsidP="00F44CBC">
      <w:pPr>
        <w:spacing w:line="240" w:lineRule="auto"/>
        <w:ind w:firstLine="284"/>
        <w:jc w:val="both"/>
        <w:rPr>
          <w:rFonts w:asciiTheme="minorHAnsi" w:hAnsiTheme="minorHAnsi" w:cstheme="minorHAnsi"/>
          <w:noProof w:val="0"/>
          <w:lang w:val="en-US"/>
        </w:rPr>
      </w:pPr>
      <w:r>
        <w:rPr>
          <w:rFonts w:asciiTheme="minorHAnsi" w:hAnsiTheme="minorHAnsi" w:cstheme="minorHAnsi"/>
          <w:noProof w:val="0"/>
          <w:lang w:val="en-US"/>
        </w:rPr>
        <w:t xml:space="preserve">As earlier mentioned, GDPR contains and regulates special types of personal data, like for example sensitive data, but there also other types of personal data. </w:t>
      </w:r>
      <w:r w:rsidR="00DE4310">
        <w:rPr>
          <w:rFonts w:asciiTheme="minorHAnsi" w:hAnsiTheme="minorHAnsi" w:cstheme="minorHAnsi"/>
          <w:noProof w:val="0"/>
          <w:lang w:val="en-US"/>
        </w:rPr>
        <w:t xml:space="preserve">Processing of national identification numbers is especially regulated in article 87 which gives the Member State a right to further condition the processing of a national identification number. A fact to keep in mind about this regulation is that Sweden has done so in 3 kap. 10 § lag (2018:218) med kompletterande bestämmelser till </w:t>
      </w:r>
      <w:proofErr w:type="gramStart"/>
      <w:r w:rsidR="00DE4310">
        <w:rPr>
          <w:rFonts w:asciiTheme="minorHAnsi" w:hAnsiTheme="minorHAnsi" w:cstheme="minorHAnsi"/>
          <w:noProof w:val="0"/>
          <w:lang w:val="en-US"/>
        </w:rPr>
        <w:t>EU:s</w:t>
      </w:r>
      <w:proofErr w:type="gramEnd"/>
      <w:r w:rsidR="00DE4310">
        <w:rPr>
          <w:rFonts w:asciiTheme="minorHAnsi" w:hAnsiTheme="minorHAnsi" w:cstheme="minorHAnsi"/>
          <w:noProof w:val="0"/>
          <w:lang w:val="en-US"/>
        </w:rPr>
        <w:t xml:space="preserve"> dataskyddsförordning. </w:t>
      </w:r>
      <w:r w:rsidR="00B31686">
        <w:rPr>
          <w:rFonts w:asciiTheme="minorHAnsi" w:hAnsiTheme="minorHAnsi" w:cstheme="minorHAnsi"/>
          <w:noProof w:val="0"/>
          <w:lang w:val="en-US"/>
        </w:rPr>
        <w:t>Another special type of personal data that is especially regulated in GDPR is personal data relating to criminal convictions and offences which is regulated in article 10.</w:t>
      </w:r>
    </w:p>
    <w:p w14:paraId="4E9202ED" w14:textId="7FEBAC55" w:rsidR="00806020" w:rsidRDefault="00EC76D8" w:rsidP="00F44CBC">
      <w:pPr>
        <w:spacing w:line="240" w:lineRule="auto"/>
        <w:ind w:firstLine="284"/>
        <w:jc w:val="both"/>
        <w:rPr>
          <w:rFonts w:asciiTheme="minorHAnsi" w:hAnsiTheme="minorHAnsi" w:cstheme="minorHAnsi"/>
          <w:noProof w:val="0"/>
          <w:lang w:val="en-US"/>
        </w:rPr>
      </w:pPr>
      <w:r>
        <w:rPr>
          <w:rFonts w:asciiTheme="minorHAnsi" w:hAnsiTheme="minorHAnsi" w:cstheme="minorHAnsi"/>
          <w:noProof w:val="0"/>
          <w:lang w:val="en-US"/>
        </w:rPr>
        <w:t>Another thing about GDPR that is very important to keep in mind is the regulation of the rights of the data subject. These can be found in articles 12-22. These articles contain differe</w:t>
      </w:r>
      <w:r w:rsidR="00806020">
        <w:rPr>
          <w:rFonts w:asciiTheme="minorHAnsi" w:hAnsiTheme="minorHAnsi" w:cstheme="minorHAnsi"/>
          <w:noProof w:val="0"/>
          <w:lang w:val="en-US"/>
        </w:rPr>
        <w:t>nt rights and different ways to obtain the information from the data subject.</w:t>
      </w:r>
    </w:p>
    <w:p w14:paraId="699D9249" w14:textId="451FEB5B" w:rsidR="00EE1831" w:rsidRPr="00EE1831" w:rsidRDefault="00806020" w:rsidP="00806020">
      <w:pPr>
        <w:spacing w:line="240" w:lineRule="auto"/>
        <w:ind w:firstLine="284"/>
        <w:jc w:val="both"/>
        <w:rPr>
          <w:rFonts w:asciiTheme="minorHAnsi" w:hAnsiTheme="minorHAnsi" w:cstheme="minorHAnsi"/>
          <w:noProof w:val="0"/>
          <w:lang w:val="en-US"/>
        </w:rPr>
      </w:pPr>
      <w:r>
        <w:rPr>
          <w:rFonts w:asciiTheme="minorHAnsi" w:hAnsiTheme="minorHAnsi" w:cstheme="minorHAnsi"/>
          <w:noProof w:val="0"/>
          <w:lang w:val="en-US"/>
        </w:rPr>
        <w:t>At last it is of importance to keep in mind articles 44-50 which regulate transfers of personal data to third countries or international organizations.</w:t>
      </w:r>
    </w:p>
    <w:sectPr w:rsidR="00EE1831" w:rsidRPr="00EE1831" w:rsidSect="007D46E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F504E0" w14:textId="77777777" w:rsidR="00074625" w:rsidRDefault="00074625" w:rsidP="008F57D0">
      <w:pPr>
        <w:spacing w:line="240" w:lineRule="auto"/>
      </w:pPr>
      <w:r>
        <w:separator/>
      </w:r>
    </w:p>
  </w:endnote>
  <w:endnote w:type="continuationSeparator" w:id="0">
    <w:p w14:paraId="67066DC1" w14:textId="77777777" w:rsidR="00074625" w:rsidRDefault="00074625" w:rsidP="008F57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12AA22" w14:textId="77777777" w:rsidR="00074625" w:rsidRDefault="00074625" w:rsidP="008F57D0">
      <w:pPr>
        <w:spacing w:line="240" w:lineRule="auto"/>
      </w:pPr>
      <w:r>
        <w:separator/>
      </w:r>
    </w:p>
  </w:footnote>
  <w:footnote w:type="continuationSeparator" w:id="0">
    <w:p w14:paraId="755DE595" w14:textId="77777777" w:rsidR="00074625" w:rsidRDefault="00074625" w:rsidP="008F57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E168A7"/>
    <w:multiLevelType w:val="multilevel"/>
    <w:tmpl w:val="701A10A8"/>
    <w:lvl w:ilvl="0">
      <w:start w:val="1"/>
      <w:numFmt w:val="decimal"/>
      <w:lvlText w:val="%1."/>
      <w:lvlJc w:val="left"/>
      <w:pPr>
        <w:ind w:left="360" w:hanging="360"/>
      </w:pPr>
      <w:rPr>
        <w:rFonts w:hint="default"/>
      </w:rPr>
    </w:lvl>
    <w:lvl w:ilvl="1">
      <w:start w:val="1"/>
      <w:numFmt w:val="decimal"/>
      <w:isLgl/>
      <w:lvlText w:val="%1.%2"/>
      <w:lvlJc w:val="left"/>
      <w:pPr>
        <w:ind w:left="501"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4B3666A"/>
    <w:multiLevelType w:val="multilevel"/>
    <w:tmpl w:val="990C091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FE7"/>
    <w:rsid w:val="00074625"/>
    <w:rsid w:val="000B247C"/>
    <w:rsid w:val="00140FC2"/>
    <w:rsid w:val="001A4181"/>
    <w:rsid w:val="002323F2"/>
    <w:rsid w:val="002B70DD"/>
    <w:rsid w:val="002E125A"/>
    <w:rsid w:val="004F1139"/>
    <w:rsid w:val="00567F05"/>
    <w:rsid w:val="005931FB"/>
    <w:rsid w:val="006066C4"/>
    <w:rsid w:val="00612A55"/>
    <w:rsid w:val="006D3AF3"/>
    <w:rsid w:val="007501EF"/>
    <w:rsid w:val="00766998"/>
    <w:rsid w:val="007A2FE7"/>
    <w:rsid w:val="007D46E4"/>
    <w:rsid w:val="00806020"/>
    <w:rsid w:val="008B0C80"/>
    <w:rsid w:val="008F4943"/>
    <w:rsid w:val="008F57D0"/>
    <w:rsid w:val="00940047"/>
    <w:rsid w:val="00944562"/>
    <w:rsid w:val="009F1E34"/>
    <w:rsid w:val="00A55175"/>
    <w:rsid w:val="00AC3848"/>
    <w:rsid w:val="00B04305"/>
    <w:rsid w:val="00B13097"/>
    <w:rsid w:val="00B31686"/>
    <w:rsid w:val="00BB0FBF"/>
    <w:rsid w:val="00DE4310"/>
    <w:rsid w:val="00E15F20"/>
    <w:rsid w:val="00EC76D8"/>
    <w:rsid w:val="00EE1831"/>
    <w:rsid w:val="00F44CBC"/>
    <w:rsid w:val="00FF55D1"/>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0C622"/>
  <w15:chartTrackingRefBased/>
  <w15:docId w15:val="{1C29C051-FB40-4A8F-AC38-20E89170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097"/>
    <w:pPr>
      <w:spacing w:after="0"/>
    </w:pPr>
    <w:rPr>
      <w:rFonts w:ascii="Times New Roman" w:hAnsi="Times New Roman"/>
      <w:noProof/>
      <w:color w:val="000000" w:themeColor="text1"/>
      <w:sz w:val="24"/>
      <w:lang w:val="sv-SE"/>
    </w:rPr>
  </w:style>
  <w:style w:type="paragraph" w:styleId="Heading1">
    <w:name w:val="heading 1"/>
    <w:basedOn w:val="Normal"/>
    <w:next w:val="Normal"/>
    <w:link w:val="Heading1Char"/>
    <w:autoRedefine/>
    <w:uiPriority w:val="9"/>
    <w:qFormat/>
    <w:rsid w:val="00B13097"/>
    <w:pPr>
      <w:keepNext/>
      <w:keepLines/>
      <w:numPr>
        <w:numId w:val="2"/>
      </w:numPr>
      <w:shd w:val="clear" w:color="auto" w:fill="FFFFFF"/>
      <w:spacing w:after="150" w:line="240" w:lineRule="auto"/>
      <w:ind w:left="360" w:hanging="360"/>
      <w:outlineLvl w:val="0"/>
    </w:pPr>
    <w:rPr>
      <w:rFonts w:eastAsiaTheme="majorEastAsia" w:cs="Times New Roman"/>
      <w:b/>
      <w:color w:val="333333"/>
      <w:sz w:val="32"/>
      <w:szCs w:val="36"/>
    </w:rPr>
  </w:style>
  <w:style w:type="paragraph" w:styleId="Heading2">
    <w:name w:val="heading 2"/>
    <w:basedOn w:val="Normal"/>
    <w:next w:val="Normal"/>
    <w:link w:val="Heading2Char"/>
    <w:uiPriority w:val="9"/>
    <w:unhideWhenUsed/>
    <w:qFormat/>
    <w:rsid w:val="00FF55D1"/>
    <w:pPr>
      <w:keepNext/>
      <w:keepLines/>
      <w:spacing w:before="40" w:line="24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B13097"/>
    <w:pPr>
      <w:keepNext/>
      <w:keepLines/>
      <w:spacing w:before="40" w:line="240" w:lineRule="auto"/>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097"/>
    <w:rPr>
      <w:rFonts w:ascii="Times New Roman" w:eastAsiaTheme="majorEastAsia" w:hAnsi="Times New Roman" w:cs="Times New Roman"/>
      <w:b/>
      <w:color w:val="333333"/>
      <w:sz w:val="32"/>
      <w:szCs w:val="36"/>
      <w:shd w:val="clear" w:color="auto" w:fill="FFFFFF"/>
    </w:rPr>
  </w:style>
  <w:style w:type="character" w:customStyle="1" w:styleId="Heading2Char">
    <w:name w:val="Heading 2 Char"/>
    <w:basedOn w:val="DefaultParagraphFont"/>
    <w:link w:val="Heading2"/>
    <w:uiPriority w:val="9"/>
    <w:rsid w:val="00FF55D1"/>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B13097"/>
    <w:rPr>
      <w:rFonts w:ascii="Times New Roman" w:eastAsiaTheme="majorEastAsia" w:hAnsi="Times New Roman" w:cstheme="majorBidi"/>
      <w:b/>
      <w:color w:val="000000" w:themeColor="text1"/>
      <w:sz w:val="24"/>
      <w:szCs w:val="24"/>
    </w:rPr>
  </w:style>
  <w:style w:type="paragraph" w:styleId="Subtitle">
    <w:name w:val="Subtitle"/>
    <w:basedOn w:val="Normal"/>
    <w:next w:val="Normal"/>
    <w:link w:val="SubtitleChar"/>
    <w:uiPriority w:val="11"/>
    <w:qFormat/>
    <w:rsid w:val="00FF55D1"/>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FF55D1"/>
    <w:rPr>
      <w:rFonts w:eastAsiaTheme="minorEastAsia"/>
      <w:color w:val="5A5A5A" w:themeColor="text1" w:themeTint="A5"/>
      <w:spacing w:val="15"/>
    </w:rPr>
  </w:style>
  <w:style w:type="paragraph" w:styleId="Header">
    <w:name w:val="header"/>
    <w:basedOn w:val="Normal"/>
    <w:link w:val="HeaderChar"/>
    <w:uiPriority w:val="99"/>
    <w:unhideWhenUsed/>
    <w:rsid w:val="008F57D0"/>
    <w:pPr>
      <w:tabs>
        <w:tab w:val="center" w:pos="4703"/>
        <w:tab w:val="right" w:pos="9406"/>
      </w:tabs>
      <w:spacing w:line="240" w:lineRule="auto"/>
    </w:pPr>
  </w:style>
  <w:style w:type="character" w:customStyle="1" w:styleId="HeaderChar">
    <w:name w:val="Header Char"/>
    <w:basedOn w:val="DefaultParagraphFont"/>
    <w:link w:val="Header"/>
    <w:uiPriority w:val="99"/>
    <w:rsid w:val="008F57D0"/>
    <w:rPr>
      <w:rFonts w:ascii="Times New Roman" w:hAnsi="Times New Roman"/>
      <w:noProof/>
      <w:color w:val="000000" w:themeColor="text1"/>
      <w:sz w:val="24"/>
      <w:lang w:val="sv-SE"/>
    </w:rPr>
  </w:style>
  <w:style w:type="paragraph" w:styleId="Footer">
    <w:name w:val="footer"/>
    <w:basedOn w:val="Normal"/>
    <w:link w:val="FooterChar"/>
    <w:uiPriority w:val="99"/>
    <w:unhideWhenUsed/>
    <w:rsid w:val="008F57D0"/>
    <w:pPr>
      <w:tabs>
        <w:tab w:val="center" w:pos="4703"/>
        <w:tab w:val="right" w:pos="9406"/>
      </w:tabs>
      <w:spacing w:line="240" w:lineRule="auto"/>
    </w:pPr>
  </w:style>
  <w:style w:type="character" w:customStyle="1" w:styleId="FooterChar">
    <w:name w:val="Footer Char"/>
    <w:basedOn w:val="DefaultParagraphFont"/>
    <w:link w:val="Footer"/>
    <w:uiPriority w:val="99"/>
    <w:rsid w:val="008F57D0"/>
    <w:rPr>
      <w:rFonts w:ascii="Times New Roman" w:hAnsi="Times New Roman"/>
      <w:noProof/>
      <w:color w:val="000000" w:themeColor="text1"/>
      <w:sz w:val="24"/>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B2EC8-B7DD-42F2-A600-4DBDCE9FB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599</Words>
  <Characters>3417</Characters>
  <Application>Microsoft Office Word</Application>
  <DocSecurity>0</DocSecurity>
  <Lines>28</Lines>
  <Paragraphs>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Sergei Vanderstedt</dc:creator>
  <cp:keywords/>
  <dc:description/>
  <cp:lastModifiedBy>Alexander A</cp:lastModifiedBy>
  <cp:revision>8</cp:revision>
  <dcterms:created xsi:type="dcterms:W3CDTF">2019-09-05T10:37:00Z</dcterms:created>
  <dcterms:modified xsi:type="dcterms:W3CDTF">2020-05-10T15:05:00Z</dcterms:modified>
</cp:coreProperties>
</file>