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DB664" w14:textId="05E52BEE" w:rsidR="00C23E7E" w:rsidRDefault="00C23E7E" w:rsidP="004F75EC">
      <w:pPr>
        <w:jc w:val="both"/>
        <w:rPr>
          <w:lang w:val="en-US"/>
        </w:rPr>
      </w:pPr>
      <w:r>
        <w:rPr>
          <w:lang w:val="en-US"/>
        </w:rPr>
        <w:t xml:space="preserve">The protection of processing personal data is a fundamental right according to the new General Data Protection Regulation (GDPR). The principles and rules stated in the GDPR aims to harmonise the protection of fundamental rights and to ensure effective protection within the European Union. </w:t>
      </w:r>
    </w:p>
    <w:p w14:paraId="48AACBDB" w14:textId="77777777" w:rsidR="00C23E7E" w:rsidRDefault="00C23E7E" w:rsidP="004F75EC">
      <w:pPr>
        <w:jc w:val="both"/>
        <w:rPr>
          <w:lang w:val="en-US"/>
        </w:rPr>
      </w:pPr>
    </w:p>
    <w:p w14:paraId="5B5B6CDE" w14:textId="75E7FC77" w:rsidR="00C23E7E" w:rsidRDefault="00C23E7E" w:rsidP="004F75EC">
      <w:pPr>
        <w:jc w:val="both"/>
        <w:rPr>
          <w:lang w:val="en-US"/>
        </w:rPr>
      </w:pPr>
      <w:r>
        <w:rPr>
          <w:lang w:val="en-US"/>
        </w:rPr>
        <w:t xml:space="preserve">The general provisions are stated in chapter one and the first step is to ensure the </w:t>
      </w:r>
      <w:r w:rsidR="009F36D0">
        <w:rPr>
          <w:lang w:val="en-US"/>
        </w:rPr>
        <w:t>GDPR</w:t>
      </w:r>
      <w:r>
        <w:rPr>
          <w:lang w:val="en-US"/>
        </w:rPr>
        <w:t xml:space="preserve"> is applicable. The material scope is described in Article 2 as the processing of personal data wholly or partly by automated means. Data collected </w:t>
      </w:r>
      <w:r w:rsidR="00177670">
        <w:rPr>
          <w:lang w:val="en-US"/>
        </w:rPr>
        <w:t>or</w:t>
      </w:r>
      <w:r>
        <w:rPr>
          <w:lang w:val="en-US"/>
        </w:rPr>
        <w:t xml:space="preserve"> processed with a computer will therefore fall under the </w:t>
      </w:r>
      <w:r w:rsidR="00BA3643">
        <w:rPr>
          <w:lang w:val="en-US"/>
        </w:rPr>
        <w:t>GDPR</w:t>
      </w:r>
      <w:r>
        <w:rPr>
          <w:lang w:val="en-US"/>
        </w:rPr>
        <w:t xml:space="preserve">. Manual processing which form part of a filing system is also under the material scope of the </w:t>
      </w:r>
      <w:r w:rsidR="00BA3643">
        <w:rPr>
          <w:lang w:val="en-US"/>
        </w:rPr>
        <w:t>GDPR</w:t>
      </w:r>
      <w:r>
        <w:rPr>
          <w:lang w:val="en-US"/>
        </w:rPr>
        <w:t>. Article 2.2 state</w:t>
      </w:r>
      <w:r w:rsidR="00BE1B79">
        <w:rPr>
          <w:lang w:val="en-US"/>
        </w:rPr>
        <w:t xml:space="preserve">s </w:t>
      </w:r>
      <w:r>
        <w:rPr>
          <w:lang w:val="en-US"/>
        </w:rPr>
        <w:t xml:space="preserve">when the </w:t>
      </w:r>
      <w:r w:rsidR="00520AD6">
        <w:rPr>
          <w:lang w:val="en-US"/>
        </w:rPr>
        <w:t>GDPR</w:t>
      </w:r>
      <w:r>
        <w:rPr>
          <w:lang w:val="en-US"/>
        </w:rPr>
        <w:t xml:space="preserve"> </w:t>
      </w:r>
      <w:r w:rsidR="00BE1B79">
        <w:rPr>
          <w:lang w:val="en-US"/>
        </w:rPr>
        <w:t>is no</w:t>
      </w:r>
      <w:r w:rsidR="00AB1612">
        <w:rPr>
          <w:lang w:val="en-US"/>
        </w:rPr>
        <w:t xml:space="preserve">t </w:t>
      </w:r>
      <w:r w:rsidR="008510B5">
        <w:rPr>
          <w:lang w:val="en-US"/>
        </w:rPr>
        <w:t>applicable</w:t>
      </w:r>
      <w:r>
        <w:rPr>
          <w:lang w:val="en-US"/>
        </w:rPr>
        <w:t xml:space="preserve">. Exceptions </w:t>
      </w:r>
      <w:r w:rsidR="008510B5">
        <w:rPr>
          <w:lang w:val="en-US"/>
        </w:rPr>
        <w:t xml:space="preserve">from </w:t>
      </w:r>
      <w:r w:rsidR="00091FB6">
        <w:rPr>
          <w:lang w:val="en-US"/>
        </w:rPr>
        <w:t xml:space="preserve">the </w:t>
      </w:r>
      <w:r w:rsidR="008510B5">
        <w:rPr>
          <w:lang w:val="en-US"/>
        </w:rPr>
        <w:t xml:space="preserve">GDPR </w:t>
      </w:r>
      <w:r>
        <w:rPr>
          <w:lang w:val="en-US"/>
        </w:rPr>
        <w:t>include</w:t>
      </w:r>
      <w:r w:rsidR="008510B5">
        <w:rPr>
          <w:lang w:val="en-US"/>
        </w:rPr>
        <w:t>s</w:t>
      </w:r>
      <w:r>
        <w:rPr>
          <w:lang w:val="en-US"/>
        </w:rPr>
        <w:t xml:space="preserve"> for example the processing of personal data purely for personal use, activities which falls outside the scope of Union law and </w:t>
      </w:r>
      <w:r w:rsidR="00DA10E2">
        <w:rPr>
          <w:lang w:val="en-US"/>
        </w:rPr>
        <w:t xml:space="preserve">when </w:t>
      </w:r>
      <w:r w:rsidR="00C20DBE">
        <w:rPr>
          <w:lang w:val="en-US"/>
        </w:rPr>
        <w:t>authorities prevent</w:t>
      </w:r>
      <w:r>
        <w:rPr>
          <w:lang w:val="en-US"/>
        </w:rPr>
        <w:t xml:space="preserve">, investigate or detect criminal offenses. </w:t>
      </w:r>
      <w:r w:rsidR="001B575E">
        <w:rPr>
          <w:lang w:val="en-US"/>
        </w:rPr>
        <w:t xml:space="preserve">Article 3 </w:t>
      </w:r>
      <w:r w:rsidR="00ED2F3B">
        <w:rPr>
          <w:lang w:val="en-US"/>
        </w:rPr>
        <w:t>states</w:t>
      </w:r>
      <w:r w:rsidR="001B575E">
        <w:rPr>
          <w:lang w:val="en-US"/>
        </w:rPr>
        <w:t xml:space="preserve"> </w:t>
      </w:r>
      <w:r w:rsidR="00AF0034">
        <w:rPr>
          <w:lang w:val="en-US"/>
        </w:rPr>
        <w:t>t</w:t>
      </w:r>
      <w:r>
        <w:rPr>
          <w:lang w:val="en-US"/>
        </w:rPr>
        <w:t xml:space="preserve">he territorial scope of the </w:t>
      </w:r>
      <w:r w:rsidR="00C20DBE">
        <w:rPr>
          <w:lang w:val="en-US"/>
        </w:rPr>
        <w:t>GDPR</w:t>
      </w:r>
      <w:r w:rsidR="00AF0034">
        <w:rPr>
          <w:lang w:val="en-US"/>
        </w:rPr>
        <w:t>. R</w:t>
      </w:r>
      <w:r>
        <w:rPr>
          <w:lang w:val="en-US"/>
        </w:rPr>
        <w:t xml:space="preserve">egardless </w:t>
      </w:r>
      <w:r w:rsidR="00AF0034">
        <w:rPr>
          <w:lang w:val="en-US"/>
        </w:rPr>
        <w:t>of whether</w:t>
      </w:r>
      <w:r>
        <w:rPr>
          <w:lang w:val="en-US"/>
        </w:rPr>
        <w:t xml:space="preserve"> the processing takes place </w:t>
      </w:r>
      <w:r w:rsidR="00C30E24">
        <w:rPr>
          <w:lang w:val="en-US"/>
        </w:rPr>
        <w:t>in</w:t>
      </w:r>
      <w:r w:rsidR="00AF0034">
        <w:rPr>
          <w:lang w:val="en-US"/>
        </w:rPr>
        <w:t xml:space="preserve"> the </w:t>
      </w:r>
      <w:r>
        <w:rPr>
          <w:lang w:val="en-US"/>
        </w:rPr>
        <w:t xml:space="preserve">Union or </w:t>
      </w:r>
      <w:r w:rsidRPr="00ED2F3B">
        <w:rPr>
          <w:lang w:val="en-US"/>
        </w:rPr>
        <w:t>not</w:t>
      </w:r>
      <w:r w:rsidR="009D73A1">
        <w:rPr>
          <w:lang w:val="en-US"/>
        </w:rPr>
        <w:t>,</w:t>
      </w:r>
      <w:r w:rsidRPr="00ED2F3B">
        <w:rPr>
          <w:lang w:val="en-US"/>
        </w:rPr>
        <w:t xml:space="preserve"> the </w:t>
      </w:r>
      <w:r w:rsidR="00C30E24" w:rsidRPr="00254C12">
        <w:rPr>
          <w:lang w:val="en-US"/>
        </w:rPr>
        <w:t>crucial part</w:t>
      </w:r>
      <w:r>
        <w:rPr>
          <w:lang w:val="en-US"/>
        </w:rPr>
        <w:t xml:space="preserve"> is </w:t>
      </w:r>
      <w:r w:rsidR="00723CB0">
        <w:rPr>
          <w:lang w:val="en-US"/>
        </w:rPr>
        <w:t>whether</w:t>
      </w:r>
      <w:r>
        <w:rPr>
          <w:lang w:val="en-US"/>
        </w:rPr>
        <w:t xml:space="preserve"> the activities of an establishment of a controller or processor is within the Union. </w:t>
      </w:r>
      <w:r w:rsidR="00ED2F3B">
        <w:rPr>
          <w:lang w:val="en-US"/>
        </w:rPr>
        <w:t xml:space="preserve">If </w:t>
      </w:r>
      <w:r w:rsidR="00CF6FEB">
        <w:rPr>
          <w:lang w:val="en-US"/>
        </w:rPr>
        <w:t>the establishment</w:t>
      </w:r>
      <w:r w:rsidR="003A28AE">
        <w:rPr>
          <w:lang w:val="en-US"/>
        </w:rPr>
        <w:t xml:space="preserve"> is </w:t>
      </w:r>
      <w:r w:rsidR="003E2059">
        <w:rPr>
          <w:lang w:val="en-US"/>
        </w:rPr>
        <w:t>within</w:t>
      </w:r>
      <w:r w:rsidR="003A28AE">
        <w:rPr>
          <w:lang w:val="en-US"/>
        </w:rPr>
        <w:t xml:space="preserve"> the </w:t>
      </w:r>
      <w:r w:rsidR="003E2059">
        <w:rPr>
          <w:lang w:val="en-US"/>
        </w:rPr>
        <w:t>Union</w:t>
      </w:r>
      <w:r w:rsidR="003A28AE">
        <w:rPr>
          <w:lang w:val="en-US"/>
        </w:rPr>
        <w:t>, the GDPR is applicable</w:t>
      </w:r>
      <w:r w:rsidR="003E2059">
        <w:rPr>
          <w:lang w:val="en-US"/>
        </w:rPr>
        <w:t>.</w:t>
      </w:r>
    </w:p>
    <w:p w14:paraId="5D6C7875" w14:textId="77777777" w:rsidR="00C23E7E" w:rsidRDefault="00C23E7E" w:rsidP="004F75EC">
      <w:pPr>
        <w:jc w:val="both"/>
        <w:rPr>
          <w:lang w:val="en-US"/>
        </w:rPr>
      </w:pPr>
    </w:p>
    <w:p w14:paraId="25560B5B" w14:textId="596D2D1D" w:rsidR="00C23E7E" w:rsidRDefault="00C23E7E" w:rsidP="004F75EC">
      <w:pPr>
        <w:jc w:val="both"/>
        <w:rPr>
          <w:lang w:val="en-US"/>
        </w:rPr>
      </w:pPr>
      <w:r>
        <w:rPr>
          <w:lang w:val="en-US"/>
        </w:rPr>
        <w:t xml:space="preserve">The next step after ensuring the </w:t>
      </w:r>
      <w:r w:rsidR="003E2059">
        <w:rPr>
          <w:lang w:val="en-US"/>
        </w:rPr>
        <w:t>GDPR</w:t>
      </w:r>
      <w:r>
        <w:rPr>
          <w:lang w:val="en-US"/>
        </w:rPr>
        <w:t xml:space="preserve"> is applicable is to determine who is responsible. The </w:t>
      </w:r>
      <w:r w:rsidR="007850C6">
        <w:rPr>
          <w:lang w:val="en-US"/>
        </w:rPr>
        <w:t>GDPR</w:t>
      </w:r>
      <w:r>
        <w:rPr>
          <w:lang w:val="en-US"/>
        </w:rPr>
        <w:t xml:space="preserve"> provides definition of the </w:t>
      </w:r>
      <w:r w:rsidRPr="00C23E7E">
        <w:rPr>
          <w:i/>
          <w:iCs/>
          <w:lang w:val="en-US"/>
        </w:rPr>
        <w:t>controller</w:t>
      </w:r>
      <w:r>
        <w:rPr>
          <w:lang w:val="en-US"/>
        </w:rPr>
        <w:t xml:space="preserve"> and the </w:t>
      </w:r>
      <w:r w:rsidRPr="00C23E7E">
        <w:rPr>
          <w:i/>
          <w:iCs/>
          <w:lang w:val="en-US"/>
        </w:rPr>
        <w:t>processor</w:t>
      </w:r>
      <w:r>
        <w:rPr>
          <w:lang w:val="en-US"/>
        </w:rPr>
        <w:t xml:space="preserve"> in Articles 4(7) and 4(8). </w:t>
      </w:r>
      <w:r w:rsidR="00041A14">
        <w:rPr>
          <w:lang w:val="en-US"/>
        </w:rPr>
        <w:t xml:space="preserve">Depending on the </w:t>
      </w:r>
      <w:r w:rsidR="00916F3B">
        <w:rPr>
          <w:lang w:val="en-US"/>
        </w:rPr>
        <w:t>activities</w:t>
      </w:r>
      <w:r w:rsidR="008F0A4D">
        <w:rPr>
          <w:lang w:val="en-US"/>
        </w:rPr>
        <w:t xml:space="preserve">, </w:t>
      </w:r>
      <w:r w:rsidR="00981931">
        <w:rPr>
          <w:lang w:val="en-US"/>
        </w:rPr>
        <w:t xml:space="preserve">the controller and </w:t>
      </w:r>
      <w:r w:rsidR="00534795">
        <w:rPr>
          <w:lang w:val="en-US"/>
        </w:rPr>
        <w:t xml:space="preserve">the processor should </w:t>
      </w:r>
      <w:r w:rsidR="004264D2">
        <w:rPr>
          <w:lang w:val="en-US"/>
        </w:rPr>
        <w:t>designate</w:t>
      </w:r>
      <w:r w:rsidR="00534795">
        <w:rPr>
          <w:lang w:val="en-US"/>
        </w:rPr>
        <w:t xml:space="preserve"> a data </w:t>
      </w:r>
      <w:r w:rsidR="004264D2">
        <w:rPr>
          <w:lang w:val="en-US"/>
        </w:rPr>
        <w:t>protection</w:t>
      </w:r>
      <w:r w:rsidR="00534795">
        <w:rPr>
          <w:lang w:val="en-US"/>
        </w:rPr>
        <w:t xml:space="preserve"> officer</w:t>
      </w:r>
      <w:r w:rsidR="00140C57">
        <w:rPr>
          <w:lang w:val="en-US"/>
        </w:rPr>
        <w:t xml:space="preserve"> according to Articles 37-</w:t>
      </w:r>
      <w:r w:rsidR="00522F6E">
        <w:rPr>
          <w:lang w:val="en-US"/>
        </w:rPr>
        <w:t>39.</w:t>
      </w:r>
    </w:p>
    <w:p w14:paraId="70FE5648" w14:textId="77777777" w:rsidR="00C23E7E" w:rsidRDefault="00C23E7E" w:rsidP="004F75EC">
      <w:pPr>
        <w:jc w:val="both"/>
        <w:rPr>
          <w:lang w:val="en-US"/>
        </w:rPr>
      </w:pPr>
    </w:p>
    <w:p w14:paraId="6840F925" w14:textId="2929A8D0" w:rsidR="00C23E7E" w:rsidRDefault="00C23E7E" w:rsidP="004F75EC">
      <w:pPr>
        <w:jc w:val="both"/>
        <w:rPr>
          <w:lang w:val="en-US"/>
        </w:rPr>
      </w:pPr>
      <w:r>
        <w:rPr>
          <w:lang w:val="en-US"/>
        </w:rPr>
        <w:t xml:space="preserve">Article 5 provides the principles relating to processing personal data. The principles are a) lawfulness, fairness, transparency, b) purpose limitation, c) data minimisation, d) accuracy, e) storage limitation, f) integrity and confidentiality. The principles are the core of the </w:t>
      </w:r>
      <w:r w:rsidR="00CB3CB5">
        <w:rPr>
          <w:lang w:val="en-US"/>
        </w:rPr>
        <w:t>GDPR</w:t>
      </w:r>
      <w:r>
        <w:rPr>
          <w:lang w:val="en-US"/>
        </w:rPr>
        <w:t xml:space="preserve"> and compliance with the principles </w:t>
      </w:r>
      <w:r w:rsidR="00900C69">
        <w:rPr>
          <w:lang w:val="en-US"/>
        </w:rPr>
        <w:t>is</w:t>
      </w:r>
      <w:r>
        <w:rPr>
          <w:lang w:val="en-US"/>
        </w:rPr>
        <w:t xml:space="preserve"> fundamental. Article 5.2 states that the controller should be able to demonstrate compliance with the principles. </w:t>
      </w:r>
      <w:r w:rsidRPr="00CB3CB5">
        <w:rPr>
          <w:lang w:val="en-US"/>
        </w:rPr>
        <w:t>Furthermore</w:t>
      </w:r>
      <w:r>
        <w:rPr>
          <w:lang w:val="en-US"/>
        </w:rPr>
        <w:t xml:space="preserve">, processing of personal data is lawful only if at least </w:t>
      </w:r>
      <w:r w:rsidR="00982FA9">
        <w:rPr>
          <w:lang w:val="en-US"/>
        </w:rPr>
        <w:t xml:space="preserve">one </w:t>
      </w:r>
      <w:r>
        <w:rPr>
          <w:lang w:val="en-US"/>
        </w:rPr>
        <w:t xml:space="preserve">of the criteria in Article 6 is met. One lawful processing of data </w:t>
      </w:r>
      <w:r w:rsidR="001625E0">
        <w:rPr>
          <w:lang w:val="en-US"/>
        </w:rPr>
        <w:t>would</w:t>
      </w:r>
      <w:r>
        <w:rPr>
          <w:lang w:val="en-US"/>
        </w:rPr>
        <w:t xml:space="preserve"> be if the processing is based on </w:t>
      </w:r>
      <w:r w:rsidRPr="00DD7141">
        <w:rPr>
          <w:lang w:val="en-US"/>
        </w:rPr>
        <w:t>consent</w:t>
      </w:r>
      <w:r>
        <w:rPr>
          <w:lang w:val="en-US"/>
        </w:rPr>
        <w:t xml:space="preserve">.  Detailed conditions for consent can be found in Article 7 which </w:t>
      </w:r>
      <w:r w:rsidR="00982FA9">
        <w:rPr>
          <w:lang w:val="en-US"/>
        </w:rPr>
        <w:t xml:space="preserve">states </w:t>
      </w:r>
      <w:r>
        <w:rPr>
          <w:lang w:val="en-US"/>
        </w:rPr>
        <w:t xml:space="preserve">that the request for consent should be presented in a clear and easily accessible form. Processing data without consent is only lawful if </w:t>
      </w:r>
      <w:r w:rsidR="00DD7141" w:rsidRPr="00DD7141">
        <w:rPr>
          <w:lang w:val="en-US"/>
        </w:rPr>
        <w:t>an</w:t>
      </w:r>
      <w:r w:rsidRPr="00DD7141">
        <w:rPr>
          <w:lang w:val="en-US"/>
        </w:rPr>
        <w:t xml:space="preserve">other </w:t>
      </w:r>
      <w:r w:rsidR="00EB1E68" w:rsidRPr="00DD7141">
        <w:rPr>
          <w:lang w:val="en-US"/>
        </w:rPr>
        <w:t>criter</w:t>
      </w:r>
      <w:r w:rsidR="00EB1E68">
        <w:rPr>
          <w:lang w:val="en-US"/>
        </w:rPr>
        <w:t>ion</w:t>
      </w:r>
      <w:r w:rsidRPr="00DD7141">
        <w:rPr>
          <w:lang w:val="en-US"/>
        </w:rPr>
        <w:t xml:space="preserve"> in</w:t>
      </w:r>
      <w:r>
        <w:rPr>
          <w:lang w:val="en-US"/>
        </w:rPr>
        <w:t xml:space="preserve"> Article 6 is met. Identifying </w:t>
      </w:r>
      <w:r w:rsidR="005E1DA6" w:rsidRPr="005E1DA6">
        <w:rPr>
          <w:lang w:val="en-US"/>
        </w:rPr>
        <w:t>what</w:t>
      </w:r>
      <w:r w:rsidRPr="005E1DA6">
        <w:rPr>
          <w:lang w:val="en-US"/>
        </w:rPr>
        <w:t xml:space="preserve"> type</w:t>
      </w:r>
      <w:r>
        <w:rPr>
          <w:lang w:val="en-US"/>
        </w:rPr>
        <w:t xml:space="preserve"> of data that is processed is </w:t>
      </w:r>
      <w:r w:rsidRPr="005E1DA6">
        <w:rPr>
          <w:lang w:val="en-US"/>
        </w:rPr>
        <w:t>essential</w:t>
      </w:r>
      <w:r>
        <w:rPr>
          <w:lang w:val="en-US"/>
        </w:rPr>
        <w:t>. There is a special category of personal data in Article 9 and without explicit consent or necessity it is prohibited to process</w:t>
      </w:r>
      <w:r w:rsidR="00111323">
        <w:rPr>
          <w:lang w:val="en-US"/>
        </w:rPr>
        <w:t xml:space="preserve"> </w:t>
      </w:r>
      <w:r w:rsidR="003045CF">
        <w:rPr>
          <w:lang w:val="en-US"/>
        </w:rPr>
        <w:t>such</w:t>
      </w:r>
      <w:r w:rsidR="00111323">
        <w:rPr>
          <w:lang w:val="en-US"/>
        </w:rPr>
        <w:t xml:space="preserve"> data</w:t>
      </w:r>
      <w:r>
        <w:rPr>
          <w:lang w:val="en-US"/>
        </w:rPr>
        <w:t xml:space="preserve">. Article 10 dictates processing of personal data in relation to criminal offenses. </w:t>
      </w:r>
      <w:r w:rsidR="007572E9">
        <w:rPr>
          <w:lang w:val="en-US"/>
        </w:rPr>
        <w:t xml:space="preserve">Only </w:t>
      </w:r>
      <w:r w:rsidR="00402522">
        <w:rPr>
          <w:lang w:val="en-US"/>
        </w:rPr>
        <w:t xml:space="preserve">official authorities </w:t>
      </w:r>
      <w:r w:rsidR="006730F6">
        <w:rPr>
          <w:lang w:val="en-US"/>
        </w:rPr>
        <w:t>can</w:t>
      </w:r>
      <w:r w:rsidR="00402522">
        <w:rPr>
          <w:lang w:val="en-US"/>
        </w:rPr>
        <w:t xml:space="preserve"> </w:t>
      </w:r>
      <w:r w:rsidR="005369C8">
        <w:rPr>
          <w:lang w:val="en-US"/>
        </w:rPr>
        <w:t>process</w:t>
      </w:r>
      <w:r w:rsidR="00402522">
        <w:rPr>
          <w:lang w:val="en-US"/>
        </w:rPr>
        <w:t xml:space="preserve"> </w:t>
      </w:r>
      <w:r w:rsidR="005369C8">
        <w:rPr>
          <w:lang w:val="en-US"/>
        </w:rPr>
        <w:t>d</w:t>
      </w:r>
      <w:r w:rsidR="00402522">
        <w:rPr>
          <w:lang w:val="en-US"/>
        </w:rPr>
        <w:t xml:space="preserve">ata </w:t>
      </w:r>
      <w:r w:rsidR="005369C8">
        <w:rPr>
          <w:lang w:val="en-US"/>
        </w:rPr>
        <w:t>relating</w:t>
      </w:r>
      <w:r w:rsidR="00402522">
        <w:rPr>
          <w:lang w:val="en-US"/>
        </w:rPr>
        <w:t xml:space="preserve"> to criminal convictions and offenses. </w:t>
      </w:r>
      <w:r>
        <w:rPr>
          <w:lang w:val="en-US"/>
        </w:rPr>
        <w:t xml:space="preserve">Member States may further decide specific conditions for processing national identification number according to Article 87. </w:t>
      </w:r>
    </w:p>
    <w:p w14:paraId="1FA2FD59" w14:textId="77777777" w:rsidR="00C23E7E" w:rsidRDefault="00C23E7E" w:rsidP="004F75EC">
      <w:pPr>
        <w:jc w:val="both"/>
        <w:rPr>
          <w:lang w:val="en-US"/>
        </w:rPr>
      </w:pPr>
    </w:p>
    <w:p w14:paraId="6AD27084" w14:textId="1253568D" w:rsidR="00865550" w:rsidRPr="00C23E7E" w:rsidRDefault="00C23E7E" w:rsidP="004F75EC">
      <w:pPr>
        <w:jc w:val="both"/>
        <w:rPr>
          <w:lang w:val="en-US"/>
        </w:rPr>
      </w:pPr>
      <w:r>
        <w:rPr>
          <w:lang w:val="en-US"/>
        </w:rPr>
        <w:t xml:space="preserve">Even if the principles in Article 5 is met and the processing of personal data is lawful </w:t>
      </w:r>
      <w:r w:rsidR="00B02E88">
        <w:rPr>
          <w:lang w:val="en-US"/>
        </w:rPr>
        <w:t xml:space="preserve">under </w:t>
      </w:r>
      <w:r>
        <w:rPr>
          <w:lang w:val="en-US"/>
        </w:rPr>
        <w:t>Article 6</w:t>
      </w:r>
      <w:r w:rsidR="009C19C6">
        <w:rPr>
          <w:lang w:val="en-US"/>
        </w:rPr>
        <w:t>,</w:t>
      </w:r>
      <w:r>
        <w:rPr>
          <w:lang w:val="en-US"/>
        </w:rPr>
        <w:t xml:space="preserve"> the controller </w:t>
      </w:r>
      <w:r w:rsidR="006F00F9">
        <w:rPr>
          <w:lang w:val="en-US"/>
        </w:rPr>
        <w:t>must</w:t>
      </w:r>
      <w:r>
        <w:rPr>
          <w:lang w:val="en-US"/>
        </w:rPr>
        <w:t xml:space="preserve"> </w:t>
      </w:r>
      <w:r w:rsidR="009C19C6">
        <w:rPr>
          <w:lang w:val="en-US"/>
        </w:rPr>
        <w:t>provide</w:t>
      </w:r>
      <w:r>
        <w:rPr>
          <w:lang w:val="en-US"/>
        </w:rPr>
        <w:t xml:space="preserve"> the information in a concise, transparent, and easily accessible form to the data subject </w:t>
      </w:r>
      <w:r w:rsidR="006F00F9">
        <w:rPr>
          <w:lang w:val="en-US"/>
        </w:rPr>
        <w:t>according to Articles</w:t>
      </w:r>
      <w:r>
        <w:rPr>
          <w:lang w:val="en-US"/>
        </w:rPr>
        <w:t xml:space="preserve"> 12-14. Infringements to the articles mentioned can result in an administrative fine according to Article 83.5 (a) and Article 83.5 (b).</w:t>
      </w:r>
    </w:p>
    <w:sectPr w:rsidR="00865550" w:rsidRPr="00C23E7E" w:rsidSect="006730F6">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D20F93" w14:textId="77777777" w:rsidR="00534086" w:rsidRDefault="00534086" w:rsidP="00C23E7E">
      <w:r>
        <w:separator/>
      </w:r>
    </w:p>
  </w:endnote>
  <w:endnote w:type="continuationSeparator" w:id="0">
    <w:p w14:paraId="49BE198C" w14:textId="77777777" w:rsidR="00534086" w:rsidRDefault="00534086" w:rsidP="00C2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4D4680" w14:textId="77777777" w:rsidR="00534086" w:rsidRDefault="00534086" w:rsidP="00C23E7E">
      <w:r>
        <w:separator/>
      </w:r>
    </w:p>
  </w:footnote>
  <w:footnote w:type="continuationSeparator" w:id="0">
    <w:p w14:paraId="43FD2D36" w14:textId="77777777" w:rsidR="00534086" w:rsidRDefault="00534086" w:rsidP="00C23E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1304"/>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E7E"/>
    <w:rsid w:val="00000ADA"/>
    <w:rsid w:val="00041A14"/>
    <w:rsid w:val="00091FB6"/>
    <w:rsid w:val="000B6E8C"/>
    <w:rsid w:val="000D7B21"/>
    <w:rsid w:val="00111323"/>
    <w:rsid w:val="00140C57"/>
    <w:rsid w:val="001625E0"/>
    <w:rsid w:val="00177670"/>
    <w:rsid w:val="001B575E"/>
    <w:rsid w:val="00244C2E"/>
    <w:rsid w:val="00254C12"/>
    <w:rsid w:val="003045CF"/>
    <w:rsid w:val="00310AF3"/>
    <w:rsid w:val="003468D2"/>
    <w:rsid w:val="0036171D"/>
    <w:rsid w:val="00392E3C"/>
    <w:rsid w:val="003A28AE"/>
    <w:rsid w:val="003B5537"/>
    <w:rsid w:val="003E2059"/>
    <w:rsid w:val="00402522"/>
    <w:rsid w:val="004264D2"/>
    <w:rsid w:val="00477DB1"/>
    <w:rsid w:val="004E0B12"/>
    <w:rsid w:val="004F75EC"/>
    <w:rsid w:val="00520AD6"/>
    <w:rsid w:val="00522F6E"/>
    <w:rsid w:val="00534086"/>
    <w:rsid w:val="00534795"/>
    <w:rsid w:val="005369C8"/>
    <w:rsid w:val="005443B9"/>
    <w:rsid w:val="005E1DA6"/>
    <w:rsid w:val="00634837"/>
    <w:rsid w:val="006730F6"/>
    <w:rsid w:val="006C7307"/>
    <w:rsid w:val="006F00F9"/>
    <w:rsid w:val="007054D9"/>
    <w:rsid w:val="00723CB0"/>
    <w:rsid w:val="007572E9"/>
    <w:rsid w:val="007850C6"/>
    <w:rsid w:val="007A387B"/>
    <w:rsid w:val="00824E1E"/>
    <w:rsid w:val="008510B5"/>
    <w:rsid w:val="00865550"/>
    <w:rsid w:val="008828C4"/>
    <w:rsid w:val="008A057C"/>
    <w:rsid w:val="008D074D"/>
    <w:rsid w:val="008F0A4D"/>
    <w:rsid w:val="008F5563"/>
    <w:rsid w:val="00900C69"/>
    <w:rsid w:val="00916F3B"/>
    <w:rsid w:val="00981931"/>
    <w:rsid w:val="00982FA9"/>
    <w:rsid w:val="009C19C6"/>
    <w:rsid w:val="009D6D59"/>
    <w:rsid w:val="009D73A1"/>
    <w:rsid w:val="009F36D0"/>
    <w:rsid w:val="00A04A16"/>
    <w:rsid w:val="00A77D7E"/>
    <w:rsid w:val="00A90C43"/>
    <w:rsid w:val="00AA3D0F"/>
    <w:rsid w:val="00AB1612"/>
    <w:rsid w:val="00AF0034"/>
    <w:rsid w:val="00B02E88"/>
    <w:rsid w:val="00B07295"/>
    <w:rsid w:val="00B5643E"/>
    <w:rsid w:val="00B95022"/>
    <w:rsid w:val="00B978AA"/>
    <w:rsid w:val="00BA3643"/>
    <w:rsid w:val="00BE1B79"/>
    <w:rsid w:val="00BF4B98"/>
    <w:rsid w:val="00C20DBE"/>
    <w:rsid w:val="00C23E7E"/>
    <w:rsid w:val="00C30E24"/>
    <w:rsid w:val="00CB3CB5"/>
    <w:rsid w:val="00CD46C1"/>
    <w:rsid w:val="00CD734B"/>
    <w:rsid w:val="00CF6FEB"/>
    <w:rsid w:val="00D03E3B"/>
    <w:rsid w:val="00D31E1A"/>
    <w:rsid w:val="00DA10E2"/>
    <w:rsid w:val="00DD7141"/>
    <w:rsid w:val="00E40AC9"/>
    <w:rsid w:val="00EB1E68"/>
    <w:rsid w:val="00ED2F3B"/>
    <w:rsid w:val="00ED3FB4"/>
    <w:rsid w:val="00F9520D"/>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1BBB3"/>
  <w15:chartTrackingRefBased/>
  <w15:docId w15:val="{84A729FA-5CA4-9D4C-B7B6-13D8D4A3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sv-S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3E7E"/>
    <w:pPr>
      <w:spacing w:before="100" w:beforeAutospacing="1" w:after="100" w:afterAutospacing="1"/>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C23E7E"/>
    <w:rPr>
      <w:sz w:val="20"/>
      <w:szCs w:val="20"/>
    </w:rPr>
  </w:style>
  <w:style w:type="character" w:customStyle="1" w:styleId="FootnoteTextChar">
    <w:name w:val="Footnote Text Char"/>
    <w:basedOn w:val="DefaultParagraphFont"/>
    <w:link w:val="FootnoteText"/>
    <w:uiPriority w:val="99"/>
    <w:semiHidden/>
    <w:rsid w:val="00C23E7E"/>
    <w:rPr>
      <w:sz w:val="20"/>
      <w:szCs w:val="20"/>
    </w:rPr>
  </w:style>
  <w:style w:type="character" w:styleId="FootnoteReference">
    <w:name w:val="footnote reference"/>
    <w:basedOn w:val="DefaultParagraphFont"/>
    <w:uiPriority w:val="99"/>
    <w:semiHidden/>
    <w:unhideWhenUsed/>
    <w:rsid w:val="00C23E7E"/>
    <w:rPr>
      <w:vertAlign w:val="superscript"/>
    </w:rPr>
  </w:style>
  <w:style w:type="character" w:styleId="CommentReference">
    <w:name w:val="annotation reference"/>
    <w:basedOn w:val="DefaultParagraphFont"/>
    <w:uiPriority w:val="99"/>
    <w:semiHidden/>
    <w:unhideWhenUsed/>
    <w:rsid w:val="00C23E7E"/>
    <w:rPr>
      <w:sz w:val="16"/>
      <w:szCs w:val="16"/>
    </w:rPr>
  </w:style>
  <w:style w:type="paragraph" w:styleId="CommentText">
    <w:name w:val="annotation text"/>
    <w:basedOn w:val="Normal"/>
    <w:link w:val="CommentTextChar"/>
    <w:uiPriority w:val="99"/>
    <w:semiHidden/>
    <w:unhideWhenUsed/>
    <w:rsid w:val="00C23E7E"/>
    <w:rPr>
      <w:sz w:val="20"/>
      <w:szCs w:val="20"/>
    </w:rPr>
  </w:style>
  <w:style w:type="character" w:customStyle="1" w:styleId="CommentTextChar">
    <w:name w:val="Comment Text Char"/>
    <w:basedOn w:val="DefaultParagraphFont"/>
    <w:link w:val="CommentText"/>
    <w:uiPriority w:val="99"/>
    <w:semiHidden/>
    <w:rsid w:val="00C23E7E"/>
    <w:rPr>
      <w:sz w:val="20"/>
      <w:szCs w:val="20"/>
    </w:rPr>
  </w:style>
  <w:style w:type="paragraph" w:styleId="CommentSubject">
    <w:name w:val="annotation subject"/>
    <w:basedOn w:val="CommentText"/>
    <w:next w:val="CommentText"/>
    <w:link w:val="CommentSubjectChar"/>
    <w:uiPriority w:val="99"/>
    <w:semiHidden/>
    <w:unhideWhenUsed/>
    <w:rsid w:val="00C23E7E"/>
    <w:rPr>
      <w:b/>
      <w:bCs/>
    </w:rPr>
  </w:style>
  <w:style w:type="character" w:customStyle="1" w:styleId="CommentSubjectChar">
    <w:name w:val="Comment Subject Char"/>
    <w:basedOn w:val="CommentTextChar"/>
    <w:link w:val="CommentSubject"/>
    <w:uiPriority w:val="99"/>
    <w:semiHidden/>
    <w:rsid w:val="00C23E7E"/>
    <w:rPr>
      <w:b/>
      <w:bCs/>
      <w:sz w:val="20"/>
      <w:szCs w:val="20"/>
    </w:rPr>
  </w:style>
  <w:style w:type="paragraph" w:styleId="BalloonText">
    <w:name w:val="Balloon Text"/>
    <w:basedOn w:val="Normal"/>
    <w:link w:val="BalloonTextChar"/>
    <w:uiPriority w:val="99"/>
    <w:semiHidden/>
    <w:unhideWhenUsed/>
    <w:rsid w:val="00C23E7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23E7E"/>
    <w:rPr>
      <w:rFonts w:ascii="Times New Roman" w:hAnsi="Times New Roman" w:cs="Times New Roman"/>
      <w:sz w:val="18"/>
      <w:szCs w:val="18"/>
    </w:rPr>
  </w:style>
  <w:style w:type="paragraph" w:styleId="Header">
    <w:name w:val="header"/>
    <w:basedOn w:val="Normal"/>
    <w:link w:val="HeaderChar"/>
    <w:uiPriority w:val="99"/>
    <w:unhideWhenUsed/>
    <w:rsid w:val="00C23E7E"/>
    <w:pPr>
      <w:tabs>
        <w:tab w:val="center" w:pos="4536"/>
        <w:tab w:val="right" w:pos="9072"/>
      </w:tabs>
    </w:pPr>
  </w:style>
  <w:style w:type="character" w:customStyle="1" w:styleId="HeaderChar">
    <w:name w:val="Header Char"/>
    <w:basedOn w:val="DefaultParagraphFont"/>
    <w:link w:val="Header"/>
    <w:uiPriority w:val="99"/>
    <w:rsid w:val="00C23E7E"/>
  </w:style>
  <w:style w:type="paragraph" w:styleId="Footer">
    <w:name w:val="footer"/>
    <w:basedOn w:val="Normal"/>
    <w:link w:val="FooterChar"/>
    <w:uiPriority w:val="99"/>
    <w:unhideWhenUsed/>
    <w:rsid w:val="00C23E7E"/>
    <w:pPr>
      <w:tabs>
        <w:tab w:val="center" w:pos="4536"/>
        <w:tab w:val="right" w:pos="9072"/>
      </w:tabs>
    </w:pPr>
  </w:style>
  <w:style w:type="character" w:customStyle="1" w:styleId="FooterChar">
    <w:name w:val="Footer Char"/>
    <w:basedOn w:val="DefaultParagraphFont"/>
    <w:link w:val="Footer"/>
    <w:uiPriority w:val="99"/>
    <w:rsid w:val="00C23E7E"/>
  </w:style>
  <w:style w:type="paragraph" w:styleId="EndnoteText">
    <w:name w:val="endnote text"/>
    <w:basedOn w:val="Normal"/>
    <w:link w:val="EndnoteTextChar"/>
    <w:uiPriority w:val="99"/>
    <w:semiHidden/>
    <w:unhideWhenUsed/>
    <w:rsid w:val="00C23E7E"/>
    <w:rPr>
      <w:sz w:val="20"/>
      <w:szCs w:val="20"/>
    </w:rPr>
  </w:style>
  <w:style w:type="character" w:customStyle="1" w:styleId="EndnoteTextChar">
    <w:name w:val="Endnote Text Char"/>
    <w:basedOn w:val="DefaultParagraphFont"/>
    <w:link w:val="EndnoteText"/>
    <w:uiPriority w:val="99"/>
    <w:semiHidden/>
    <w:rsid w:val="00C23E7E"/>
    <w:rPr>
      <w:sz w:val="20"/>
      <w:szCs w:val="20"/>
    </w:rPr>
  </w:style>
  <w:style w:type="character" w:styleId="EndnoteReference">
    <w:name w:val="endnote reference"/>
    <w:basedOn w:val="DefaultParagraphFont"/>
    <w:uiPriority w:val="99"/>
    <w:semiHidden/>
    <w:unhideWhenUsed/>
    <w:rsid w:val="00C23E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701083">
      <w:bodyDiv w:val="1"/>
      <w:marLeft w:val="0"/>
      <w:marRight w:val="0"/>
      <w:marTop w:val="0"/>
      <w:marBottom w:val="0"/>
      <w:divBdr>
        <w:top w:val="none" w:sz="0" w:space="0" w:color="auto"/>
        <w:left w:val="none" w:sz="0" w:space="0" w:color="auto"/>
        <w:bottom w:val="none" w:sz="0" w:space="0" w:color="auto"/>
        <w:right w:val="none" w:sz="0" w:space="0" w:color="auto"/>
      </w:divBdr>
    </w:div>
    <w:div w:id="1686861467">
      <w:bodyDiv w:val="1"/>
      <w:marLeft w:val="0"/>
      <w:marRight w:val="0"/>
      <w:marTop w:val="0"/>
      <w:marBottom w:val="0"/>
      <w:divBdr>
        <w:top w:val="none" w:sz="0" w:space="0" w:color="auto"/>
        <w:left w:val="none" w:sz="0" w:space="0" w:color="auto"/>
        <w:bottom w:val="none" w:sz="0" w:space="0" w:color="auto"/>
        <w:right w:val="none" w:sz="0" w:space="0" w:color="auto"/>
      </w:divBdr>
      <w:divsChild>
        <w:div w:id="1096440711">
          <w:marLeft w:val="0"/>
          <w:marRight w:val="0"/>
          <w:marTop w:val="0"/>
          <w:marBottom w:val="0"/>
          <w:divBdr>
            <w:top w:val="none" w:sz="0" w:space="0" w:color="auto"/>
            <w:left w:val="none" w:sz="0" w:space="0" w:color="auto"/>
            <w:bottom w:val="none" w:sz="0" w:space="0" w:color="auto"/>
            <w:right w:val="none" w:sz="0" w:space="0" w:color="auto"/>
          </w:divBdr>
          <w:divsChild>
            <w:div w:id="430853484">
              <w:marLeft w:val="0"/>
              <w:marRight w:val="0"/>
              <w:marTop w:val="0"/>
              <w:marBottom w:val="0"/>
              <w:divBdr>
                <w:top w:val="none" w:sz="0" w:space="0" w:color="auto"/>
                <w:left w:val="none" w:sz="0" w:space="0" w:color="auto"/>
                <w:bottom w:val="none" w:sz="0" w:space="0" w:color="auto"/>
                <w:right w:val="none" w:sz="0" w:space="0" w:color="auto"/>
              </w:divBdr>
              <w:divsChild>
                <w:div w:id="14231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837684">
      <w:bodyDiv w:val="1"/>
      <w:marLeft w:val="0"/>
      <w:marRight w:val="0"/>
      <w:marTop w:val="0"/>
      <w:marBottom w:val="0"/>
      <w:divBdr>
        <w:top w:val="none" w:sz="0" w:space="0" w:color="auto"/>
        <w:left w:val="none" w:sz="0" w:space="0" w:color="auto"/>
        <w:bottom w:val="none" w:sz="0" w:space="0" w:color="auto"/>
        <w:right w:val="none" w:sz="0" w:space="0" w:color="auto"/>
      </w:divBdr>
      <w:divsChild>
        <w:div w:id="872233103">
          <w:marLeft w:val="0"/>
          <w:marRight w:val="0"/>
          <w:marTop w:val="0"/>
          <w:marBottom w:val="0"/>
          <w:divBdr>
            <w:top w:val="none" w:sz="0" w:space="0" w:color="auto"/>
            <w:left w:val="none" w:sz="0" w:space="0" w:color="auto"/>
            <w:bottom w:val="none" w:sz="0" w:space="0" w:color="auto"/>
            <w:right w:val="none" w:sz="0" w:space="0" w:color="auto"/>
          </w:divBdr>
          <w:divsChild>
            <w:div w:id="1814133536">
              <w:marLeft w:val="0"/>
              <w:marRight w:val="0"/>
              <w:marTop w:val="0"/>
              <w:marBottom w:val="0"/>
              <w:divBdr>
                <w:top w:val="none" w:sz="0" w:space="0" w:color="auto"/>
                <w:left w:val="none" w:sz="0" w:space="0" w:color="auto"/>
                <w:bottom w:val="none" w:sz="0" w:space="0" w:color="auto"/>
                <w:right w:val="none" w:sz="0" w:space="0" w:color="auto"/>
              </w:divBdr>
              <w:divsChild>
                <w:div w:id="150597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88B69E-D145-465B-943E-176D097B3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Linnea Wernheim</dc:creator>
  <cp:keywords/>
  <dc:description/>
  <cp:lastModifiedBy>Alexander A</cp:lastModifiedBy>
  <cp:revision>3</cp:revision>
  <dcterms:created xsi:type="dcterms:W3CDTF">2019-09-05T18:44:00Z</dcterms:created>
  <dcterms:modified xsi:type="dcterms:W3CDTF">2020-05-10T15:05:00Z</dcterms:modified>
</cp:coreProperties>
</file>