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ADAAEA" w14:textId="48512C64" w:rsidR="00530A4D" w:rsidRDefault="00EA5B33" w:rsidP="00530A4D">
      <w:pPr>
        <w:ind w:left="-426" w:right="-347"/>
        <w:jc w:val="both"/>
        <w:rPr>
          <w:rFonts w:cstheme="minorHAnsi"/>
          <w:sz w:val="24"/>
          <w:szCs w:val="24"/>
          <w:lang w:val="en-US"/>
        </w:rPr>
      </w:pPr>
      <w:r w:rsidRPr="00EA5B33">
        <w:rPr>
          <w:rFonts w:cstheme="minorHAnsi"/>
          <w:sz w:val="24"/>
          <w:szCs w:val="24"/>
          <w:lang w:val="en-US"/>
        </w:rPr>
        <w:t xml:space="preserve">The </w:t>
      </w:r>
      <w:r w:rsidR="00493AFD">
        <w:rPr>
          <w:rFonts w:cstheme="minorHAnsi"/>
          <w:sz w:val="24"/>
          <w:szCs w:val="24"/>
          <w:lang w:val="en-US"/>
        </w:rPr>
        <w:t>General Data Protection Regulation (</w:t>
      </w:r>
      <w:r w:rsidRPr="00EA5B33">
        <w:rPr>
          <w:rFonts w:cstheme="minorHAnsi"/>
          <w:sz w:val="24"/>
          <w:szCs w:val="24"/>
          <w:lang w:val="en-US"/>
        </w:rPr>
        <w:t>GDPR</w:t>
      </w:r>
      <w:r w:rsidR="00493AFD">
        <w:rPr>
          <w:rFonts w:cstheme="minorHAnsi"/>
          <w:sz w:val="24"/>
          <w:szCs w:val="24"/>
          <w:lang w:val="en-US"/>
        </w:rPr>
        <w:t>)</w:t>
      </w:r>
      <w:r w:rsidRPr="00EA5B33">
        <w:rPr>
          <w:rFonts w:cstheme="minorHAnsi"/>
          <w:sz w:val="24"/>
          <w:szCs w:val="24"/>
          <w:lang w:val="en-US"/>
        </w:rPr>
        <w:t xml:space="preserve"> was </w:t>
      </w:r>
      <w:r w:rsidR="00C54AD6">
        <w:rPr>
          <w:rFonts w:cstheme="minorHAnsi"/>
          <w:sz w:val="24"/>
          <w:szCs w:val="24"/>
          <w:lang w:val="en-US"/>
        </w:rPr>
        <w:t>introduced</w:t>
      </w:r>
      <w:r w:rsidRPr="00EA5B33">
        <w:rPr>
          <w:rFonts w:cstheme="minorHAnsi"/>
          <w:sz w:val="24"/>
          <w:szCs w:val="24"/>
          <w:lang w:val="en-US"/>
        </w:rPr>
        <w:t xml:space="preserve"> to enhance the protectio</w:t>
      </w:r>
      <w:r w:rsidR="00131AEE">
        <w:rPr>
          <w:rFonts w:cstheme="minorHAnsi"/>
          <w:sz w:val="24"/>
          <w:szCs w:val="24"/>
          <w:lang w:val="en-US"/>
        </w:rPr>
        <w:t>n o</w:t>
      </w:r>
      <w:r w:rsidRPr="00EA5B33">
        <w:rPr>
          <w:rFonts w:cstheme="minorHAnsi"/>
          <w:sz w:val="24"/>
          <w:szCs w:val="24"/>
          <w:lang w:val="en-US"/>
        </w:rPr>
        <w:t xml:space="preserve">f personal data, regulating the technological development in a way that follows the digitalization of the modern times and finally to strengthen harmonization within the EU. A question that arises is how a Swedish lawyer should apply the GDPR when faced with a situation regarding </w:t>
      </w:r>
      <w:r w:rsidR="00530A4D">
        <w:rPr>
          <w:rFonts w:cstheme="minorHAnsi"/>
          <w:sz w:val="24"/>
          <w:szCs w:val="24"/>
          <w:lang w:val="en-US"/>
        </w:rPr>
        <w:t>data protection. Which articles are relevant and in what order should they be examined?</w:t>
      </w:r>
    </w:p>
    <w:p w14:paraId="3C82B53D" w14:textId="31F334E8" w:rsidR="00530A4D" w:rsidRDefault="007449E9" w:rsidP="00530A4D">
      <w:pPr>
        <w:ind w:left="-426" w:right="-347"/>
        <w:jc w:val="both"/>
        <w:rPr>
          <w:rFonts w:cstheme="minorHAnsi"/>
          <w:sz w:val="24"/>
          <w:szCs w:val="24"/>
          <w:lang w:val="en-US"/>
        </w:rPr>
      </w:pPr>
      <w:r w:rsidRPr="007449E9">
        <w:rPr>
          <w:rFonts w:cstheme="minorHAnsi"/>
          <w:sz w:val="24"/>
          <w:szCs w:val="24"/>
          <w:lang w:val="en-US"/>
        </w:rPr>
        <w:t xml:space="preserve">When applying the GDPR a practitioner of the law must take the “the reasons for the GDPR” in consideration.  </w:t>
      </w:r>
      <w:r w:rsidR="00530A4D">
        <w:rPr>
          <w:rFonts w:cstheme="minorHAnsi"/>
          <w:sz w:val="24"/>
          <w:szCs w:val="24"/>
          <w:lang w:val="en-US"/>
        </w:rPr>
        <w:t>The</w:t>
      </w:r>
      <w:r w:rsidR="003F7F14">
        <w:rPr>
          <w:rFonts w:cstheme="minorHAnsi"/>
          <w:sz w:val="24"/>
          <w:szCs w:val="24"/>
          <w:lang w:val="en-US"/>
        </w:rPr>
        <w:t xml:space="preserve"> </w:t>
      </w:r>
      <w:r w:rsidR="00530A4D">
        <w:rPr>
          <w:rFonts w:cstheme="minorHAnsi"/>
          <w:sz w:val="24"/>
          <w:szCs w:val="24"/>
          <w:lang w:val="en-US"/>
        </w:rPr>
        <w:t xml:space="preserve">173 reasons explain the purpose of the GDPR </w:t>
      </w:r>
      <w:r w:rsidR="00255CA0">
        <w:rPr>
          <w:rFonts w:cstheme="minorHAnsi"/>
          <w:sz w:val="24"/>
          <w:szCs w:val="24"/>
          <w:lang w:val="en-US"/>
        </w:rPr>
        <w:t>and</w:t>
      </w:r>
      <w:r w:rsidR="003F7F14">
        <w:rPr>
          <w:rFonts w:cstheme="minorHAnsi"/>
          <w:sz w:val="24"/>
          <w:szCs w:val="24"/>
          <w:lang w:val="en-US"/>
        </w:rPr>
        <w:t xml:space="preserve"> </w:t>
      </w:r>
      <w:r w:rsidR="00530A4D">
        <w:rPr>
          <w:rFonts w:cstheme="minorHAnsi"/>
          <w:sz w:val="24"/>
          <w:szCs w:val="24"/>
          <w:lang w:val="en-US"/>
        </w:rPr>
        <w:t xml:space="preserve">different terminologies that are used in the articles. The “reasons” </w:t>
      </w:r>
      <w:r w:rsidR="00A513F5">
        <w:rPr>
          <w:rFonts w:cstheme="minorHAnsi"/>
          <w:sz w:val="24"/>
          <w:szCs w:val="24"/>
          <w:lang w:val="en-US"/>
        </w:rPr>
        <w:t>are not</w:t>
      </w:r>
      <w:r w:rsidR="00530A4D">
        <w:rPr>
          <w:rFonts w:cstheme="minorHAnsi"/>
          <w:sz w:val="24"/>
          <w:szCs w:val="24"/>
          <w:lang w:val="en-US"/>
        </w:rPr>
        <w:t xml:space="preserve"> </w:t>
      </w:r>
      <w:r w:rsidR="00475E51">
        <w:rPr>
          <w:rFonts w:cstheme="minorHAnsi"/>
          <w:sz w:val="24"/>
          <w:szCs w:val="24"/>
          <w:lang w:val="en-US"/>
        </w:rPr>
        <w:t xml:space="preserve">a starting point </w:t>
      </w:r>
      <w:r w:rsidR="00530A4D">
        <w:rPr>
          <w:rFonts w:cstheme="minorHAnsi"/>
          <w:sz w:val="24"/>
          <w:szCs w:val="24"/>
          <w:lang w:val="en-US"/>
        </w:rPr>
        <w:t xml:space="preserve">when applying the </w:t>
      </w:r>
      <w:r w:rsidR="00255CA0">
        <w:rPr>
          <w:rFonts w:cstheme="minorHAnsi"/>
          <w:sz w:val="24"/>
          <w:szCs w:val="24"/>
          <w:lang w:val="en-US"/>
        </w:rPr>
        <w:t>GDPR,</w:t>
      </w:r>
      <w:r w:rsidR="00530A4D">
        <w:rPr>
          <w:rFonts w:cstheme="minorHAnsi"/>
          <w:sz w:val="24"/>
          <w:szCs w:val="24"/>
          <w:lang w:val="en-US"/>
        </w:rPr>
        <w:t xml:space="preserve"> but neither is it a place to e</w:t>
      </w:r>
      <w:r w:rsidR="00D15A01">
        <w:rPr>
          <w:rFonts w:cstheme="minorHAnsi"/>
          <w:sz w:val="24"/>
          <w:szCs w:val="24"/>
          <w:lang w:val="en-US"/>
        </w:rPr>
        <w:t>nd.</w:t>
      </w:r>
      <w:r w:rsidR="00530A4D">
        <w:rPr>
          <w:rFonts w:cstheme="minorHAnsi"/>
          <w:sz w:val="24"/>
          <w:szCs w:val="24"/>
          <w:lang w:val="en-US"/>
        </w:rPr>
        <w:t xml:space="preserve"> </w:t>
      </w:r>
      <w:r w:rsidR="00D15A01">
        <w:rPr>
          <w:rFonts w:cstheme="minorHAnsi"/>
          <w:sz w:val="24"/>
          <w:szCs w:val="24"/>
          <w:lang w:val="en-US"/>
        </w:rPr>
        <w:t>I</w:t>
      </w:r>
      <w:r w:rsidR="00530A4D">
        <w:rPr>
          <w:rFonts w:cstheme="minorHAnsi"/>
          <w:sz w:val="24"/>
          <w:szCs w:val="24"/>
          <w:lang w:val="en-US"/>
        </w:rPr>
        <w:t xml:space="preserve">t should be used throughout the use of the articles in the GDPR and should be used in </w:t>
      </w:r>
      <w:r w:rsidR="00D15A01">
        <w:rPr>
          <w:rFonts w:cstheme="minorHAnsi"/>
          <w:sz w:val="24"/>
          <w:szCs w:val="24"/>
          <w:lang w:val="en-US"/>
        </w:rPr>
        <w:t xml:space="preserve">conjunction </w:t>
      </w:r>
      <w:r w:rsidR="00530A4D">
        <w:rPr>
          <w:rFonts w:cstheme="minorHAnsi"/>
          <w:sz w:val="24"/>
          <w:szCs w:val="24"/>
          <w:lang w:val="en-US"/>
        </w:rPr>
        <w:t xml:space="preserve">to help clarify the articles. </w:t>
      </w:r>
    </w:p>
    <w:p w14:paraId="7D6FC404" w14:textId="3A2FAF6C" w:rsidR="00255CA0" w:rsidRDefault="00F53570" w:rsidP="00255CA0">
      <w:pPr>
        <w:ind w:left="-426" w:right="-347"/>
        <w:jc w:val="both"/>
        <w:rPr>
          <w:rFonts w:cstheme="minorHAnsi"/>
          <w:sz w:val="24"/>
          <w:szCs w:val="24"/>
          <w:lang w:val="en-US"/>
        </w:rPr>
      </w:pPr>
      <w:r>
        <w:rPr>
          <w:rFonts w:cstheme="minorHAnsi"/>
          <w:sz w:val="24"/>
          <w:szCs w:val="24"/>
          <w:lang w:val="en-US"/>
        </w:rPr>
        <w:t xml:space="preserve">When applying the GDPR one should initially examine whether the use of personal data is within the material scope of the GDPR or not. The material scope is regulated in article 2 which states that the GDPR applies to the processing of personal data wholly or partly by automated means. </w:t>
      </w:r>
      <w:r w:rsidR="00255CA0">
        <w:rPr>
          <w:rFonts w:cstheme="minorHAnsi"/>
          <w:sz w:val="24"/>
          <w:szCs w:val="24"/>
          <w:lang w:val="en-US"/>
        </w:rPr>
        <w:t>However,</w:t>
      </w:r>
      <w:r>
        <w:rPr>
          <w:rFonts w:cstheme="minorHAnsi"/>
          <w:sz w:val="24"/>
          <w:szCs w:val="24"/>
          <w:lang w:val="en-US"/>
        </w:rPr>
        <w:t xml:space="preserve"> the GDPR can also be applicable to personal data that is processed by manual means if the personal data form part of a filing system or is intended to form part of a filing system.</w:t>
      </w:r>
      <w:r w:rsidR="00255CA0">
        <w:rPr>
          <w:rFonts w:cstheme="minorHAnsi"/>
          <w:sz w:val="24"/>
          <w:szCs w:val="24"/>
          <w:lang w:val="en-US"/>
        </w:rPr>
        <w:t xml:space="preserve"> After confirming </w:t>
      </w:r>
      <w:r w:rsidR="00D15A01">
        <w:rPr>
          <w:rFonts w:cstheme="minorHAnsi"/>
          <w:sz w:val="24"/>
          <w:szCs w:val="24"/>
          <w:lang w:val="en-US"/>
        </w:rPr>
        <w:t xml:space="preserve">that </w:t>
      </w:r>
      <w:r w:rsidR="00255CA0">
        <w:rPr>
          <w:rFonts w:cstheme="minorHAnsi"/>
          <w:sz w:val="24"/>
          <w:szCs w:val="24"/>
          <w:lang w:val="en-US"/>
        </w:rPr>
        <w:t>th</w:t>
      </w:r>
      <w:r w:rsidR="00D15A01">
        <w:rPr>
          <w:rFonts w:cstheme="minorHAnsi"/>
          <w:sz w:val="24"/>
          <w:szCs w:val="24"/>
          <w:lang w:val="en-US"/>
        </w:rPr>
        <w:t xml:space="preserve">e </w:t>
      </w:r>
      <w:r w:rsidR="00255CA0">
        <w:rPr>
          <w:rFonts w:cstheme="minorHAnsi"/>
          <w:sz w:val="24"/>
          <w:szCs w:val="24"/>
          <w:lang w:val="en-US"/>
        </w:rPr>
        <w:t>use of personal data is within the material scope</w:t>
      </w:r>
      <w:r w:rsidR="00B934C5">
        <w:rPr>
          <w:rFonts w:cstheme="minorHAnsi"/>
          <w:sz w:val="24"/>
          <w:szCs w:val="24"/>
          <w:lang w:val="en-US"/>
        </w:rPr>
        <w:t>,</w:t>
      </w:r>
      <w:r w:rsidR="00255CA0">
        <w:rPr>
          <w:rFonts w:cstheme="minorHAnsi"/>
          <w:sz w:val="24"/>
          <w:szCs w:val="24"/>
          <w:lang w:val="en-US"/>
        </w:rPr>
        <w:t xml:space="preserve"> one must examine whether it is a part of the territorial scope or not. The territorial scope can be found in article 3. Article 3 states that </w:t>
      </w:r>
      <w:r w:rsidR="006F6EEB">
        <w:rPr>
          <w:rFonts w:cstheme="minorHAnsi"/>
          <w:sz w:val="24"/>
          <w:szCs w:val="24"/>
          <w:lang w:val="en-US"/>
        </w:rPr>
        <w:t xml:space="preserve">the GDPR is applicable to the “processing of personal data in the context of the activities of an establishment of a controller or a processor in the Union, regardless of whether the processing takes place in the Union or </w:t>
      </w:r>
      <w:proofErr w:type="gramStart"/>
      <w:r w:rsidR="006F6EEB">
        <w:rPr>
          <w:rFonts w:cstheme="minorHAnsi"/>
          <w:sz w:val="24"/>
          <w:szCs w:val="24"/>
          <w:lang w:val="en-US"/>
        </w:rPr>
        <w:t>not“</w:t>
      </w:r>
      <w:proofErr w:type="gramEnd"/>
      <w:r w:rsidR="006F6EEB">
        <w:rPr>
          <w:rFonts w:cstheme="minorHAnsi"/>
          <w:sz w:val="24"/>
          <w:szCs w:val="24"/>
          <w:lang w:val="en-US"/>
        </w:rPr>
        <w:t>.</w:t>
      </w:r>
    </w:p>
    <w:p w14:paraId="43BFCC02" w14:textId="77777777" w:rsidR="006F6EEB" w:rsidRDefault="006F6EEB" w:rsidP="006F6EEB">
      <w:pPr>
        <w:ind w:left="-426" w:right="-347"/>
        <w:jc w:val="both"/>
        <w:rPr>
          <w:rFonts w:cstheme="minorHAnsi"/>
          <w:sz w:val="24"/>
          <w:szCs w:val="24"/>
          <w:lang w:val="en-US"/>
        </w:rPr>
      </w:pPr>
      <w:r>
        <w:rPr>
          <w:rFonts w:cstheme="minorHAnsi"/>
          <w:sz w:val="24"/>
          <w:szCs w:val="24"/>
          <w:lang w:val="en-US"/>
        </w:rPr>
        <w:t xml:space="preserve">Article 4 contains definitions of terms that are found in the GDPR and how those terms should be used specifically in the GDPR. For </w:t>
      </w:r>
      <w:r w:rsidR="00387F0D">
        <w:rPr>
          <w:rFonts w:cstheme="minorHAnsi"/>
          <w:sz w:val="24"/>
          <w:szCs w:val="24"/>
          <w:lang w:val="en-US"/>
        </w:rPr>
        <w:t>example,</w:t>
      </w:r>
      <w:r>
        <w:rPr>
          <w:rFonts w:cstheme="minorHAnsi"/>
          <w:sz w:val="24"/>
          <w:szCs w:val="24"/>
          <w:lang w:val="en-US"/>
        </w:rPr>
        <w:t xml:space="preserve"> if someone does not understand how “consent” is used in the GDPR they should look in article 4 and they will find the definition in article 4.11. </w:t>
      </w:r>
      <w:r w:rsidR="00387F0D">
        <w:rPr>
          <w:rFonts w:cstheme="minorHAnsi"/>
          <w:sz w:val="24"/>
          <w:szCs w:val="24"/>
          <w:lang w:val="en-US"/>
        </w:rPr>
        <w:t xml:space="preserve">Article 4 can be visited throughout the use of the GDPR. </w:t>
      </w:r>
    </w:p>
    <w:p w14:paraId="30023AA0" w14:textId="5FA0D092" w:rsidR="00387F0D" w:rsidRDefault="00131AEE" w:rsidP="006F6EEB">
      <w:pPr>
        <w:ind w:left="-426" w:right="-347"/>
        <w:jc w:val="both"/>
        <w:rPr>
          <w:rFonts w:cstheme="minorHAnsi"/>
          <w:sz w:val="24"/>
          <w:szCs w:val="24"/>
          <w:lang w:val="en-US"/>
        </w:rPr>
      </w:pPr>
      <w:r>
        <w:rPr>
          <w:rFonts w:cstheme="minorHAnsi"/>
          <w:sz w:val="24"/>
          <w:szCs w:val="24"/>
          <w:lang w:val="en-US"/>
        </w:rPr>
        <w:t>Once it is confirmed that the GDPR is applicable according to the steps mentioned, one should look into article 5.</w:t>
      </w:r>
      <w:r w:rsidR="00387F0D">
        <w:rPr>
          <w:rFonts w:cstheme="minorHAnsi"/>
          <w:sz w:val="24"/>
          <w:szCs w:val="24"/>
          <w:lang w:val="en-US"/>
        </w:rPr>
        <w:t xml:space="preserve"> Article 5 contains different principles regarding the processing of personal data. One example of a principle is the principle of “data minimization” which can be found in 5.1.c). The data minimization principle states that the personal data processing should be adequate, relevant and limited to what is necessary in relation to the purposes for which they are processed. </w:t>
      </w:r>
    </w:p>
    <w:p w14:paraId="608FD40E" w14:textId="32B7B21A" w:rsidR="008231C5" w:rsidRPr="00530A4D" w:rsidRDefault="00137B58" w:rsidP="008231C5">
      <w:pPr>
        <w:ind w:left="-426" w:right="-347"/>
        <w:jc w:val="both"/>
        <w:rPr>
          <w:rFonts w:cstheme="minorHAnsi"/>
          <w:sz w:val="24"/>
          <w:szCs w:val="24"/>
          <w:lang w:val="en-US"/>
        </w:rPr>
      </w:pPr>
      <w:r>
        <w:rPr>
          <w:rFonts w:cstheme="minorHAnsi"/>
          <w:sz w:val="24"/>
          <w:szCs w:val="24"/>
          <w:lang w:val="en-US"/>
        </w:rPr>
        <w:t xml:space="preserve">In order to </w:t>
      </w:r>
      <w:r w:rsidR="00131AEE">
        <w:rPr>
          <w:rFonts w:cstheme="minorHAnsi"/>
          <w:sz w:val="24"/>
          <w:szCs w:val="24"/>
          <w:lang w:val="en-US"/>
        </w:rPr>
        <w:t xml:space="preserve">be </w:t>
      </w:r>
      <w:r>
        <w:rPr>
          <w:rFonts w:cstheme="minorHAnsi"/>
          <w:sz w:val="24"/>
          <w:szCs w:val="24"/>
          <w:lang w:val="en-US"/>
        </w:rPr>
        <w:t xml:space="preserve">compliance with the GDPR there must be a legal basis during the processing of personal data. </w:t>
      </w:r>
      <w:r w:rsidR="00387F0D">
        <w:rPr>
          <w:rFonts w:cstheme="minorHAnsi"/>
          <w:sz w:val="24"/>
          <w:szCs w:val="24"/>
          <w:lang w:val="en-US"/>
        </w:rPr>
        <w:t xml:space="preserve">Article 6 states that processing is lawful only if </w:t>
      </w:r>
      <w:r w:rsidR="00C71D7A">
        <w:rPr>
          <w:rFonts w:cstheme="minorHAnsi"/>
          <w:sz w:val="24"/>
          <w:szCs w:val="24"/>
          <w:lang w:val="en-US"/>
        </w:rPr>
        <w:t xml:space="preserve">one of 6 legal bases is applicable. The most common legal base is that the data subject has given consent to the processing. Another common legal base is that there is a legitimate interest. Other legal bases are vital interests, public interest, legal obligations and contractual agreement. </w:t>
      </w:r>
      <w:r>
        <w:rPr>
          <w:rFonts w:cstheme="minorHAnsi"/>
          <w:sz w:val="24"/>
          <w:szCs w:val="24"/>
          <w:lang w:val="en-US"/>
        </w:rPr>
        <w:t xml:space="preserve">Even if there is a legal base the controller still must take articles 9 and 10 into account. These articles limit the processing of personal data if the data reveals racial or ethnic origin, political opinions, data concerning health etc. (article 9) or if the data reveals data regarding criminal convictions and offences (article 10).  </w:t>
      </w:r>
      <w:r w:rsidR="008231C5">
        <w:rPr>
          <w:rFonts w:cstheme="minorHAnsi"/>
          <w:sz w:val="24"/>
          <w:szCs w:val="24"/>
          <w:lang w:val="en-US"/>
        </w:rPr>
        <w:t xml:space="preserve">Article 83.5 states that infringements of amongst </w:t>
      </w:r>
      <w:r w:rsidR="00457797">
        <w:rPr>
          <w:rFonts w:cstheme="minorHAnsi"/>
          <w:sz w:val="24"/>
          <w:szCs w:val="24"/>
          <w:lang w:val="en-US"/>
        </w:rPr>
        <w:t>other</w:t>
      </w:r>
      <w:r w:rsidR="008231C5">
        <w:rPr>
          <w:rFonts w:cstheme="minorHAnsi"/>
          <w:sz w:val="24"/>
          <w:szCs w:val="24"/>
          <w:lang w:val="en-US"/>
        </w:rPr>
        <w:t xml:space="preserve"> articles 5,6 and 9 will lead to a “fine up to 20 000 000 EUR or in the case of an undertaking, up to 4% of the total worldwide annual turnover of the preceding financial year, whichever is higher”.</w:t>
      </w:r>
    </w:p>
    <w:sectPr w:rsidR="008231C5" w:rsidRPr="00530A4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1304"/>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9B9"/>
    <w:rsid w:val="0003292D"/>
    <w:rsid w:val="0005028B"/>
    <w:rsid w:val="000B1473"/>
    <w:rsid w:val="000F77FF"/>
    <w:rsid w:val="00131AEE"/>
    <w:rsid w:val="00137B58"/>
    <w:rsid w:val="001F0936"/>
    <w:rsid w:val="00201E90"/>
    <w:rsid w:val="00221CC5"/>
    <w:rsid w:val="00255CA0"/>
    <w:rsid w:val="003605CB"/>
    <w:rsid w:val="00387F0D"/>
    <w:rsid w:val="003E359D"/>
    <w:rsid w:val="003F7F14"/>
    <w:rsid w:val="00457797"/>
    <w:rsid w:val="00475E51"/>
    <w:rsid w:val="00493AFD"/>
    <w:rsid w:val="004E0C83"/>
    <w:rsid w:val="00523B82"/>
    <w:rsid w:val="00530A4D"/>
    <w:rsid w:val="00580E15"/>
    <w:rsid w:val="006F2851"/>
    <w:rsid w:val="006F6EEB"/>
    <w:rsid w:val="007449E9"/>
    <w:rsid w:val="00793837"/>
    <w:rsid w:val="008231C5"/>
    <w:rsid w:val="008F53F4"/>
    <w:rsid w:val="009849B9"/>
    <w:rsid w:val="009D4FE0"/>
    <w:rsid w:val="00A03B73"/>
    <w:rsid w:val="00A1114D"/>
    <w:rsid w:val="00A513F5"/>
    <w:rsid w:val="00A64365"/>
    <w:rsid w:val="00AC3B55"/>
    <w:rsid w:val="00B140E6"/>
    <w:rsid w:val="00B80E63"/>
    <w:rsid w:val="00B934C5"/>
    <w:rsid w:val="00C363C5"/>
    <w:rsid w:val="00C473C0"/>
    <w:rsid w:val="00C54AD6"/>
    <w:rsid w:val="00C56022"/>
    <w:rsid w:val="00C71D7A"/>
    <w:rsid w:val="00CB5E85"/>
    <w:rsid w:val="00CF2436"/>
    <w:rsid w:val="00D0224F"/>
    <w:rsid w:val="00D15A01"/>
    <w:rsid w:val="00D724AF"/>
    <w:rsid w:val="00DB6C76"/>
    <w:rsid w:val="00E72411"/>
    <w:rsid w:val="00E90157"/>
    <w:rsid w:val="00EA5B33"/>
    <w:rsid w:val="00EB55BC"/>
    <w:rsid w:val="00F41E55"/>
    <w:rsid w:val="00F5357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9ED8A"/>
  <w15:chartTrackingRefBased/>
  <w15:docId w15:val="{A49E0960-1283-42FD-AB12-628992BF9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03B73"/>
    <w:rPr>
      <w:sz w:val="16"/>
      <w:szCs w:val="16"/>
    </w:rPr>
  </w:style>
  <w:style w:type="paragraph" w:styleId="CommentText">
    <w:name w:val="annotation text"/>
    <w:basedOn w:val="Normal"/>
    <w:link w:val="CommentTextChar"/>
    <w:uiPriority w:val="99"/>
    <w:semiHidden/>
    <w:unhideWhenUsed/>
    <w:rsid w:val="00A03B73"/>
    <w:pPr>
      <w:spacing w:line="240" w:lineRule="auto"/>
    </w:pPr>
    <w:rPr>
      <w:sz w:val="20"/>
      <w:szCs w:val="20"/>
    </w:rPr>
  </w:style>
  <w:style w:type="character" w:customStyle="1" w:styleId="CommentTextChar">
    <w:name w:val="Comment Text Char"/>
    <w:basedOn w:val="DefaultParagraphFont"/>
    <w:link w:val="CommentText"/>
    <w:uiPriority w:val="99"/>
    <w:semiHidden/>
    <w:rsid w:val="00A03B73"/>
    <w:rPr>
      <w:sz w:val="20"/>
      <w:szCs w:val="20"/>
    </w:rPr>
  </w:style>
  <w:style w:type="paragraph" w:styleId="CommentSubject">
    <w:name w:val="annotation subject"/>
    <w:basedOn w:val="CommentText"/>
    <w:next w:val="CommentText"/>
    <w:link w:val="CommentSubjectChar"/>
    <w:uiPriority w:val="99"/>
    <w:semiHidden/>
    <w:unhideWhenUsed/>
    <w:rsid w:val="00A03B73"/>
    <w:rPr>
      <w:b/>
      <w:bCs/>
    </w:rPr>
  </w:style>
  <w:style w:type="character" w:customStyle="1" w:styleId="CommentSubjectChar">
    <w:name w:val="Comment Subject Char"/>
    <w:basedOn w:val="CommentTextChar"/>
    <w:link w:val="CommentSubject"/>
    <w:uiPriority w:val="99"/>
    <w:semiHidden/>
    <w:rsid w:val="00A03B73"/>
    <w:rPr>
      <w:b/>
      <w:bCs/>
      <w:sz w:val="20"/>
      <w:szCs w:val="20"/>
    </w:rPr>
  </w:style>
  <w:style w:type="paragraph" w:styleId="BalloonText">
    <w:name w:val="Balloon Text"/>
    <w:basedOn w:val="Normal"/>
    <w:link w:val="BalloonTextChar"/>
    <w:uiPriority w:val="99"/>
    <w:semiHidden/>
    <w:unhideWhenUsed/>
    <w:rsid w:val="00A03B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3B7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4AA1B3-1537-47E6-8D77-9190C452E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1</Pages>
  <Words>552</Words>
  <Characters>3148</Characters>
  <Application>Microsoft Office Word</Application>
  <DocSecurity>0</DocSecurity>
  <Lines>26</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zobair zivari</dc:creator>
  <cp:keywords/>
  <dc:description/>
  <cp:lastModifiedBy>Alexander A</cp:lastModifiedBy>
  <cp:revision>40</cp:revision>
  <dcterms:created xsi:type="dcterms:W3CDTF">2019-09-05T16:26:00Z</dcterms:created>
  <dcterms:modified xsi:type="dcterms:W3CDTF">2020-05-10T15:05:00Z</dcterms:modified>
</cp:coreProperties>
</file>