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4268A" w14:textId="1CA5E67C" w:rsidR="00323A62" w:rsidRDefault="002D695A" w:rsidP="002753A1">
      <w:pPr>
        <w:spacing w:after="0"/>
        <w:jc w:val="both"/>
        <w:rPr>
          <w:sz w:val="24"/>
          <w:szCs w:val="24"/>
        </w:rPr>
      </w:pPr>
      <w:r w:rsidRPr="002D695A">
        <w:rPr>
          <w:sz w:val="24"/>
          <w:szCs w:val="24"/>
        </w:rPr>
        <w:t>The General Data Protection Regulation (GDPR)</w:t>
      </w:r>
      <w:r w:rsidR="00323A62">
        <w:rPr>
          <w:sz w:val="24"/>
          <w:szCs w:val="24"/>
        </w:rPr>
        <w:t xml:space="preserve"> is a comprehensive document that dictates which steps are necessary to undertake in order to protect the privacy of individuals living within the European Union (EU) or the European Economic Area (EEA)</w:t>
      </w:r>
      <w:r w:rsidR="003C73D7">
        <w:rPr>
          <w:sz w:val="24"/>
          <w:szCs w:val="24"/>
        </w:rPr>
        <w:t xml:space="preserve"> </w:t>
      </w:r>
      <w:r w:rsidR="005C2AAE">
        <w:rPr>
          <w:sz w:val="24"/>
          <w:szCs w:val="24"/>
        </w:rPr>
        <w:t>and transfer of personal data out of those territories</w:t>
      </w:r>
      <w:r w:rsidR="00323A62">
        <w:rPr>
          <w:sz w:val="24"/>
          <w:szCs w:val="24"/>
        </w:rPr>
        <w:t xml:space="preserve">. The regulation entered application </w:t>
      </w:r>
      <w:r w:rsidR="00491065">
        <w:rPr>
          <w:sz w:val="24"/>
          <w:szCs w:val="24"/>
        </w:rPr>
        <w:t>on</w:t>
      </w:r>
      <w:r w:rsidR="00323A62">
        <w:rPr>
          <w:sz w:val="24"/>
          <w:szCs w:val="24"/>
        </w:rPr>
        <w:t xml:space="preserve"> the 25</w:t>
      </w:r>
      <w:r w:rsidR="00323A62" w:rsidRPr="00323A62">
        <w:rPr>
          <w:sz w:val="24"/>
          <w:szCs w:val="24"/>
          <w:vertAlign w:val="superscript"/>
        </w:rPr>
        <w:t>th</w:t>
      </w:r>
      <w:r w:rsidR="00323A62">
        <w:rPr>
          <w:sz w:val="24"/>
          <w:szCs w:val="24"/>
        </w:rPr>
        <w:t xml:space="preserve"> of May 2018</w:t>
      </w:r>
      <w:r w:rsidR="00AD34C1">
        <w:rPr>
          <w:sz w:val="24"/>
          <w:szCs w:val="24"/>
        </w:rPr>
        <w:t>,</w:t>
      </w:r>
      <w:r w:rsidR="00323A62">
        <w:rPr>
          <w:sz w:val="24"/>
          <w:szCs w:val="24"/>
        </w:rPr>
        <w:t xml:space="preserve"> </w:t>
      </w:r>
      <w:r w:rsidR="00491065">
        <w:rPr>
          <w:sz w:val="24"/>
          <w:szCs w:val="24"/>
        </w:rPr>
        <w:t>superseding</w:t>
      </w:r>
      <w:r w:rsidR="00E257F7">
        <w:rPr>
          <w:sz w:val="24"/>
          <w:szCs w:val="24"/>
        </w:rPr>
        <w:t xml:space="preserve"> the Data Protection Directive. </w:t>
      </w:r>
      <w:r w:rsidR="00491065">
        <w:rPr>
          <w:sz w:val="24"/>
          <w:szCs w:val="24"/>
        </w:rPr>
        <w:t xml:space="preserve">Having status of EU regulation GDPR is directly binding and applicable, </w:t>
      </w:r>
      <w:r w:rsidR="00AE3AF6">
        <w:rPr>
          <w:sz w:val="24"/>
          <w:szCs w:val="24"/>
        </w:rPr>
        <w:t xml:space="preserve">but some areas of the regulation are customized by individual member states due to the flexibility of the </w:t>
      </w:r>
      <w:r w:rsidR="00AD34C1">
        <w:rPr>
          <w:sz w:val="24"/>
          <w:szCs w:val="24"/>
        </w:rPr>
        <w:t>document</w:t>
      </w:r>
      <w:r w:rsidR="00AE3AF6">
        <w:rPr>
          <w:sz w:val="24"/>
          <w:szCs w:val="24"/>
        </w:rPr>
        <w:t xml:space="preserve">. </w:t>
      </w:r>
      <w:r w:rsidR="00E0119A">
        <w:rPr>
          <w:sz w:val="24"/>
          <w:szCs w:val="24"/>
        </w:rPr>
        <w:t>Thus,</w:t>
      </w:r>
      <w:r w:rsidR="00AE3AF6">
        <w:rPr>
          <w:sz w:val="24"/>
          <w:szCs w:val="24"/>
        </w:rPr>
        <w:t xml:space="preserve"> it is important to </w:t>
      </w:r>
      <w:r w:rsidR="00555945">
        <w:rPr>
          <w:sz w:val="24"/>
          <w:szCs w:val="24"/>
        </w:rPr>
        <w:t xml:space="preserve">check local legislation for </w:t>
      </w:r>
      <w:r w:rsidR="00AD34C1">
        <w:rPr>
          <w:sz w:val="24"/>
          <w:szCs w:val="24"/>
        </w:rPr>
        <w:t xml:space="preserve">possible </w:t>
      </w:r>
      <w:r w:rsidR="00555945">
        <w:rPr>
          <w:sz w:val="24"/>
          <w:szCs w:val="24"/>
        </w:rPr>
        <w:t>deviations</w:t>
      </w:r>
      <w:r w:rsidR="00AD34C1">
        <w:rPr>
          <w:sz w:val="24"/>
          <w:szCs w:val="24"/>
        </w:rPr>
        <w:t>.</w:t>
      </w:r>
    </w:p>
    <w:p w14:paraId="4B6DD725" w14:textId="2387F000" w:rsidR="005C2AAE" w:rsidRDefault="005C2AAE" w:rsidP="002753A1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When faced with a problem whether GDPR is applicable one must firstly compare the material scope of the regulation as stated in article 2 </w:t>
      </w:r>
      <w:r w:rsidR="00E254F3">
        <w:rPr>
          <w:sz w:val="24"/>
          <w:szCs w:val="24"/>
        </w:rPr>
        <w:t xml:space="preserve">of </w:t>
      </w:r>
      <w:r>
        <w:rPr>
          <w:sz w:val="24"/>
          <w:szCs w:val="24"/>
        </w:rPr>
        <w:t>GDPR with prima facie of the case at hand. If there is some degree of automated processing or personal data within a filing system</w:t>
      </w:r>
      <w:r w:rsidR="00B936CA">
        <w:rPr>
          <w:sz w:val="24"/>
          <w:szCs w:val="24"/>
        </w:rPr>
        <w:t>,</w:t>
      </w:r>
      <w:r w:rsidR="00E254F3">
        <w:rPr>
          <w:sz w:val="24"/>
          <w:szCs w:val="24"/>
        </w:rPr>
        <w:t xml:space="preserve"> and no exemptions are met than proceed to the next article of the regulation.</w:t>
      </w:r>
    </w:p>
    <w:p w14:paraId="4DA07E57" w14:textId="37525959" w:rsidR="00E254F3" w:rsidRDefault="00E254F3" w:rsidP="002753A1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Article 3 of GDPR covers the territorial scope, where any connection between the activity and personal information </w:t>
      </w:r>
      <w:r w:rsidR="00AF6E06">
        <w:rPr>
          <w:sz w:val="24"/>
          <w:szCs w:val="24"/>
        </w:rPr>
        <w:t xml:space="preserve">gathered </w:t>
      </w:r>
      <w:r>
        <w:rPr>
          <w:sz w:val="24"/>
          <w:szCs w:val="24"/>
        </w:rPr>
        <w:t xml:space="preserve">on EU/ESS territory, regardless where the processing takes place, triggers the applicability. </w:t>
      </w:r>
    </w:p>
    <w:p w14:paraId="6D3A73A3" w14:textId="36A0FCB2" w:rsidR="00AF6E06" w:rsidRDefault="00D00AF7" w:rsidP="002753A1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important part of GDPR regulation is article 5 that lists the principles relating to processing of data. </w:t>
      </w:r>
      <w:r w:rsidR="00C707D7">
        <w:rPr>
          <w:sz w:val="24"/>
          <w:szCs w:val="24"/>
        </w:rPr>
        <w:t>The key focal points when it comes to processing are lawfulness, fairness and transparency towards the data subject. The information is required to be collected for a specified purpose and to be limited when it comes to width and time. Less is more should be a leading star</w:t>
      </w:r>
      <w:r w:rsidR="0084183D">
        <w:rPr>
          <w:sz w:val="24"/>
          <w:szCs w:val="24"/>
        </w:rPr>
        <w:t xml:space="preserve"> when it comes to safe data processing</w:t>
      </w:r>
      <w:r w:rsidR="00C707D7">
        <w:rPr>
          <w:sz w:val="24"/>
          <w:szCs w:val="24"/>
        </w:rPr>
        <w:t>.</w:t>
      </w:r>
    </w:p>
    <w:p w14:paraId="513A91DC" w14:textId="77777777" w:rsidR="00393AE7" w:rsidRDefault="00DA1A03" w:rsidP="002753A1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Next point is article 6 of GDPR that covers the legal foundation for processing.</w:t>
      </w:r>
      <w:r w:rsidR="00C80075">
        <w:rPr>
          <w:sz w:val="24"/>
          <w:szCs w:val="24"/>
        </w:rPr>
        <w:t xml:space="preserve"> For a private firm the main point is consent from the data subject. When it comes to consent it must be specific, informed, as well as given </w:t>
      </w:r>
      <w:r w:rsidR="00C80075" w:rsidRPr="00C80075">
        <w:rPr>
          <w:sz w:val="24"/>
          <w:szCs w:val="24"/>
        </w:rPr>
        <w:t xml:space="preserve">unequivocally </w:t>
      </w:r>
      <w:r w:rsidR="00C80075">
        <w:rPr>
          <w:sz w:val="24"/>
          <w:szCs w:val="24"/>
        </w:rPr>
        <w:t xml:space="preserve">and willingly. The burden of proof falls on the </w:t>
      </w:r>
      <w:r w:rsidR="00393AE7">
        <w:rPr>
          <w:sz w:val="24"/>
          <w:szCs w:val="24"/>
        </w:rPr>
        <w:t>data handler</w:t>
      </w:r>
      <w:r w:rsidR="00C80075">
        <w:rPr>
          <w:sz w:val="24"/>
          <w:szCs w:val="24"/>
        </w:rPr>
        <w:t xml:space="preserve"> and thus there should be clear documentation procedures. </w:t>
      </w:r>
      <w:r w:rsidR="00393AE7">
        <w:rPr>
          <w:sz w:val="24"/>
          <w:szCs w:val="24"/>
        </w:rPr>
        <w:t>Also,</w:t>
      </w:r>
      <w:r w:rsidR="00C80075">
        <w:rPr>
          <w:sz w:val="24"/>
          <w:szCs w:val="24"/>
        </w:rPr>
        <w:t xml:space="preserve"> the consent must be acquired before data processing starts and can also be revoked</w:t>
      </w:r>
      <w:r w:rsidR="00393AE7">
        <w:rPr>
          <w:sz w:val="24"/>
          <w:szCs w:val="24"/>
        </w:rPr>
        <w:t xml:space="preserve"> by the subject, article 7 GDPR</w:t>
      </w:r>
      <w:r w:rsidR="00C80075">
        <w:rPr>
          <w:sz w:val="24"/>
          <w:szCs w:val="24"/>
        </w:rPr>
        <w:t>.</w:t>
      </w:r>
      <w:r w:rsidR="006805DB">
        <w:rPr>
          <w:sz w:val="24"/>
          <w:szCs w:val="24"/>
        </w:rPr>
        <w:t xml:space="preserve"> </w:t>
      </w:r>
    </w:p>
    <w:p w14:paraId="70AE1D7E" w14:textId="0C500149" w:rsidR="00C707D7" w:rsidRDefault="00393AE7" w:rsidP="002753A1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If absent, c</w:t>
      </w:r>
      <w:r w:rsidR="006805DB">
        <w:rPr>
          <w:sz w:val="24"/>
          <w:szCs w:val="24"/>
        </w:rPr>
        <w:t>onsent can be subsidized by a contractual agreement when the processing is required to fulfill contract</w:t>
      </w:r>
      <w:r>
        <w:rPr>
          <w:sz w:val="24"/>
          <w:szCs w:val="24"/>
        </w:rPr>
        <w:t>ual</w:t>
      </w:r>
      <w:r w:rsidR="006805DB">
        <w:rPr>
          <w:sz w:val="24"/>
          <w:szCs w:val="24"/>
        </w:rPr>
        <w:t xml:space="preserve"> obligations</w:t>
      </w:r>
      <w:r>
        <w:rPr>
          <w:sz w:val="24"/>
          <w:szCs w:val="24"/>
        </w:rPr>
        <w:t>, e.g. sending a shipment or other necessary administrative tasks. Here the key focus lays on the balance</w:t>
      </w:r>
      <w:r w:rsidR="00927D54">
        <w:rPr>
          <w:sz w:val="24"/>
          <w:szCs w:val="24"/>
        </w:rPr>
        <w:t xml:space="preserve"> of</w:t>
      </w:r>
      <w:r>
        <w:rPr>
          <w:sz w:val="24"/>
          <w:szCs w:val="24"/>
        </w:rPr>
        <w:t xml:space="preserve"> legitimate interests </w:t>
      </w:r>
      <w:r w:rsidR="00927D54">
        <w:rPr>
          <w:sz w:val="24"/>
          <w:szCs w:val="24"/>
        </w:rPr>
        <w:t xml:space="preserve">of the parties involved. The need for handling the data must outweigh any </w:t>
      </w:r>
      <w:r w:rsidR="00A4003B">
        <w:rPr>
          <w:sz w:val="24"/>
          <w:szCs w:val="24"/>
        </w:rPr>
        <w:t xml:space="preserve">integrity issues or </w:t>
      </w:r>
      <w:r w:rsidR="00927D54">
        <w:rPr>
          <w:sz w:val="24"/>
          <w:szCs w:val="24"/>
        </w:rPr>
        <w:t xml:space="preserve">inconvenience for the subject, </w:t>
      </w:r>
      <w:r w:rsidR="00A4003B">
        <w:rPr>
          <w:sz w:val="24"/>
          <w:szCs w:val="24"/>
        </w:rPr>
        <w:t xml:space="preserve">including the breach of rights and freedoms of the data subject, as stated in point f.) of article 6, GDPR. </w:t>
      </w:r>
      <w:r w:rsidR="0084183D">
        <w:rPr>
          <w:sz w:val="24"/>
          <w:szCs w:val="24"/>
        </w:rPr>
        <w:t>Furthermore, GDPR states in reason 47 that reasonable expectations of the subject should be considered when it comes to determining the scope of processing.</w:t>
      </w:r>
    </w:p>
    <w:p w14:paraId="428F77CE" w14:textId="5A444C1E" w:rsidR="00323A62" w:rsidRPr="000B20FC" w:rsidRDefault="00883E7E" w:rsidP="000B20FC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In conclusion</w:t>
      </w:r>
      <w:r w:rsidR="000B20FC">
        <w:rPr>
          <w:sz w:val="24"/>
          <w:szCs w:val="24"/>
        </w:rPr>
        <w:t xml:space="preserve">, the data subject has right to be informed about the data, raise concerns about </w:t>
      </w:r>
      <w:r w:rsidR="00D07B87">
        <w:rPr>
          <w:sz w:val="24"/>
          <w:szCs w:val="24"/>
        </w:rPr>
        <w:t>its</w:t>
      </w:r>
      <w:r w:rsidR="000B20FC">
        <w:rPr>
          <w:sz w:val="24"/>
          <w:szCs w:val="24"/>
        </w:rPr>
        <w:t xml:space="preserve"> precision, oppose further processing, and can even demand data withdrawal and deletion. </w:t>
      </w:r>
      <w:r w:rsidR="00927D54">
        <w:rPr>
          <w:sz w:val="24"/>
          <w:szCs w:val="24"/>
        </w:rPr>
        <w:t xml:space="preserve">The regulation is comprehensive, consisting of </w:t>
      </w:r>
      <w:r w:rsidR="0084183D">
        <w:rPr>
          <w:sz w:val="24"/>
          <w:szCs w:val="24"/>
        </w:rPr>
        <w:t>99</w:t>
      </w:r>
      <w:r w:rsidR="00927D54">
        <w:rPr>
          <w:sz w:val="24"/>
          <w:szCs w:val="24"/>
        </w:rPr>
        <w:t xml:space="preserve"> articles, and the need of adherence is vital, not mitigated by sanctions imposed in article </w:t>
      </w:r>
      <w:r w:rsidR="003B40EB">
        <w:rPr>
          <w:sz w:val="24"/>
          <w:szCs w:val="24"/>
        </w:rPr>
        <w:t>87</w:t>
      </w:r>
      <w:r w:rsidR="00927D54">
        <w:rPr>
          <w:sz w:val="24"/>
          <w:szCs w:val="24"/>
        </w:rPr>
        <w:t xml:space="preserve">, </w:t>
      </w:r>
      <w:r w:rsidR="0084183D">
        <w:rPr>
          <w:sz w:val="24"/>
          <w:szCs w:val="24"/>
        </w:rPr>
        <w:t xml:space="preserve">for </w:t>
      </w:r>
      <w:r w:rsidR="003B40EB">
        <w:rPr>
          <w:sz w:val="24"/>
          <w:szCs w:val="24"/>
        </w:rPr>
        <w:t>non</w:t>
      </w:r>
      <w:r w:rsidR="00927D54">
        <w:rPr>
          <w:sz w:val="24"/>
          <w:szCs w:val="24"/>
        </w:rPr>
        <w:t>compliance.</w:t>
      </w:r>
      <w:r w:rsidR="003B40EB">
        <w:rPr>
          <w:sz w:val="24"/>
          <w:szCs w:val="24"/>
        </w:rPr>
        <w:t xml:space="preserve"> </w:t>
      </w:r>
    </w:p>
    <w:sectPr w:rsidR="00323A62" w:rsidRPr="000B2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DC"/>
    <w:rsid w:val="000976A9"/>
    <w:rsid w:val="000B20FC"/>
    <w:rsid w:val="00150042"/>
    <w:rsid w:val="002753A1"/>
    <w:rsid w:val="002D695A"/>
    <w:rsid w:val="002F619B"/>
    <w:rsid w:val="00323A62"/>
    <w:rsid w:val="00335F6E"/>
    <w:rsid w:val="00393AE7"/>
    <w:rsid w:val="00393CDA"/>
    <w:rsid w:val="003B40EB"/>
    <w:rsid w:val="003C73D7"/>
    <w:rsid w:val="00491065"/>
    <w:rsid w:val="00555945"/>
    <w:rsid w:val="005C2AAE"/>
    <w:rsid w:val="006805DB"/>
    <w:rsid w:val="0084183D"/>
    <w:rsid w:val="00883E7E"/>
    <w:rsid w:val="008F610B"/>
    <w:rsid w:val="00927D54"/>
    <w:rsid w:val="00A07FDC"/>
    <w:rsid w:val="00A4003B"/>
    <w:rsid w:val="00AD34C1"/>
    <w:rsid w:val="00AE3AF6"/>
    <w:rsid w:val="00AF6E06"/>
    <w:rsid w:val="00B936CA"/>
    <w:rsid w:val="00C5718E"/>
    <w:rsid w:val="00C707D7"/>
    <w:rsid w:val="00C80075"/>
    <w:rsid w:val="00D00AF7"/>
    <w:rsid w:val="00D07B87"/>
    <w:rsid w:val="00DA1A03"/>
    <w:rsid w:val="00E0119A"/>
    <w:rsid w:val="00E254F3"/>
    <w:rsid w:val="00E257F7"/>
    <w:rsid w:val="00E4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EAC13"/>
  <w15:chartTrackingRefBased/>
  <w15:docId w15:val="{DE4121B3-AE64-4835-85EC-133A0520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6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Ambroziak</dc:creator>
  <cp:keywords/>
  <dc:description/>
  <cp:lastModifiedBy>Alexander A</cp:lastModifiedBy>
  <cp:revision>25</cp:revision>
  <dcterms:created xsi:type="dcterms:W3CDTF">2019-09-05T12:23:00Z</dcterms:created>
  <dcterms:modified xsi:type="dcterms:W3CDTF">2020-05-10T13:44:00Z</dcterms:modified>
</cp:coreProperties>
</file>