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74825F" w14:textId="77777777" w:rsidR="003C3270" w:rsidRDefault="00BD4040">
      <w:pPr>
        <w:ind w:left="-5" w:right="-4"/>
      </w:pPr>
      <w:r>
        <w:t xml:space="preserve">As a first step it is crucial to consider whether the GDPR is applicable. Initially this means that the data must constitute processing of </w:t>
      </w:r>
      <w:r>
        <w:rPr>
          <w:i/>
        </w:rPr>
        <w:t>personal data</w:t>
      </w:r>
      <w:r>
        <w:t xml:space="preserve"> (art 1 in The General Data Protection Regulation (GDPR)). Personal data is any information that refers </w:t>
      </w:r>
      <w:r>
        <w:t xml:space="preserve">to an </w:t>
      </w:r>
      <w:r>
        <w:rPr>
          <w:i/>
        </w:rPr>
        <w:t>identified</w:t>
      </w:r>
      <w:r>
        <w:t xml:space="preserve"> or </w:t>
      </w:r>
      <w:r>
        <w:rPr>
          <w:i/>
        </w:rPr>
        <w:t>identifiable</w:t>
      </w:r>
      <w:r>
        <w:t xml:space="preserve"> living person (art 4.1). For </w:t>
      </w:r>
      <w:proofErr w:type="gramStart"/>
      <w:r>
        <w:t>example</w:t>
      </w:r>
      <w:proofErr w:type="gramEnd"/>
      <w:r>
        <w:t xml:space="preserve"> a person's personal identity number, name, address, images or sound recordings of individuals. Also encrypted data and various kinds of electronic identities, as for example IP addresses</w:t>
      </w:r>
      <w:r>
        <w:t xml:space="preserve"> and cookies are considered personal data if they can be linked to living persons. Accordingly, any information that can be related to a living person constitutes personal data.</w:t>
      </w:r>
      <w:r>
        <w:rPr>
          <w:rFonts w:ascii="Times New Roman" w:eastAsia="Times New Roman" w:hAnsi="Times New Roman" w:cs="Times New Roman"/>
        </w:rPr>
        <w:t xml:space="preserve"> </w:t>
      </w:r>
    </w:p>
    <w:p w14:paraId="6CBA3320" w14:textId="77777777" w:rsidR="003C3270" w:rsidRDefault="00BD4040">
      <w:pPr>
        <w:ind w:left="-5" w:right="-4"/>
      </w:pPr>
      <w:r>
        <w:t>Hereinafter it is fundamental to consider whether there is a question of pers</w:t>
      </w:r>
      <w:r>
        <w:t>onal data</w:t>
      </w:r>
      <w:r>
        <w:rPr>
          <w:i/>
        </w:rPr>
        <w:t xml:space="preserve"> processing</w:t>
      </w:r>
      <w:r>
        <w:t xml:space="preserve"> (art 2). This is the case when the data fully or partly constitute automated data – which also covers manual processing if it is searchable due to certain criteria - as a result of a structured collecting of personal data (art 4.6).</w:t>
      </w:r>
      <w:r>
        <w:rPr>
          <w:rFonts w:ascii="Times New Roman" w:eastAsia="Times New Roman" w:hAnsi="Times New Roman" w:cs="Times New Roman"/>
        </w:rPr>
        <w:t xml:space="preserve">  </w:t>
      </w:r>
    </w:p>
    <w:p w14:paraId="3E4850CE" w14:textId="77777777" w:rsidR="003C3270" w:rsidRDefault="00BD4040">
      <w:pPr>
        <w:ind w:left="-5" w:right="-4"/>
      </w:pPr>
      <w:r>
        <w:t>Furthermore, consideration needs to be taken concerning whether the personal data processing is covered by the territory of GDPRs applicability. However, the GDPR is always applicable if the data processing is performed within the EU (art 3).</w:t>
      </w:r>
      <w:r>
        <w:rPr>
          <w:rFonts w:ascii="Times New Roman" w:eastAsia="Times New Roman" w:hAnsi="Times New Roman" w:cs="Times New Roman"/>
        </w:rPr>
        <w:t xml:space="preserve"> </w:t>
      </w:r>
    </w:p>
    <w:p w14:paraId="7750C42D" w14:textId="77777777" w:rsidR="003C3270" w:rsidRDefault="00BD4040">
      <w:pPr>
        <w:ind w:left="-5" w:right="-4"/>
      </w:pPr>
      <w:r>
        <w:t>Moreover, th</w:t>
      </w:r>
      <w:r>
        <w:t xml:space="preserve">e GDPR outlines six fundamental data protection principles anyone who process personal data must comply with; </w:t>
      </w:r>
      <w:r>
        <w:rPr>
          <w:i/>
        </w:rPr>
        <w:t>Lawfulness, fairness and transparency; purpose limitation; data minimisation; accuracy; storage limitation; integrity and confidentiality</w:t>
      </w:r>
      <w:r>
        <w:t xml:space="preserve"> (art 5).</w:t>
      </w:r>
      <w:r>
        <w:t xml:space="preserve"> </w:t>
      </w:r>
      <w:r>
        <w:rPr>
          <w:i/>
        </w:rPr>
        <w:t>Purpose limitation</w:t>
      </w:r>
      <w:r>
        <w:t xml:space="preserve"> in particular deserves a comment in that sense that the data processing requires a particular purpose and the data processing is prevented to be subject to any other purpose that the decided purpose (, 2018, 179-180).</w:t>
      </w:r>
      <w:r>
        <w:rPr>
          <w:rFonts w:ascii="Times New Roman" w:eastAsia="Times New Roman" w:hAnsi="Times New Roman" w:cs="Times New Roman"/>
        </w:rPr>
        <w:t xml:space="preserve"> </w:t>
      </w:r>
    </w:p>
    <w:p w14:paraId="7082EE47" w14:textId="77777777" w:rsidR="003C3270" w:rsidRDefault="00BD4040">
      <w:pPr>
        <w:ind w:left="-5" w:right="-4"/>
      </w:pPr>
      <w:r>
        <w:t>Although the data</w:t>
      </w:r>
      <w:r>
        <w:t xml:space="preserve"> constitutes personal data processing in accordance with the fundamental data protection principles – as the GDPR is applicable, the data processing is prohibited – unless there is a legal ground that justify such data processing.</w:t>
      </w:r>
      <w:r>
        <w:rPr>
          <w:rFonts w:ascii="Times New Roman" w:eastAsia="Times New Roman" w:hAnsi="Times New Roman" w:cs="Times New Roman"/>
        </w:rPr>
        <w:t xml:space="preserve"> </w:t>
      </w:r>
    </w:p>
    <w:p w14:paraId="69FC046A" w14:textId="77777777" w:rsidR="003C3270" w:rsidRDefault="00BD4040">
      <w:pPr>
        <w:ind w:left="-5" w:right="-4"/>
      </w:pPr>
      <w:r>
        <w:t>The next step is therefo</w:t>
      </w:r>
      <w:r>
        <w:t>re to consider if any such legal grounds is at hand, which make; consent; necessary according to a contract; legal obligations; fundamental interest; exercise of official authority or task in the public interest or weighing of interests (art 6). However, c</w:t>
      </w:r>
      <w:r>
        <w:t xml:space="preserve">onsent may not be suitable at all time, since the data subject can recall its consent and it could also occur a situation of power imbalance between the data subject and the data controller (, 2018, 184). </w:t>
      </w:r>
      <w:proofErr w:type="gramStart"/>
      <w:r>
        <w:t>Therefore</w:t>
      </w:r>
      <w:proofErr w:type="gramEnd"/>
      <w:r>
        <w:t xml:space="preserve"> it may be more suitable to look for a leg</w:t>
      </w:r>
      <w:r>
        <w:t xml:space="preserve">al ground within for instance a contract, weighing of interests or legal obligation. </w:t>
      </w:r>
      <w:r>
        <w:rPr>
          <w:rFonts w:ascii="Times New Roman" w:eastAsia="Times New Roman" w:hAnsi="Times New Roman" w:cs="Times New Roman"/>
        </w:rPr>
        <w:t xml:space="preserve"> </w:t>
      </w:r>
    </w:p>
    <w:p w14:paraId="044242A2" w14:textId="77777777" w:rsidR="003C3270" w:rsidRDefault="00BD4040">
      <w:pPr>
        <w:ind w:left="-5" w:right="-4"/>
      </w:pPr>
      <w:r>
        <w:t>Certain personal data is considered to be particularly sensitive and the GDPR offers stronger protection in such cases (art 9). Such data considers for example racial or</w:t>
      </w:r>
      <w:r>
        <w:t xml:space="preserve"> ethnic origin, personal health and sexual orientation. Although there are a number of legal grounds that justifies such sensitive personal data, as for example obligations under labour law, fundamental interests or data made public by the data subject.</w:t>
      </w:r>
      <w:r>
        <w:rPr>
          <w:rFonts w:ascii="Times New Roman" w:eastAsia="Times New Roman" w:hAnsi="Times New Roman" w:cs="Times New Roman"/>
        </w:rPr>
        <w:t xml:space="preserve"> </w:t>
      </w:r>
    </w:p>
    <w:p w14:paraId="7D02F872" w14:textId="77777777" w:rsidR="003C3270" w:rsidRDefault="00BD4040">
      <w:pPr>
        <w:ind w:left="-5" w:right="-4"/>
      </w:pPr>
      <w:r>
        <w:t>F</w:t>
      </w:r>
      <w:r>
        <w:t xml:space="preserve">inally, it is crucial to determine who is the </w:t>
      </w:r>
      <w:r>
        <w:rPr>
          <w:i/>
        </w:rPr>
        <w:t>data controller</w:t>
      </w:r>
      <w:r>
        <w:t xml:space="preserve"> early in the process, as the data controller is responsible for the data processing and therefore, as for example, has the responsibility to inform the data subject of the processed data (art 13</w:t>
      </w:r>
      <w:r>
        <w:t xml:space="preserve"> and 24) and take certain security measures (art 25, 30 and 32-34). If the data controller </w:t>
      </w:r>
      <w:proofErr w:type="gramStart"/>
      <w:r>
        <w:t>outsource</w:t>
      </w:r>
      <w:proofErr w:type="gramEnd"/>
      <w:r>
        <w:t xml:space="preserve"> the data processing, that receiving party become a </w:t>
      </w:r>
      <w:r>
        <w:rPr>
          <w:i/>
        </w:rPr>
        <w:t xml:space="preserve">data processor. </w:t>
      </w:r>
      <w:r>
        <w:t xml:space="preserve">The data processor is partly responsible for the data processing, but only to a limited </w:t>
      </w:r>
      <w:r>
        <w:t>extent that regulates in the GDPR (art 28).</w:t>
      </w:r>
      <w:r>
        <w:rPr>
          <w:rFonts w:ascii="Times New Roman" w:eastAsia="Times New Roman" w:hAnsi="Times New Roman" w:cs="Times New Roman"/>
        </w:rPr>
        <w:t xml:space="preserve"> </w:t>
      </w:r>
    </w:p>
    <w:sectPr w:rsidR="003C3270">
      <w:pgSz w:w="11904" w:h="16838"/>
      <w:pgMar w:top="1440" w:right="1411" w:bottom="1440"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270"/>
    <w:rsid w:val="003C3270"/>
    <w:rsid w:val="00BD4040"/>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526E3"/>
  <w15:docId w15:val="{063C8F83-D269-4014-971A-744DD215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SE" w:eastAsia="en-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5" w:line="250" w:lineRule="auto"/>
      <w:ind w:left="10" w:right="8" w:hanging="10"/>
      <w:jc w:val="both"/>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541</Words>
  <Characters>3088</Characters>
  <Application>Microsoft Office Word</Application>
  <DocSecurity>0</DocSecurity>
  <Lines>25</Lines>
  <Paragraphs>7</Paragraphs>
  <ScaleCrop>false</ScaleCrop>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emma.barkinge@gmail.com</dc:creator>
  <cp:keywords/>
  <cp:lastModifiedBy>Alexander A</cp:lastModifiedBy>
  <cp:revision>2</cp:revision>
  <dcterms:created xsi:type="dcterms:W3CDTF">2020-05-10T13:43:00Z</dcterms:created>
  <dcterms:modified xsi:type="dcterms:W3CDTF">2020-05-10T13:43:00Z</dcterms:modified>
</cp:coreProperties>
</file>