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272046" w14:textId="77777777" w:rsidR="007C0961" w:rsidRDefault="008F5514">
      <w:pPr>
        <w:ind w:left="-5"/>
      </w:pPr>
      <w:r>
        <w:t xml:space="preserve">I received your email regarding how we can examine if our affiliate company </w:t>
      </w:r>
      <w:r>
        <w:t>in Sweden complies with the General Data Protection Regulation (GDPR). Therefore, I intend to give you a description of a legal method, mainly based on three questions, that can be used in order to analyze the compliance of the GDPR when processing persona</w:t>
      </w:r>
      <w:r>
        <w:t xml:space="preserve">l data. Observe that this is a crash course where only the most important steps are going to be discussed.  </w:t>
      </w:r>
    </w:p>
    <w:p w14:paraId="6C0DD4E0" w14:textId="77777777" w:rsidR="007C0961" w:rsidRDefault="008F5514">
      <w:pPr>
        <w:spacing w:after="0" w:line="259" w:lineRule="auto"/>
        <w:ind w:left="0" w:firstLine="0"/>
        <w:jc w:val="left"/>
      </w:pPr>
      <w:r>
        <w:t xml:space="preserve"> </w:t>
      </w:r>
    </w:p>
    <w:p w14:paraId="69AC7F19" w14:textId="77777777" w:rsidR="007C0961" w:rsidRDefault="008F5514">
      <w:pPr>
        <w:ind w:left="-5"/>
      </w:pPr>
      <w:r>
        <w:rPr>
          <w:b/>
        </w:rPr>
        <w:t>First of all.</w:t>
      </w:r>
      <w:r>
        <w:t xml:space="preserve"> It is crucial to determine the role of the subject that is investigated, since the obligations under the GDPR differ between differ</w:t>
      </w:r>
      <w:r>
        <w:t xml:space="preserve">ent actors. Pursuant to article 4 and 37-39 controllers, processors and data protection officers are exclusively responsible for complying with the GDPR.  </w:t>
      </w:r>
    </w:p>
    <w:p w14:paraId="1994C750" w14:textId="77777777" w:rsidR="007C0961" w:rsidRDefault="008F5514">
      <w:pPr>
        <w:spacing w:after="0" w:line="259" w:lineRule="auto"/>
        <w:ind w:left="0" w:firstLine="0"/>
        <w:jc w:val="left"/>
      </w:pPr>
      <w:r>
        <w:rPr>
          <w:b/>
        </w:rPr>
        <w:t xml:space="preserve"> </w:t>
      </w:r>
    </w:p>
    <w:p w14:paraId="7BAF0ABF" w14:textId="77777777" w:rsidR="007C0961" w:rsidRDefault="008F5514">
      <w:pPr>
        <w:ind w:left="-5"/>
      </w:pPr>
      <w:r>
        <w:rPr>
          <w:b/>
        </w:rPr>
        <w:t>Main questions.</w:t>
      </w:r>
      <w:r>
        <w:t xml:space="preserve"> In order to examine if a certain processing of personal data complies with the GPD</w:t>
      </w:r>
      <w:r>
        <w:t xml:space="preserve">R the following questions can be analyzed;  </w:t>
      </w:r>
    </w:p>
    <w:p w14:paraId="053C348E" w14:textId="77777777" w:rsidR="007C0961" w:rsidRDefault="008F5514">
      <w:pPr>
        <w:numPr>
          <w:ilvl w:val="0"/>
          <w:numId w:val="1"/>
        </w:numPr>
        <w:ind w:hanging="360"/>
      </w:pPr>
      <w:r>
        <w:t xml:space="preserve">Is the regulation applicable?  </w:t>
      </w:r>
    </w:p>
    <w:p w14:paraId="71B8E61A" w14:textId="77777777" w:rsidR="007C0961" w:rsidRDefault="008F5514">
      <w:pPr>
        <w:numPr>
          <w:ilvl w:val="0"/>
          <w:numId w:val="1"/>
        </w:numPr>
        <w:ind w:hanging="360"/>
      </w:pPr>
      <w:r>
        <w:t xml:space="preserve">Is the processing lawful?  </w:t>
      </w:r>
    </w:p>
    <w:p w14:paraId="5D606E54" w14:textId="77777777" w:rsidR="007C0961" w:rsidRDefault="008F5514">
      <w:pPr>
        <w:numPr>
          <w:ilvl w:val="0"/>
          <w:numId w:val="1"/>
        </w:numPr>
        <w:ind w:hanging="360"/>
      </w:pPr>
      <w:r>
        <w:t xml:space="preserve">Does the processing comply with the general principles?  </w:t>
      </w:r>
    </w:p>
    <w:p w14:paraId="57756228" w14:textId="77777777" w:rsidR="007C0961" w:rsidRDefault="008F5514">
      <w:pPr>
        <w:spacing w:after="0" w:line="259" w:lineRule="auto"/>
        <w:ind w:left="0" w:firstLine="0"/>
        <w:jc w:val="left"/>
      </w:pPr>
      <w:r>
        <w:rPr>
          <w:b/>
        </w:rPr>
        <w:t xml:space="preserve"> </w:t>
      </w:r>
    </w:p>
    <w:p w14:paraId="4D4389F9" w14:textId="77777777" w:rsidR="007C0961" w:rsidRDefault="008F5514">
      <w:pPr>
        <w:ind w:left="-5"/>
      </w:pPr>
      <w:r>
        <w:rPr>
          <w:b/>
        </w:rPr>
        <w:t xml:space="preserve">Applicable regulation. </w:t>
      </w:r>
      <w:r>
        <w:t xml:space="preserve">The question about the applicability of the regulation can be split </w:t>
      </w:r>
      <w:r>
        <w:t xml:space="preserve">in three parts. At first, the regulation only applies on personal data related to a natural person according to article 1. Secondly, article 2 stipulates that only wholly or partly automated processing and manual processing which at least form a part of a </w:t>
      </w:r>
      <w:r>
        <w:t>system falls within the scope. Also, the processing has to be a context of the activities of establishment of a controller or processor within the EU, regardless of whether the processing takes place in the EU or not. If all those three parts are fulfilled</w:t>
      </w:r>
      <w:r>
        <w:t>, it need to be ensured that the process is not exempt from the scope pursuant to p. 2 in the article before deciding if the regulation is applicable or not. If the GDPR is not applicable, please ignore the regulation, otherwise move forward to the questio</w:t>
      </w:r>
      <w:r>
        <w:t xml:space="preserve">n below.  </w:t>
      </w:r>
    </w:p>
    <w:p w14:paraId="3310EF72" w14:textId="77777777" w:rsidR="007C0961" w:rsidRDefault="008F5514">
      <w:pPr>
        <w:spacing w:after="0" w:line="259" w:lineRule="auto"/>
        <w:ind w:left="0" w:firstLine="0"/>
        <w:jc w:val="left"/>
      </w:pPr>
      <w:r>
        <w:rPr>
          <w:b/>
        </w:rPr>
        <w:t xml:space="preserve"> </w:t>
      </w:r>
    </w:p>
    <w:p w14:paraId="2BBEC806" w14:textId="77777777" w:rsidR="007C0961" w:rsidRDefault="008F5514">
      <w:pPr>
        <w:ind w:left="-5"/>
      </w:pPr>
      <w:r>
        <w:rPr>
          <w:b/>
        </w:rPr>
        <w:t xml:space="preserve">Lawfulness of processing. </w:t>
      </w:r>
      <w:r>
        <w:t>According to article 6-7 in the GDPR a processing of personal data must fulfill one of the legal grounds in order to be legitimate. Those legal grounds are consent, contract, weighing of interests, legal obligation, e</w:t>
      </w:r>
      <w:r>
        <w:t>xercise of official authority or task in the public interest or fundamental interest. It should be stressed that consent from the subject to the personal data in many cases not is appropriate or even possible to use. If there is a legal ground to process t</w:t>
      </w:r>
      <w:r>
        <w:t xml:space="preserve">he personal data, it is a lawful processing and the next question can be handled, but if not, the processing does not comply with the GDPR.   </w:t>
      </w:r>
    </w:p>
    <w:p w14:paraId="510C5F54" w14:textId="77777777" w:rsidR="007C0961" w:rsidRDefault="008F5514">
      <w:pPr>
        <w:spacing w:after="0" w:line="259" w:lineRule="auto"/>
        <w:ind w:left="0" w:firstLine="0"/>
        <w:jc w:val="left"/>
      </w:pPr>
      <w:r>
        <w:rPr>
          <w:b/>
        </w:rPr>
        <w:t xml:space="preserve"> </w:t>
      </w:r>
    </w:p>
    <w:p w14:paraId="62B1E87D" w14:textId="77777777" w:rsidR="007C0961" w:rsidRDefault="008F5514">
      <w:pPr>
        <w:ind w:left="-5"/>
      </w:pPr>
      <w:r>
        <w:rPr>
          <w:b/>
        </w:rPr>
        <w:t xml:space="preserve">General principles. </w:t>
      </w:r>
      <w:r>
        <w:t>The principles are general terms that restricts the possibility to process the personal dat</w:t>
      </w:r>
      <w:r>
        <w:t>a. Article 5 provides that personal data shall be processed lawfully, fairly and in transparent manner, the data shall be limited to what is necessary and so on.</w:t>
      </w:r>
      <w:r>
        <w:rPr>
          <w:color w:val="FF0000"/>
        </w:rPr>
        <w:t xml:space="preserve"> </w:t>
      </w:r>
      <w:r>
        <w:t>All principles must be examined in relation to, not only the processing, but also the collecti</w:t>
      </w:r>
      <w:r>
        <w:t>on of personal data. The rights of the subject to the personal data can also be taken into account at this stage since a comprehensive amount of rights according to article 12-22 have to be maintained. If the general principles and the rights of the subjec</w:t>
      </w:r>
      <w:r>
        <w:t xml:space="preserve">t are fulfilled, one can assume that the processing of personal data complies with the GDPR.  </w:t>
      </w:r>
    </w:p>
    <w:sectPr w:rsidR="007C0961">
      <w:pgSz w:w="11900" w:h="16840"/>
      <w:pgMar w:top="1440" w:right="1417"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881A41"/>
    <w:multiLevelType w:val="hybridMultilevel"/>
    <w:tmpl w:val="E27ADD34"/>
    <w:lvl w:ilvl="0" w:tplc="A8DEE7B4">
      <w:start w:val="1"/>
      <w:numFmt w:val="decimal"/>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CAFE3E">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E62B6A">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7C1A5A">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FAD938">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127830">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40C5B8">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30784A">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08172E">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961"/>
    <w:rsid w:val="007C0961"/>
    <w:rsid w:val="008F551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D42E"/>
  <w15:docId w15:val="{063C8F83-D269-4014-971A-744DD215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E" w:eastAsia="en-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Memorandum.docx</dc:title>
  <dc:subject/>
  <dc:creator>Alexander A</dc:creator>
  <cp:keywords/>
  <cp:lastModifiedBy>Alexander A</cp:lastModifiedBy>
  <cp:revision>2</cp:revision>
  <dcterms:created xsi:type="dcterms:W3CDTF">2020-05-10T13:45:00Z</dcterms:created>
  <dcterms:modified xsi:type="dcterms:W3CDTF">2020-05-10T13:45:00Z</dcterms:modified>
</cp:coreProperties>
</file>