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B4ED09" w14:textId="4031B4BC" w:rsidR="005A2045" w:rsidRPr="007555E4" w:rsidRDefault="00AA7688" w:rsidP="009F29FE">
      <w:pPr>
        <w:jc w:val="both"/>
      </w:pPr>
      <w:r w:rsidRPr="007555E4">
        <w:t xml:space="preserve">For EU member-states, the regulatory framework governing the </w:t>
      </w:r>
      <w:r w:rsidR="005268C5" w:rsidRPr="007555E4">
        <w:t>processing of personal data</w:t>
      </w:r>
      <w:r w:rsidRPr="007555E4">
        <w:t xml:space="preserve"> was amended as Regulation (EU) 2016/679 on the protection of natural persons with regard to the processing of personal data and on the free movement of such data, more commonly known as the General Data Protection Regulation [cit. GDPR]</w:t>
      </w:r>
      <w:r w:rsidR="006F3BE0" w:rsidRPr="007555E4">
        <w:t>, entered into force.</w:t>
      </w:r>
      <w:r w:rsidR="005A2045" w:rsidRPr="007555E4">
        <w:t xml:space="preserve"> The following memorandum </w:t>
      </w:r>
      <w:r w:rsidR="006F3BE0" w:rsidRPr="007555E4">
        <w:t xml:space="preserve">seeks to outline </w:t>
      </w:r>
      <w:r w:rsidR="00E2144F">
        <w:t xml:space="preserve">some of </w:t>
      </w:r>
      <w:r w:rsidR="006F3BE0" w:rsidRPr="007555E4">
        <w:t>the general features of the GDPR and the methodology with which legal professionals</w:t>
      </w:r>
      <w:r w:rsidR="00590CCF" w:rsidRPr="007555E4">
        <w:t xml:space="preserve"> may use the regulation to tackle issues related to the processing of personal data.</w:t>
      </w:r>
    </w:p>
    <w:p w14:paraId="10E4B281" w14:textId="774AF722" w:rsidR="00DE5E16" w:rsidRPr="00945C66" w:rsidRDefault="00DE5E16" w:rsidP="00945C66">
      <w:pPr>
        <w:jc w:val="both"/>
        <w:rPr>
          <w:u w:val="single"/>
        </w:rPr>
      </w:pPr>
    </w:p>
    <w:p w14:paraId="6254810A" w14:textId="5E29523D" w:rsidR="00B63D5C" w:rsidRPr="007555E4" w:rsidRDefault="00890044" w:rsidP="009F29FE">
      <w:pPr>
        <w:jc w:val="both"/>
      </w:pPr>
      <w:r w:rsidRPr="007555E4">
        <w:t>Under Article 2 of the regulation</w:t>
      </w:r>
      <w:r w:rsidR="004D374C" w:rsidRPr="007555E4">
        <w:t xml:space="preserve">, the GDPR applies to </w:t>
      </w:r>
      <w:r w:rsidR="00AE12AE" w:rsidRPr="007555E4">
        <w:t xml:space="preserve">i) </w:t>
      </w:r>
      <w:r w:rsidR="004D374C" w:rsidRPr="007555E4">
        <w:t xml:space="preserve">the processing of personal data wholly or partly by automated means and </w:t>
      </w:r>
      <w:r w:rsidR="00AE12AE" w:rsidRPr="007555E4">
        <w:t xml:space="preserve">ii) </w:t>
      </w:r>
      <w:r w:rsidR="004D374C" w:rsidRPr="007555E4">
        <w:t>to the processing other than by automated means of personal data which form part of a filing system or are intended to form part of a filing system.</w:t>
      </w:r>
      <w:r w:rsidR="00C727EE" w:rsidRPr="007555E4">
        <w:t xml:space="preserve"> The most significant exception to this rule constitutes the processing of personal data by a natural person in the course of a purely personal or household activity (Article 2.2.c)</w:t>
      </w:r>
      <w:r w:rsidR="00AE12AE" w:rsidRPr="007555E4">
        <w:t>.</w:t>
      </w:r>
      <w:r w:rsidR="00D36AF4" w:rsidRPr="007555E4">
        <w:t xml:space="preserve"> </w:t>
      </w:r>
      <w:r w:rsidR="006D1A64" w:rsidRPr="007555E4">
        <w:t>E</w:t>
      </w:r>
      <w:r w:rsidR="00D36AF4" w:rsidRPr="007555E4">
        <w:t>xample</w:t>
      </w:r>
      <w:r w:rsidR="006D1A64" w:rsidRPr="007555E4">
        <w:t>s</w:t>
      </w:r>
      <w:r w:rsidR="00D36AF4" w:rsidRPr="007555E4">
        <w:t xml:space="preserve"> of purely personal activit</w:t>
      </w:r>
      <w:r w:rsidR="006D1A64" w:rsidRPr="007555E4">
        <w:t>ies</w:t>
      </w:r>
      <w:r w:rsidR="00D36AF4" w:rsidRPr="007555E4">
        <w:t xml:space="preserve"> </w:t>
      </w:r>
      <w:r w:rsidR="006D1A64" w:rsidRPr="007555E4">
        <w:t xml:space="preserve">include </w:t>
      </w:r>
      <w:r w:rsidR="00D36AF4" w:rsidRPr="007555E4">
        <w:t>the collection and processing of personal data in connection with genealogy</w:t>
      </w:r>
      <w:r w:rsidR="006D1A64" w:rsidRPr="007555E4">
        <w:t xml:space="preserve"> or the maintenance of digital contact lists </w:t>
      </w:r>
      <w:r w:rsidR="00435D52" w:rsidRPr="007555E4">
        <w:t>comprising</w:t>
      </w:r>
      <w:r w:rsidR="004C2CA1" w:rsidRPr="007555E4">
        <w:t xml:space="preserve"> contact information to</w:t>
      </w:r>
      <w:r w:rsidR="00712671" w:rsidRPr="007555E4">
        <w:t xml:space="preserve"> friends and family</w:t>
      </w:r>
      <w:r w:rsidR="00FA6D45" w:rsidRPr="007555E4">
        <w:t>, which as such is excluded from scope of the GDPR.</w:t>
      </w:r>
    </w:p>
    <w:p w14:paraId="383E5D9B" w14:textId="2D5261B3" w:rsidR="00C7448E" w:rsidRPr="007555E4" w:rsidRDefault="00EE15FC" w:rsidP="009F29FE">
      <w:pPr>
        <w:ind w:firstLine="360"/>
        <w:jc w:val="both"/>
      </w:pPr>
      <w:r w:rsidRPr="007555E4">
        <w:t>As</w:t>
      </w:r>
      <w:r w:rsidR="00EA3273" w:rsidRPr="007555E4">
        <w:t xml:space="preserve"> regards the GDPR’s territorial reach, </w:t>
      </w:r>
      <w:r w:rsidR="002602DE">
        <w:t>A</w:t>
      </w:r>
      <w:r w:rsidR="00C7448E" w:rsidRPr="007555E4">
        <w:t>rticle 3</w:t>
      </w:r>
      <w:r w:rsidR="00EA3273" w:rsidRPr="007555E4">
        <w:t xml:space="preserve"> stipulates that the regulation is</w:t>
      </w:r>
      <w:r w:rsidRPr="007555E4">
        <w:t xml:space="preserve"> applicable to all processing of personal data in the context of the activities of an establishment of a controller or a processor </w:t>
      </w:r>
      <w:r w:rsidR="00524F22">
        <w:t xml:space="preserve">located </w:t>
      </w:r>
      <w:r w:rsidRPr="007555E4">
        <w:t>in the EU.</w:t>
      </w:r>
      <w:r w:rsidR="00681D00" w:rsidRPr="007555E4">
        <w:t xml:space="preserve"> For controllers or processors that are not established in the EU</w:t>
      </w:r>
      <w:r w:rsidR="005D04F6">
        <w:t xml:space="preserve">, the regulation is applicable when </w:t>
      </w:r>
      <w:r w:rsidR="005D04F6" w:rsidRPr="005D04F6">
        <w:t xml:space="preserve">the processing of personal data </w:t>
      </w:r>
      <w:r w:rsidR="005D04F6">
        <w:t xml:space="preserve">relates to </w:t>
      </w:r>
      <w:r w:rsidR="005D04F6" w:rsidRPr="005D04F6">
        <w:t xml:space="preserve">data subjects who are in the </w:t>
      </w:r>
      <w:r w:rsidR="005D04F6">
        <w:t>EU and where the processing activities are</w:t>
      </w:r>
      <w:r w:rsidR="00DB52E0">
        <w:t xml:space="preserve"> related to</w:t>
      </w:r>
      <w:r w:rsidR="005D04F6" w:rsidRPr="005D04F6">
        <w:t xml:space="preserve"> </w:t>
      </w:r>
      <w:r w:rsidR="00DB52E0">
        <w:t xml:space="preserve">i) </w:t>
      </w:r>
      <w:r w:rsidR="00DB52E0" w:rsidRPr="00DB52E0">
        <w:t>the</w:t>
      </w:r>
      <w:r w:rsidR="00DB52E0">
        <w:t xml:space="preserve"> </w:t>
      </w:r>
      <w:r w:rsidR="00DB52E0" w:rsidRPr="00DB52E0">
        <w:t>offering of goods</w:t>
      </w:r>
      <w:r w:rsidR="00DB52E0">
        <w:t xml:space="preserve"> </w:t>
      </w:r>
      <w:r w:rsidR="00DB52E0" w:rsidRPr="00DB52E0">
        <w:t>or services, irrespective of whether</w:t>
      </w:r>
      <w:r w:rsidR="00DB52E0">
        <w:t xml:space="preserve"> </w:t>
      </w:r>
      <w:r w:rsidR="00DB52E0" w:rsidRPr="00DB52E0">
        <w:t>a payment</w:t>
      </w:r>
      <w:r w:rsidR="00DB52E0">
        <w:t xml:space="preserve"> </w:t>
      </w:r>
      <w:r w:rsidR="00DB52E0" w:rsidRPr="00DB52E0">
        <w:t>of the data subject is required,</w:t>
      </w:r>
      <w:r w:rsidR="00DB52E0">
        <w:t xml:space="preserve"> </w:t>
      </w:r>
      <w:r w:rsidR="00DB52E0" w:rsidRPr="00DB52E0">
        <w:t>to such data</w:t>
      </w:r>
      <w:r w:rsidR="00DB52E0">
        <w:t xml:space="preserve"> </w:t>
      </w:r>
      <w:r w:rsidR="00DB52E0" w:rsidRPr="00DB52E0">
        <w:t xml:space="preserve">subjects in the </w:t>
      </w:r>
      <w:r w:rsidR="00DB52E0">
        <w:t>EU,</w:t>
      </w:r>
      <w:r w:rsidR="00DB52E0" w:rsidRPr="00DB52E0">
        <w:t xml:space="preserve"> or </w:t>
      </w:r>
      <w:r w:rsidR="00DB52E0">
        <w:t>ii</w:t>
      </w:r>
      <w:r w:rsidR="00DB52E0" w:rsidRPr="00DB52E0">
        <w:t>) the monitoring of their behavior as far as their</w:t>
      </w:r>
      <w:r w:rsidR="00DB52E0">
        <w:t xml:space="preserve"> </w:t>
      </w:r>
      <w:r w:rsidR="00DB52E0" w:rsidRPr="00DB52E0">
        <w:t xml:space="preserve">behavior takes place within the </w:t>
      </w:r>
      <w:r w:rsidR="00DB52E0">
        <w:t>EU</w:t>
      </w:r>
      <w:r w:rsidR="00BF2601">
        <w:t>.</w:t>
      </w:r>
    </w:p>
    <w:p w14:paraId="3B678918" w14:textId="77777777" w:rsidR="00945C66" w:rsidRDefault="00945C66" w:rsidP="009F29FE">
      <w:pPr>
        <w:jc w:val="both"/>
      </w:pPr>
    </w:p>
    <w:p w14:paraId="53C4706D" w14:textId="4769A83A" w:rsidR="00004EDA" w:rsidRDefault="00EB79F6" w:rsidP="009F29FE">
      <w:pPr>
        <w:jc w:val="both"/>
      </w:pPr>
      <w:r w:rsidRPr="007555E4">
        <w:t xml:space="preserve">Subsequent to </w:t>
      </w:r>
      <w:r w:rsidR="00B642AF">
        <w:t>determining</w:t>
      </w:r>
      <w:r w:rsidRPr="007555E4">
        <w:t xml:space="preserve"> whether the GDPR is applicable in </w:t>
      </w:r>
      <w:r w:rsidR="00B642AF">
        <w:t>a</w:t>
      </w:r>
      <w:r w:rsidRPr="007555E4">
        <w:t xml:space="preserve"> given case</w:t>
      </w:r>
      <w:r w:rsidR="00B642AF">
        <w:t xml:space="preserve">, </w:t>
      </w:r>
      <w:r w:rsidR="003161AC">
        <w:t xml:space="preserve">one must assess if the processing of personal data in question </w:t>
      </w:r>
      <w:r w:rsidR="00E97D61">
        <w:t xml:space="preserve">conforms to </w:t>
      </w:r>
      <w:r w:rsidR="003161AC">
        <w:t>the principles</w:t>
      </w:r>
      <w:r w:rsidR="00410F81">
        <w:t xml:space="preserve"> outlined in the GDPR. </w:t>
      </w:r>
      <w:r w:rsidR="000026C7">
        <w:t xml:space="preserve">These include principles of lawfulness, fairness and transparency, purpose limitation, data minimization, </w:t>
      </w:r>
      <w:r w:rsidR="003D0F1E">
        <w:t>accuracy</w:t>
      </w:r>
      <w:r w:rsidR="00BF1114">
        <w:t>,</w:t>
      </w:r>
      <w:r w:rsidR="003D0F1E">
        <w:t xml:space="preserve"> storage limitation, integrity and confidentiality</w:t>
      </w:r>
      <w:r w:rsidR="00BF1114">
        <w:t xml:space="preserve"> as well as accountability</w:t>
      </w:r>
      <w:r w:rsidR="00F20F80">
        <w:t xml:space="preserve"> (Article 5)</w:t>
      </w:r>
      <w:r w:rsidR="00BF1114">
        <w:t>.</w:t>
      </w:r>
    </w:p>
    <w:p w14:paraId="74A604DA" w14:textId="0D726192" w:rsidR="00ED4C13" w:rsidRPr="007555E4" w:rsidRDefault="00ED4C13" w:rsidP="009F29FE">
      <w:pPr>
        <w:ind w:firstLine="360"/>
        <w:jc w:val="both"/>
      </w:pPr>
      <w:r>
        <w:t>Lawful processing moreover</w:t>
      </w:r>
      <w:r w:rsidR="0026211C">
        <w:t xml:space="preserve"> requires </w:t>
      </w:r>
      <w:r w:rsidR="007D5317">
        <w:t>one of the following conditions to be met</w:t>
      </w:r>
      <w:r w:rsidR="00DE6FE9">
        <w:t xml:space="preserve"> (Article 6)</w:t>
      </w:r>
      <w:r w:rsidR="007D5317">
        <w:t>:</w:t>
      </w:r>
      <w:r w:rsidR="00180FCC">
        <w:t xml:space="preserve"> i) </w:t>
      </w:r>
      <w:r w:rsidR="00A51189">
        <w:t xml:space="preserve">the data subject </w:t>
      </w:r>
      <w:r w:rsidR="00DE6FE9">
        <w:t xml:space="preserve">has </w:t>
      </w:r>
      <w:r w:rsidR="00A51189">
        <w:t xml:space="preserve">given his/her consent to the processing of his/her personal data </w:t>
      </w:r>
      <w:r w:rsidR="00397825">
        <w:t>for the specified purpose</w:t>
      </w:r>
      <w:r w:rsidR="00180FCC">
        <w:t xml:space="preserve">, ii) processing is necessary for the performance of a contract, iii) </w:t>
      </w:r>
      <w:r w:rsidR="00180FCC" w:rsidRPr="00180FCC">
        <w:t>processing is necessary for compliance with a legal obligation</w:t>
      </w:r>
      <w:r w:rsidR="003E5CE3">
        <w:t>, iv)</w:t>
      </w:r>
      <w:r w:rsidR="00D33A19">
        <w:t xml:space="preserve"> </w:t>
      </w:r>
      <w:r w:rsidR="00D33A19" w:rsidRPr="00D33A19">
        <w:t>processing is necessary in order to protect the vital interests of</w:t>
      </w:r>
      <w:r w:rsidR="00D33A19">
        <w:t xml:space="preserve"> a natural person, v)</w:t>
      </w:r>
      <w:r w:rsidR="00723C29">
        <w:t xml:space="preserve"> </w:t>
      </w:r>
      <w:r w:rsidR="00723C29" w:rsidRPr="00723C29">
        <w:t>processing is necessary for the performance of a task carried out in the public interest</w:t>
      </w:r>
      <w:r w:rsidR="00723C29">
        <w:t>, vi)</w:t>
      </w:r>
      <w:r w:rsidR="00707AB5">
        <w:t xml:space="preserve"> </w:t>
      </w:r>
      <w:r w:rsidR="00707AB5" w:rsidRPr="00707AB5">
        <w:t>processing is</w:t>
      </w:r>
      <w:r w:rsidR="00707AB5">
        <w:t xml:space="preserve"> </w:t>
      </w:r>
      <w:r w:rsidR="00707AB5" w:rsidRPr="00707AB5">
        <w:t>necessary for the purposes of the legitimate interests pursued</w:t>
      </w:r>
      <w:r w:rsidR="00707AB5">
        <w:t xml:space="preserve"> </w:t>
      </w:r>
      <w:r w:rsidR="00707AB5" w:rsidRPr="00707AB5">
        <w:t>by the controller or by a third party</w:t>
      </w:r>
      <w:r w:rsidR="00707AB5">
        <w:t>.</w:t>
      </w:r>
    </w:p>
    <w:p w14:paraId="39389150" w14:textId="77777777" w:rsidR="00945C66" w:rsidRDefault="00945C66" w:rsidP="009F29FE">
      <w:pPr>
        <w:jc w:val="both"/>
      </w:pPr>
    </w:p>
    <w:p w14:paraId="50631757" w14:textId="7D6B9A4D" w:rsidR="00945C66" w:rsidRPr="007555E4" w:rsidRDefault="00313CE9" w:rsidP="00945C66">
      <w:pPr>
        <w:jc w:val="both"/>
        <w:rPr>
          <w:lang w:val="sv-SE"/>
        </w:rPr>
      </w:pPr>
      <w:r>
        <w:t xml:space="preserve">Even if the processing in question fulfills the principles and conditions outlined </w:t>
      </w:r>
      <w:r w:rsidR="00465C82">
        <w:t>in</w:t>
      </w:r>
      <w:r>
        <w:t xml:space="preserve"> section 3, one must</w:t>
      </w:r>
      <w:r w:rsidR="00185760">
        <w:t xml:space="preserve"> </w:t>
      </w:r>
      <w:r w:rsidR="00AA526C">
        <w:t>also consider if special categories of personal data will be processed</w:t>
      </w:r>
      <w:r w:rsidR="00E442D5">
        <w:t xml:space="preserve"> (see Articles 9-10</w:t>
      </w:r>
      <w:r w:rsidR="0071154D">
        <w:t xml:space="preserve"> and 87</w:t>
      </w:r>
      <w:r w:rsidR="00E442D5">
        <w:t>)</w:t>
      </w:r>
      <w:r w:rsidR="0071154D">
        <w:t>.</w:t>
      </w:r>
      <w:r w:rsidR="00EF0CB1">
        <w:t xml:space="preserve"> The </w:t>
      </w:r>
      <w:r w:rsidR="00762B7F">
        <w:t>GDPR</w:t>
      </w:r>
      <w:r w:rsidR="00EF0CB1">
        <w:t xml:space="preserve"> furthermore requires the controller to take appropriate measures to ensure that the rights of the data subject are </w:t>
      </w:r>
      <w:r w:rsidR="000726CC">
        <w:t>safeguarded</w:t>
      </w:r>
      <w:r w:rsidR="00B454FA">
        <w:t xml:space="preserve"> (see Articles</w:t>
      </w:r>
      <w:r w:rsidR="000D2E4D">
        <w:t xml:space="preserve"> 12-20</w:t>
      </w:r>
      <w:r w:rsidR="00B454FA">
        <w:t>)</w:t>
      </w:r>
      <w:r w:rsidR="00EF0CB1">
        <w:t>.</w:t>
      </w:r>
      <w:r w:rsidR="000B26CE">
        <w:t xml:space="preserve"> Provisions detailing</w:t>
      </w:r>
      <w:r w:rsidR="005F045C">
        <w:t xml:space="preserve"> </w:t>
      </w:r>
      <w:r w:rsidR="00851621">
        <w:t xml:space="preserve">the </w:t>
      </w:r>
      <w:r w:rsidR="005F045C">
        <w:t>right to compensation and liability as well as the general conditions for</w:t>
      </w:r>
      <w:r w:rsidR="00430265">
        <w:t xml:space="preserve"> imposing administrative </w:t>
      </w:r>
      <w:r w:rsidR="00F205A8">
        <w:t>fines</w:t>
      </w:r>
      <w:r w:rsidR="00430265">
        <w:t xml:space="preserve"> may moreover be found in Articles 82 and 83</w:t>
      </w:r>
      <w:r w:rsidR="00832518">
        <w:t xml:space="preserve"> of the GDPR</w:t>
      </w:r>
      <w:r w:rsidR="00430265">
        <w:t>, respectively.</w:t>
      </w:r>
    </w:p>
    <w:p w14:paraId="5B5A4F32" w14:textId="4A2B7D02" w:rsidR="005A25D2" w:rsidRPr="007555E4" w:rsidRDefault="005A25D2" w:rsidP="009F29FE">
      <w:pPr>
        <w:jc w:val="both"/>
        <w:rPr>
          <w:lang w:val="sv-SE"/>
        </w:rPr>
      </w:pPr>
    </w:p>
    <w:sectPr w:rsidR="005A25D2" w:rsidRPr="007555E4" w:rsidSect="009F436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7B9ACA" w14:textId="77777777" w:rsidR="00756F1A" w:rsidRDefault="00756F1A" w:rsidP="00A131A4">
      <w:r>
        <w:separator/>
      </w:r>
    </w:p>
  </w:endnote>
  <w:endnote w:type="continuationSeparator" w:id="0">
    <w:p w14:paraId="3CE3A032" w14:textId="77777777" w:rsidR="00756F1A" w:rsidRDefault="00756F1A" w:rsidP="00A13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AA4431" w14:textId="77777777" w:rsidR="00756F1A" w:rsidRDefault="00756F1A" w:rsidP="00A131A4">
      <w:r>
        <w:separator/>
      </w:r>
    </w:p>
  </w:footnote>
  <w:footnote w:type="continuationSeparator" w:id="0">
    <w:p w14:paraId="72463D0C" w14:textId="77777777" w:rsidR="00756F1A" w:rsidRDefault="00756F1A" w:rsidP="00A131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BD52E5"/>
    <w:multiLevelType w:val="hybridMultilevel"/>
    <w:tmpl w:val="18A02CCC"/>
    <w:lvl w:ilvl="0" w:tplc="DE04FFA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F4C028F"/>
    <w:multiLevelType w:val="hybridMultilevel"/>
    <w:tmpl w:val="FC108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CA"/>
    <w:rsid w:val="000026C7"/>
    <w:rsid w:val="00002CDC"/>
    <w:rsid w:val="00004EDA"/>
    <w:rsid w:val="000726CC"/>
    <w:rsid w:val="000A3CF8"/>
    <w:rsid w:val="000B26CE"/>
    <w:rsid w:val="000D2E4D"/>
    <w:rsid w:val="000F7F23"/>
    <w:rsid w:val="00140655"/>
    <w:rsid w:val="00154D66"/>
    <w:rsid w:val="00180618"/>
    <w:rsid w:val="00180FCC"/>
    <w:rsid w:val="00185760"/>
    <w:rsid w:val="00191D87"/>
    <w:rsid w:val="001B02AA"/>
    <w:rsid w:val="001D4326"/>
    <w:rsid w:val="00220B54"/>
    <w:rsid w:val="002602DE"/>
    <w:rsid w:val="0026211C"/>
    <w:rsid w:val="0026228E"/>
    <w:rsid w:val="00297A8F"/>
    <w:rsid w:val="002C541A"/>
    <w:rsid w:val="002F33F6"/>
    <w:rsid w:val="00313CE9"/>
    <w:rsid w:val="003161AC"/>
    <w:rsid w:val="00397825"/>
    <w:rsid w:val="003D0F1E"/>
    <w:rsid w:val="003D58DF"/>
    <w:rsid w:val="003E5CE3"/>
    <w:rsid w:val="00410F81"/>
    <w:rsid w:val="00430265"/>
    <w:rsid w:val="00435D52"/>
    <w:rsid w:val="004420F2"/>
    <w:rsid w:val="00447461"/>
    <w:rsid w:val="00465C82"/>
    <w:rsid w:val="004A48DA"/>
    <w:rsid w:val="004C2CA1"/>
    <w:rsid w:val="004D374C"/>
    <w:rsid w:val="004F68F5"/>
    <w:rsid w:val="00511849"/>
    <w:rsid w:val="00524F22"/>
    <w:rsid w:val="005268C5"/>
    <w:rsid w:val="00590CCF"/>
    <w:rsid w:val="005A2045"/>
    <w:rsid w:val="005A25D2"/>
    <w:rsid w:val="005B3308"/>
    <w:rsid w:val="005D04F6"/>
    <w:rsid w:val="005F045C"/>
    <w:rsid w:val="005F08D9"/>
    <w:rsid w:val="00642ACE"/>
    <w:rsid w:val="00646A92"/>
    <w:rsid w:val="00653B66"/>
    <w:rsid w:val="00676092"/>
    <w:rsid w:val="00681D00"/>
    <w:rsid w:val="006A529A"/>
    <w:rsid w:val="006B0B4C"/>
    <w:rsid w:val="006B20AF"/>
    <w:rsid w:val="006D1A64"/>
    <w:rsid w:val="006F3BE0"/>
    <w:rsid w:val="00707AB5"/>
    <w:rsid w:val="007105C4"/>
    <w:rsid w:val="0071154D"/>
    <w:rsid w:val="00712671"/>
    <w:rsid w:val="00723C29"/>
    <w:rsid w:val="007435FB"/>
    <w:rsid w:val="007555E4"/>
    <w:rsid w:val="00756F1A"/>
    <w:rsid w:val="00762B7F"/>
    <w:rsid w:val="007D5317"/>
    <w:rsid w:val="007E152E"/>
    <w:rsid w:val="00802A90"/>
    <w:rsid w:val="00832518"/>
    <w:rsid w:val="00837B98"/>
    <w:rsid w:val="00851621"/>
    <w:rsid w:val="00890044"/>
    <w:rsid w:val="0090708D"/>
    <w:rsid w:val="00945C66"/>
    <w:rsid w:val="009C09A9"/>
    <w:rsid w:val="009E40EA"/>
    <w:rsid w:val="009F29FE"/>
    <w:rsid w:val="009F4368"/>
    <w:rsid w:val="00A00E66"/>
    <w:rsid w:val="00A04BE9"/>
    <w:rsid w:val="00A06B4E"/>
    <w:rsid w:val="00A131A4"/>
    <w:rsid w:val="00A51189"/>
    <w:rsid w:val="00A854D1"/>
    <w:rsid w:val="00AA526C"/>
    <w:rsid w:val="00AA7688"/>
    <w:rsid w:val="00AE12AE"/>
    <w:rsid w:val="00AE4521"/>
    <w:rsid w:val="00B454FA"/>
    <w:rsid w:val="00B63D5C"/>
    <w:rsid w:val="00B642AF"/>
    <w:rsid w:val="00B77F41"/>
    <w:rsid w:val="00B81613"/>
    <w:rsid w:val="00BA1FCC"/>
    <w:rsid w:val="00BE0A07"/>
    <w:rsid w:val="00BF1114"/>
    <w:rsid w:val="00BF2601"/>
    <w:rsid w:val="00C727EE"/>
    <w:rsid w:val="00C7448E"/>
    <w:rsid w:val="00C84DFD"/>
    <w:rsid w:val="00D16B7B"/>
    <w:rsid w:val="00D33A19"/>
    <w:rsid w:val="00D36AF4"/>
    <w:rsid w:val="00D62E87"/>
    <w:rsid w:val="00DA7362"/>
    <w:rsid w:val="00DB52E0"/>
    <w:rsid w:val="00DE5E16"/>
    <w:rsid w:val="00DE6FE9"/>
    <w:rsid w:val="00E2144F"/>
    <w:rsid w:val="00E442D5"/>
    <w:rsid w:val="00E449EC"/>
    <w:rsid w:val="00E74986"/>
    <w:rsid w:val="00E81BCA"/>
    <w:rsid w:val="00E97D61"/>
    <w:rsid w:val="00EA3273"/>
    <w:rsid w:val="00EB79F6"/>
    <w:rsid w:val="00ED4C13"/>
    <w:rsid w:val="00EE15FC"/>
    <w:rsid w:val="00EF0CB1"/>
    <w:rsid w:val="00F16C22"/>
    <w:rsid w:val="00F205A8"/>
    <w:rsid w:val="00F20F80"/>
    <w:rsid w:val="00F57946"/>
    <w:rsid w:val="00FA6D45"/>
    <w:rsid w:val="00FB23DC"/>
    <w:rsid w:val="00FD3374"/>
    <w:rsid w:val="00FF6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EAC0"/>
  <w15:chartTrackingRefBased/>
  <w15:docId w15:val="{9868AC63-1968-E149-B792-56F9E00F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131A4"/>
    <w:rPr>
      <w:sz w:val="20"/>
      <w:szCs w:val="20"/>
    </w:rPr>
  </w:style>
  <w:style w:type="character" w:customStyle="1" w:styleId="FootnoteTextChar">
    <w:name w:val="Footnote Text Char"/>
    <w:basedOn w:val="DefaultParagraphFont"/>
    <w:link w:val="FootnoteText"/>
    <w:uiPriority w:val="99"/>
    <w:semiHidden/>
    <w:rsid w:val="00A131A4"/>
    <w:rPr>
      <w:sz w:val="20"/>
      <w:szCs w:val="20"/>
    </w:rPr>
  </w:style>
  <w:style w:type="character" w:styleId="FootnoteReference">
    <w:name w:val="footnote reference"/>
    <w:basedOn w:val="DefaultParagraphFont"/>
    <w:uiPriority w:val="99"/>
    <w:semiHidden/>
    <w:unhideWhenUsed/>
    <w:rsid w:val="00A131A4"/>
    <w:rPr>
      <w:vertAlign w:val="superscript"/>
    </w:rPr>
  </w:style>
  <w:style w:type="paragraph" w:styleId="ListParagraph">
    <w:name w:val="List Paragraph"/>
    <w:basedOn w:val="Normal"/>
    <w:uiPriority w:val="34"/>
    <w:qFormat/>
    <w:rsid w:val="00191D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5EDB5-5432-4C8E-A8C5-E7A842D8B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marcus.granlund@gmail.com</dc:creator>
  <cp:keywords/>
  <dc:description/>
  <cp:lastModifiedBy>Alexander A</cp:lastModifiedBy>
  <cp:revision>194</cp:revision>
  <dcterms:created xsi:type="dcterms:W3CDTF">2019-09-04T12:21:00Z</dcterms:created>
  <dcterms:modified xsi:type="dcterms:W3CDTF">2020-05-10T13:47:00Z</dcterms:modified>
</cp:coreProperties>
</file>