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Setting Up Clients in Google Analytics 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 MASTER- Client Onboarding- Systems Vault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https://analytics.google.com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SN Master: Client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Configure Analytics to display Demographics and Interests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ease of use when monitoring client’s analytics on a monthly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analytics accounts are shared with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team@sarahnoked.com</w:t>
        </w:r>
      </w:hyperlink>
      <w:r w:rsidDel="00000000" w:rsidR="00000000" w:rsidRPr="00000000">
        <w:rPr>
          <w:sz w:val="24"/>
          <w:szCs w:val="24"/>
          <w:rtl w:val="0"/>
        </w:rPr>
        <w:t xml:space="preserve"> and their designated OBM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client has </w:t>
      </w:r>
      <w:r w:rsidDel="00000000" w:rsidR="00000000" w:rsidRPr="00000000">
        <w:rPr>
          <w:sz w:val="24"/>
          <w:szCs w:val="24"/>
          <w:rtl w:val="0"/>
        </w:rPr>
        <w:t xml:space="preserve">Google Analytics</w:t>
      </w:r>
      <w:r w:rsidDel="00000000" w:rsidR="00000000" w:rsidRPr="00000000">
        <w:rPr>
          <w:sz w:val="24"/>
          <w:szCs w:val="24"/>
          <w:rtl w:val="0"/>
        </w:rPr>
        <w:t xml:space="preserve"> set up already, they will share with us.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clients without Google Analytics or new websites, we will set up their GA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clients should have the Sarah Noked Master Dashboard on their Google Analytics for EACH of their websites</w:t>
        <w:br w:type="textWrapping"/>
        <w:br w:type="textWrapping"/>
      </w: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Part 1: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Start a new Google Analytics account or adding a new website to an existing account (skip this if not needed)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Part 2: Import dashboards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Start a new Google Analytics account or adding a new website to an existing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in to team@sarahnoked.com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 http://www.google.com/analytics/</w:t>
        </w:r>
      </w:hyperlink>
      <w:r w:rsidDel="00000000" w:rsidR="00000000" w:rsidRPr="00000000">
        <w:rPr>
          <w:sz w:val="24"/>
          <w:szCs w:val="24"/>
          <w:rtl w:val="0"/>
        </w:rPr>
        <w:t xml:space="preserve"> and click on “Access Google Analytics”.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client does not yet have a Google Analytics account</w:t>
      </w:r>
      <w:r w:rsidDel="00000000" w:rsidR="00000000" w:rsidRPr="00000000">
        <w:rPr>
          <w:sz w:val="24"/>
          <w:szCs w:val="24"/>
          <w:rtl w:val="0"/>
        </w:rPr>
        <w:t xml:space="preserve">, click on ‘Admin’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8409" cy="3476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409" cy="34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&gt; ‘Account’ &gt; in the menu ‘Create a new account’.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2925" cy="4295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account name, website name and put in the client’s website url (without the http://www). Unless otherwise specified this field is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Client’s Name- Business Name.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44981" cy="33956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4981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‘Create Account’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website tracking code, paste it in a ‘text edit’/plain text file and assign to our developer to add this to the header code of the client’s website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PROBE: Once the developer replies that the client’s website has started tracking, enter Google Analytics &gt; Client &gt; All Web Site Data &gt; Reporting &gt; Audience &gt; Overview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there are up to date metrics being tracked.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access to the client’s preferred email address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Import Dashboards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client website, click on “Dashboards” and then “+ New Dashboard”.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85900" cy="485775"/>
            <wp:effectExtent b="0" l="0" r="0" t="0"/>
            <wp:docPr descr="Screen Shot 2015-08-25 at 11.00.57 PM.png" id="2" name="image2.png"/>
            <a:graphic>
              <a:graphicData uri="http://schemas.openxmlformats.org/drawingml/2006/picture">
                <pic:pic>
                  <pic:nvPicPr>
                    <pic:cNvPr descr="Screen Shot 2015-08-25 at 11.00.57 PM.png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search bar enter the desired dashboard’s name. The dashboards we work with are: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Sarah Noked Master Dashboard-</w:t>
      </w:r>
      <w:r w:rsidDel="00000000" w:rsidR="00000000" w:rsidRPr="00000000">
        <w:rPr>
          <w:sz w:val="24"/>
          <w:szCs w:val="24"/>
          <w:rtl w:val="0"/>
        </w:rPr>
        <w:t xml:space="preserve"> unless specified differently, this is the only dashboard we will be working with.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import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you will be checking “All Web Site Data” for the correct client.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1613" cy="26583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658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title of the dashboard so it includes the correct website</w:t>
      </w:r>
      <w:r w:rsidDel="00000000" w:rsidR="00000000" w:rsidRPr="00000000">
        <w:rPr>
          <w:sz w:val="24"/>
          <w:szCs w:val="24"/>
          <w:rtl w:val="0"/>
        </w:rPr>
        <w:t xml:space="preserve"> under this format: Sarah Noked Master Dashboard: Website Name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Created by: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Delivery</w:t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Revised: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Revised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spacing w:after="200" w:line="240" w:lineRule="auto"/>
      <w:ind w:right="115"/>
      <w:jc w:val="center"/>
      <w:rPr>
        <w:rFonts w:ascii="Raleway" w:cs="Raleway" w:eastAsia="Raleway" w:hAnsi="Raleway"/>
        <w:color w:val="f37c75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oogle.com/analytics/" TargetMode="External"/><Relationship Id="rId10" Type="http://schemas.openxmlformats.org/officeDocument/2006/relationships/hyperlink" Target="mailto:team@sarahnoked.com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port.google.com/analytics/answer/2799357?hl=en&amp;utm_id=ad&amp;visit_id=1-636214677437186115-2307205326&amp;rd=1#configure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15rYHmTzGFdfzso_DxqyYtqkFcpNlM8DWo4YLwYBn4/edit?usp=sharing" TargetMode="External"/><Relationship Id="rId7" Type="http://schemas.openxmlformats.org/officeDocument/2006/relationships/hyperlink" Target="https://analytics.google.com" TargetMode="External"/><Relationship Id="rId8" Type="http://schemas.openxmlformats.org/officeDocument/2006/relationships/hyperlink" Target="https://docs.google.com/spreadsheets/d/1jHG9MEvCmCceeMhdQoOiuUFtzoz0OX240_Fw3Km_i98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