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numbering.xml.rels" ContentType="application/vnd.openxmlformats-package.relationships+xml"/>
  <Override PartName="/word/_rels/document.xml.rels" ContentType="application/vnd.openxmlformats-package.relationships+xml"/>
  <Override PartName="/word/_rels/footer2.xml.rels" ContentType="application/vnd.openxmlformats-package.relationships+xml"/>
  <Override PartName="/word/_rels/header1.xml.rels" ContentType="application/vnd.openxmlformats-package.relationships+xml"/>
  <Override PartName="/word/_rels/header3.xml.rels" ContentType="application/vnd.openxmlformats-package.relationships+xml"/>
  <Override PartName="/word/_rels/footer4.xml.rels" ContentType="application/vnd.openxmlformats-package.relationships+xml"/>
  <Override PartName="/word/footer5.xml" ContentType="application/vnd.openxmlformats-officedocument.wordprocessingml.footer+xml"/>
  <Override PartName="/word/media/image1.jpeg" ContentType="image/jpeg"/>
  <Override PartName="/word/media/image2.jpeg" ContentType="image/jpeg"/>
  <Override PartName="/word/media/image4.png" ContentType="image/png"/>
  <Override PartName="/word/media/image3.png" ContentType="image/png"/>
  <Override PartName="/word/media/image5.png" ContentType="image/png"/>
  <Override PartName="/word/media/image6.jpeg" ContentType="image/jpeg"/>
  <Override PartName="/word/media/image7.jpeg" ContentType="image/jpeg"/>
  <Override PartName="/word/header4.xml" ContentType="application/vnd.openxmlformats-officedocument.wordprocessingml.header+xml"/>
  <Override PartName="/word/footer1.xml" ContentType="application/vnd.openxmlformats-officedocument.wordprocessingml.footer+xml"/>
  <Override PartName="/word/glossary/_rels/document.xml.rels" ContentType="application/vnd.openxmlformats-package.relationships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5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sectPr>
          <w:headerReference w:type="even" r:id="rId2"/>
          <w:headerReference w:type="default" r:id="rId3"/>
          <w:headerReference w:type="first" r:id="rId4"/>
          <w:footerReference w:type="even" r:id="rId5"/>
          <w:footerReference w:type="default" r:id="rId6"/>
          <w:footerReference w:type="first" r:id="rId7"/>
          <w:type w:val="nextPage"/>
          <w:pgSz w:w="11906" w:h="16838"/>
          <w:pgMar w:left="964" w:right="964" w:gutter="0" w:header="0" w:top="2268" w:footer="2268" w:bottom="2325"/>
          <w:pgNumType w:fmt="decimal"/>
          <w:formProt w:val="false"/>
          <w:titlePg/>
          <w:textDirection w:val="lrTb"/>
          <w:docGrid w:type="default" w:linePitch="600" w:charSpace="49152"/>
        </w:sectPr>
        <w:pStyle w:val="Normal"/>
        <w:spacing w:before="4535" w:after="0"/>
        <w:jc w:val="center"/>
        <w:rPr/>
      </w:pPr>
      <w:r>
        <w:rPr>
          <w:rFonts w:ascii="Arial" w:hAnsi="Arial"/>
          <w:b/>
          <w:color w:val="003A76"/>
          <w:sz w:val="48"/>
        </w:rPr>
        <w:t>DOSSIER DES CONSIGNES D’EXPLOITATION</w:t>
        <w:br/>
      </w:r>
      <w:r>
        <w:rPr>
          <w:rFonts w:ascii="Arial" w:hAnsi="Arial"/>
          <w:b/>
          <w:color w:val="4472C4"/>
          <w:sz w:val="64"/>
        </w:rPr>
        <w:t>SIB WORK</w:t>
        <w:br/>
      </w:r>
      <w:r>
        <w:rPr>
          <w:rFonts w:ascii="Arial" w:hAnsi="Arial"/>
          <w:color w:val="404040"/>
          <w:sz w:val="32"/>
        </w:rPr>
        <w:t>Transfert vers l’infrastructure OFB</w:t>
        <w:br/>
        <w:br/>
      </w:r>
      <w:r>
        <w:rPr>
          <w:rFonts w:ascii="Arial" w:hAnsi="Arial"/>
          <w:color w:val="595959"/>
          <w:sz w:val="20"/>
        </w:rPr>
        <w:t>Version 0.1 – 15/09/2026</w:t>
        <w:br/>
        <w:t>OFB-DSI-TRANS-DEX-SIBWORK-2026-001</w:t>
      </w:r>
    </w:p>
    <w:p>
      <w:pPr>
        <w:pStyle w:val="Normal"/>
        <w:rPr/>
      </w:pPr>
      <w:r>
        <w:rPr>
          <w:rStyle w:val="IntenseReference"/>
          <w:rFonts w:ascii="Arial" w:hAnsi="Arial"/>
          <w:sz w:val="19"/>
          <w:u w:val="single"/>
        </w:rPr>
        <w:t>Identification</w:t>
      </w:r>
    </w:p>
    <w:tbl>
      <w:tblPr>
        <w:tblStyle w:val="TableauGrille4-Accentuation1"/>
        <w:tblW w:w="9061" w:type="dxa"/>
        <w:jc w:val="left"/>
        <w:tblInd w:w="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Look w:val="04a0" w:noHBand="0" w:noVBand="1" w:firstColumn="1" w:lastRow="0" w:lastColumn="0" w:firstRow="1"/>
      </w:tblPr>
      <w:tblGrid>
        <w:gridCol w:w="1271"/>
        <w:gridCol w:w="7789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271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fill="D9EAF7"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SimSun" w:cs="Mangal"/>
                <w:b/>
                <w:bCs/>
                <w:color w:themeColor="background1" w:val="99D4FC"/>
                <w:kern w:val="2"/>
                <w:sz w:val="20"/>
                <w:szCs w:val="20"/>
                <w:lang w:val="fr-FR" w:eastAsia="zh-CN" w:bidi="hi-IN"/>
              </w:rPr>
            </w:pPr>
            <w:r>
              <w:rPr>
                <w:rFonts w:eastAsia="SimSun" w:cs="Mangal" w:ascii="Arial" w:hAnsi="Arial"/>
                <w:b/>
                <w:bCs/>
                <w:color w:themeColor="background1" w:val="99D4FC"/>
                <w:kern w:val="2"/>
                <w:sz w:val="17"/>
                <w:szCs w:val="20"/>
                <w:lang w:val="fr-FR" w:eastAsia="zh-CN" w:bidi="hi-IN"/>
              </w:rPr>
              <w:t>Référence</w:t>
            </w:r>
          </w:p>
        </w:tc>
        <w:tc>
          <w:tcPr>
            <w:tcW w:w="7789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color="auto" w:fill="4472C4" w:themeFill="accent1" w:val="clear"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SimSun" w:cs="Mangal"/>
                <w:b/>
                <w:bCs/>
                <w:color w:themeColor="background1" w:val="99D4FC"/>
                <w:kern w:val="2"/>
                <w:sz w:val="20"/>
                <w:szCs w:val="20"/>
                <w:lang w:val="fr-FR" w:eastAsia="zh-CN" w:bidi="hi-IN"/>
              </w:rPr>
            </w:pPr>
            <w:r>
              <w:rPr>
                <w:rFonts w:eastAsia="SimSun" w:cs="Mangal" w:ascii="Arial" w:hAnsi="Arial"/>
                <w:b w:val="false"/>
                <w:bCs/>
                <w:color w:themeColor="background1" w:val="99D4FC"/>
                <w:kern w:val="2"/>
                <w:sz w:val="17"/>
                <w:szCs w:val="20"/>
                <w:lang w:val="fr-FR" w:eastAsia="zh-CN" w:bidi="hi-IN"/>
              </w:rPr>
              <w:t>OFB-DSI-TRANS-DEX-SIBWORK-2026-001</w:t>
            </w:r>
          </w:p>
        </w:tc>
      </w:tr>
      <w:tr>
        <w:trPr>
          <w:trHeight w:val="75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271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fill="D9EAF7"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SimSun" w:cs="Mangal"/>
                <w:b/>
                <w:bCs/>
                <w:kern w:val="2"/>
                <w:sz w:val="20"/>
                <w:szCs w:val="20"/>
                <w:lang w:val="fr-FR" w:eastAsia="zh-CN" w:bidi="hi-IN"/>
              </w:rPr>
            </w:pPr>
            <w:r>
              <w:rPr>
                <w:rFonts w:eastAsia="SimSun" w:cs="Mangal" w:ascii="Arial" w:hAnsi="Arial"/>
                <w:b/>
                <w:bCs/>
                <w:kern w:val="2"/>
                <w:sz w:val="17"/>
                <w:szCs w:val="20"/>
                <w:lang w:val="fr-FR" w:eastAsia="zh-CN" w:bidi="hi-IN"/>
              </w:rPr>
              <w:t>Sujet</w:t>
            </w:r>
          </w:p>
        </w:tc>
        <w:tc>
          <w:tcPr>
            <w:tcW w:w="7789" w:type="dxa"/>
            <w:tcBorders/>
            <w:shd w:color="auto" w:fill="D9E2F3" w:themeFill="accent1" w:themeFillTint="33" w:val="clear"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SimSun" w:cs="Mangal"/>
                <w:kern w:val="2"/>
                <w:sz w:val="20"/>
                <w:szCs w:val="20"/>
                <w:lang w:val="fr-FR" w:eastAsia="zh-CN" w:bidi="hi-IN"/>
              </w:rPr>
            </w:pPr>
            <w:r>
              <w:rPr>
                <w:rFonts w:eastAsia="SimSun" w:cs="Mangal" w:ascii="Arial" w:hAnsi="Arial"/>
                <w:b w:val="false"/>
                <w:kern w:val="2"/>
                <w:sz w:val="17"/>
                <w:szCs w:val="20"/>
                <w:lang w:val="fr-FR" w:eastAsia="zh-CN" w:bidi="hi-IN"/>
              </w:rPr>
              <w:t>Dossier des consignes d’exploitation – SIB Work</w:t>
            </w:r>
          </w:p>
        </w:tc>
      </w:tr>
      <w:tr>
        <w:trPr>
          <w:trHeight w:val="75" w:hRule="atLeast"/>
        </w:trPr>
        <w:tc>
          <w:tcPr>
            <w:tcW w:w="1271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fill="D9EAF7"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SimSun" w:cs="Mangal"/>
                <w:b/>
                <w:bCs/>
                <w:kern w:val="2"/>
                <w:sz w:val="20"/>
                <w:szCs w:val="20"/>
                <w:lang w:val="fr-FR" w:eastAsia="zh-CN" w:bidi="hi-IN"/>
              </w:rPr>
            </w:pPr>
            <w:r>
              <w:rPr>
                <w:rFonts w:eastAsia="SimSun" w:cs="Mangal" w:ascii="Arial" w:hAnsi="Arial"/>
                <w:b/>
                <w:bCs/>
                <w:kern w:val="2"/>
                <w:sz w:val="17"/>
                <w:szCs w:val="20"/>
                <w:lang w:val="fr-FR" w:eastAsia="zh-CN" w:bidi="hi-IN"/>
              </w:rPr>
              <w:t>Émetteur</w:t>
            </w:r>
          </w:p>
        </w:tc>
        <w:tc>
          <w:tcPr>
            <w:tcW w:w="7789" w:type="dxa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SimSun" w:cs="Mangal"/>
                <w:kern w:val="2"/>
                <w:sz w:val="20"/>
                <w:szCs w:val="20"/>
                <w:lang w:val="fr-FR" w:eastAsia="zh-CN" w:bidi="hi-IN"/>
              </w:rPr>
            </w:pPr>
            <w:r>
              <w:rPr>
                <w:rFonts w:eastAsia="SimSun" w:cs="Mangal" w:ascii="Arial" w:hAnsi="Arial"/>
                <w:b w:val="false"/>
                <w:kern w:val="2"/>
                <w:sz w:val="17"/>
                <w:szCs w:val="20"/>
                <w:lang w:val="fr-FR" w:eastAsia="zh-CN" w:bidi="hi-IN"/>
              </w:rPr>
              <w:t>OFB – DSI / projet SIB Work</w:t>
            </w:r>
          </w:p>
        </w:tc>
      </w:tr>
      <w:tr>
        <w:trPr>
          <w:trHeight w:val="75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271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fill="D9EAF7"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SimSun" w:cs="Mangal"/>
                <w:b/>
                <w:bCs/>
                <w:kern w:val="2"/>
                <w:sz w:val="20"/>
                <w:szCs w:val="20"/>
                <w:lang w:val="fr-FR" w:eastAsia="zh-CN" w:bidi="hi-IN"/>
              </w:rPr>
            </w:pPr>
            <w:r>
              <w:rPr>
                <w:rFonts w:eastAsia="SimSun" w:cs="Mangal" w:ascii="Arial" w:hAnsi="Arial"/>
                <w:b/>
                <w:bCs/>
                <w:kern w:val="2"/>
                <w:sz w:val="17"/>
                <w:szCs w:val="20"/>
                <w:lang w:val="fr-FR" w:eastAsia="zh-CN" w:bidi="hi-IN"/>
              </w:rPr>
              <w:t>Statut</w:t>
            </w:r>
          </w:p>
        </w:tc>
        <w:tc>
          <w:tcPr>
            <w:tcW w:w="7789" w:type="dxa"/>
            <w:tcBorders/>
            <w:shd w:color="auto" w:fill="D9E2F3" w:themeFill="accent1" w:themeFillTint="33" w:val="clear"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SimSun" w:cs="Mangal"/>
                <w:kern w:val="2"/>
                <w:sz w:val="20"/>
                <w:szCs w:val="20"/>
                <w:lang w:val="fr-FR" w:eastAsia="zh-CN" w:bidi="hi-IN"/>
              </w:rPr>
            </w:pPr>
            <w:r>
              <w:rPr>
                <w:rFonts w:eastAsia="SimSun" w:cs="Mangal" w:ascii="Arial" w:hAnsi="Arial"/>
                <w:b w:val="false"/>
                <w:kern w:val="2"/>
                <w:sz w:val="17"/>
                <w:szCs w:val="20"/>
                <w:lang w:val="fr-FR" w:eastAsia="zh-CN" w:bidi="hi-IN"/>
              </w:rPr>
              <w:t>Projet initial à relire par SPED et Infrastructure exploitation</w:t>
            </w:r>
          </w:p>
        </w:tc>
      </w:tr>
      <w:tr>
        <w:trPr/>
        <w:tc>
          <w:tcPr>
            <w:tcW w:w="1271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fill="D9EAF7"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SimSun" w:cs="Mangal"/>
                <w:b/>
                <w:bCs/>
                <w:kern w:val="2"/>
                <w:sz w:val="20"/>
                <w:szCs w:val="20"/>
                <w:lang w:val="fr-FR" w:eastAsia="zh-CN" w:bidi="hi-IN"/>
              </w:rPr>
            </w:pPr>
            <w:r>
              <w:rPr>
                <w:rFonts w:eastAsia="SimSun" w:cs="Mangal" w:ascii="Arial" w:hAnsi="Arial"/>
                <w:b/>
                <w:bCs/>
                <w:kern w:val="2"/>
                <w:sz w:val="17"/>
                <w:szCs w:val="20"/>
                <w:lang w:val="fr-FR" w:eastAsia="zh-CN" w:bidi="hi-IN"/>
              </w:rPr>
              <w:t>Type</w:t>
            </w:r>
          </w:p>
        </w:tc>
        <w:tc>
          <w:tcPr>
            <w:tcW w:w="7789" w:type="dxa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SimSun" w:cs="Mangal"/>
                <w:kern w:val="2"/>
                <w:sz w:val="20"/>
                <w:szCs w:val="20"/>
                <w:lang w:val="fr-FR" w:eastAsia="zh-CN" w:bidi="hi-IN"/>
              </w:rPr>
            </w:pPr>
            <w:r>
              <w:rPr>
                <w:rFonts w:eastAsia="SimSun" w:cs="Mangal" w:ascii="Arial" w:hAnsi="Arial"/>
                <w:b w:val="false"/>
                <w:kern w:val="2"/>
                <w:sz w:val="17"/>
                <w:szCs w:val="20"/>
                <w:lang w:val="fr-FR" w:eastAsia="zh-CN" w:bidi="hi-IN"/>
              </w:rPr>
              <w:t>Création – nouvelle application</w:t>
            </w:r>
          </w:p>
        </w:tc>
      </w:tr>
      <w:tr>
        <w:trPr>
          <w:trHeight w:val="75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271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fill="D9EAF7"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SimSun" w:cs="Mangal"/>
                <w:b/>
                <w:bCs/>
                <w:kern w:val="2"/>
                <w:sz w:val="20"/>
                <w:szCs w:val="20"/>
                <w:lang w:val="fr-FR" w:eastAsia="zh-CN" w:bidi="hi-IN"/>
              </w:rPr>
            </w:pPr>
            <w:r>
              <w:rPr>
                <w:rFonts w:eastAsia="SimSun" w:cs="Mangal" w:ascii="Arial" w:hAnsi="Arial"/>
                <w:b/>
                <w:bCs/>
                <w:kern w:val="2"/>
                <w:sz w:val="17"/>
                <w:szCs w:val="20"/>
                <w:lang w:val="fr-FR" w:eastAsia="zh-CN" w:bidi="hi-IN"/>
              </w:rPr>
              <w:t>Diffusion</w:t>
            </w:r>
          </w:p>
        </w:tc>
        <w:tc>
          <w:tcPr>
            <w:tcW w:w="7789" w:type="dxa"/>
            <w:tcBorders/>
            <w:shd w:color="auto" w:fill="D9E2F3" w:themeFill="accent1" w:themeFillTint="33" w:val="clear"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SimSun" w:cs="Mangal"/>
                <w:kern w:val="2"/>
                <w:sz w:val="20"/>
                <w:szCs w:val="20"/>
                <w:lang w:val="fr-FR" w:eastAsia="zh-CN" w:bidi="hi-IN"/>
              </w:rPr>
            </w:pPr>
            <w:r>
              <w:rPr>
                <w:rFonts w:eastAsia="SimSun" w:cs="Mangal" w:ascii="Arial" w:hAnsi="Arial"/>
                <w:b w:val="false"/>
                <w:kern w:val="2"/>
                <w:sz w:val="17"/>
                <w:szCs w:val="20"/>
                <w:lang w:val="fr-FR" w:eastAsia="zh-CN" w:bidi="hi-IN"/>
              </w:rPr>
              <w:t xml:space="preserve">☐ </w:t>
            </w:r>
            <w:r>
              <w:rPr>
                <w:rFonts w:eastAsia="SimSun" w:cs="Mangal" w:ascii="Arial" w:hAnsi="Arial"/>
                <w:b w:val="false"/>
                <w:kern w:val="2"/>
                <w:sz w:val="17"/>
                <w:szCs w:val="20"/>
                <w:lang w:val="fr-FR" w:eastAsia="zh-CN" w:bidi="hi-IN"/>
              </w:rPr>
              <w:t>Confidentiel    ☒ Interne    ☐ Libre</w:t>
            </w:r>
          </w:p>
        </w:tc>
      </w:tr>
      <w:tr>
        <w:trPr>
          <w:trHeight w:val="75" w:hRule="atLeast"/>
        </w:trPr>
        <w:tc>
          <w:tcPr>
            <w:tcW w:w="1271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fill="D9EAF7"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SimSun" w:cs="Mangal"/>
                <w:b/>
                <w:bCs/>
                <w:kern w:val="2"/>
                <w:sz w:val="20"/>
                <w:szCs w:val="20"/>
                <w:lang w:val="fr-FR" w:eastAsia="zh-CN" w:bidi="hi-IN"/>
              </w:rPr>
            </w:pPr>
            <w:r>
              <w:rPr>
                <w:rFonts w:eastAsia="SimSun" w:cs="Mangal" w:ascii="Arial" w:hAnsi="Arial"/>
                <w:b/>
                <w:bCs/>
                <w:kern w:val="2"/>
                <w:sz w:val="17"/>
                <w:szCs w:val="20"/>
                <w:lang w:val="fr-FR" w:eastAsia="zh-CN" w:bidi="hi-IN"/>
              </w:rPr>
              <w:t>Fichier</w:t>
            </w:r>
          </w:p>
        </w:tc>
        <w:tc>
          <w:tcPr>
            <w:tcW w:w="7789" w:type="dxa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SimSun" w:cs="Mangal"/>
                <w:kern w:val="2"/>
                <w:sz w:val="20"/>
                <w:szCs w:val="20"/>
                <w:lang w:val="fr-FR" w:eastAsia="zh-CN" w:bidi="hi-IN"/>
              </w:rPr>
            </w:pPr>
            <w:r>
              <w:rPr>
                <w:rFonts w:eastAsia="SimSun" w:cs="Mangal" w:ascii="Arial" w:hAnsi="Arial"/>
                <w:b w:val="false"/>
                <w:kern w:val="2"/>
                <w:sz w:val="17"/>
                <w:szCs w:val="20"/>
                <w:lang w:val="fr-FR" w:eastAsia="zh-CN" w:bidi="hi-IN"/>
              </w:rPr>
              <w:t>OFB-DSI-TRANS-DEX-SIBWORK-v0.1.docx</w:t>
            </w:r>
          </w:p>
        </w:tc>
      </w:tr>
      <w:tr>
        <w:trPr>
          <w:trHeight w:val="75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271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fill="D9EAF7"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SimSun" w:cs="Mangal"/>
                <w:b/>
                <w:bCs/>
                <w:kern w:val="2"/>
                <w:sz w:val="20"/>
                <w:szCs w:val="20"/>
                <w:lang w:val="fr-FR" w:eastAsia="zh-CN" w:bidi="hi-IN"/>
              </w:rPr>
            </w:pPr>
            <w:r>
              <w:rPr>
                <w:rFonts w:eastAsia="SimSun" w:cs="Mangal" w:ascii="Arial" w:hAnsi="Arial"/>
                <w:b/>
                <w:bCs/>
                <w:kern w:val="2"/>
                <w:sz w:val="17"/>
                <w:szCs w:val="20"/>
                <w:lang w:val="fr-FR" w:eastAsia="zh-CN" w:bidi="hi-IN"/>
              </w:rPr>
              <w:t>Date de référence</w:t>
            </w:r>
          </w:p>
        </w:tc>
        <w:tc>
          <w:tcPr>
            <w:tcW w:w="7789" w:type="dxa"/>
            <w:tcBorders/>
            <w:shd w:color="auto" w:fill="D9E2F3" w:themeFill="accent1" w:themeFillTint="33" w:val="clear"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SimSun" w:cs="Mangal"/>
                <w:kern w:val="2"/>
                <w:sz w:val="20"/>
                <w:szCs w:val="20"/>
                <w:lang w:val="fr-FR" w:eastAsia="zh-CN" w:bidi="hi-IN"/>
              </w:rPr>
            </w:pPr>
            <w:r>
              <w:rPr>
                <w:rFonts w:eastAsia="SimSun" w:cs="Mangal" w:ascii="Arial" w:hAnsi="Arial"/>
                <w:b w:val="false"/>
                <w:kern w:val="2"/>
                <w:sz w:val="17"/>
                <w:szCs w:val="20"/>
                <w:lang w:val="fr-FR" w:eastAsia="zh-CN" w:bidi="hi-IN"/>
              </w:rPr>
              <w:t>15/09/2026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  <w:smallCaps/>
          <w:color w:themeColor="accent1" w:val="4472C4"/>
          <w:spacing w:val="5"/>
          <w:u w:val="single"/>
        </w:rPr>
      </w:pPr>
      <w:r>
        <w:rPr>
          <w:rStyle w:val="IntenseReference"/>
          <w:rFonts w:ascii="Arial" w:hAnsi="Arial"/>
          <w:sz w:val="19"/>
          <w:u w:val="single"/>
        </w:rPr>
        <w:t>Responsabilités</w:t>
      </w:r>
    </w:p>
    <w:tbl>
      <w:tblPr>
        <w:tblStyle w:val="TableauGrille4-Accentuation1"/>
        <w:tblW w:w="9061" w:type="dxa"/>
        <w:jc w:val="left"/>
        <w:tblInd w:w="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Look w:val="04a0" w:noHBand="0" w:noVBand="1" w:firstColumn="1" w:lastRow="0" w:lastColumn="0" w:firstRow="1"/>
      </w:tblPr>
      <w:tblGrid>
        <w:gridCol w:w="2265"/>
        <w:gridCol w:w="2265"/>
        <w:gridCol w:w="2265"/>
        <w:gridCol w:w="2265"/>
      </w:tblGrid>
      <w:tr>
        <w:trPr>
          <w:tblHeader w:val="true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65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fill="2F5597"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SimSun" w:cs="Mangal"/>
                <w:b/>
                <w:bCs/>
                <w:color w:themeColor="background1" w:val="99D4FC"/>
                <w:kern w:val="2"/>
                <w:sz w:val="20"/>
                <w:szCs w:val="20"/>
                <w:lang w:val="fr-FR" w:eastAsia="zh-CN" w:bidi="hi-IN"/>
              </w:rPr>
            </w:pPr>
            <w:r>
              <w:rPr>
                <w:rFonts w:eastAsia="SimSun" w:cs="Mangal" w:ascii="Arial" w:hAnsi="Arial"/>
                <w:b/>
                <w:bCs/>
                <w:color w:val="FFFFFF"/>
                <w:kern w:val="2"/>
                <w:sz w:val="16"/>
                <w:szCs w:val="20"/>
                <w:lang w:val="fr-FR" w:eastAsia="zh-CN" w:bidi="hi-IN"/>
              </w:rPr>
              <w:t>Rôle</w:t>
            </w:r>
          </w:p>
        </w:tc>
        <w:tc>
          <w:tcPr>
            <w:tcW w:w="2265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fill="2F5597"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SimSun" w:cs="Mangal"/>
                <w:b/>
                <w:bCs/>
                <w:color w:themeColor="background1" w:val="99D4FC"/>
                <w:kern w:val="2"/>
                <w:sz w:val="20"/>
                <w:szCs w:val="20"/>
                <w:lang w:val="fr-FR" w:eastAsia="zh-CN" w:bidi="hi-IN"/>
              </w:rPr>
            </w:pPr>
            <w:r>
              <w:rPr>
                <w:rFonts w:eastAsia="SimSun" w:cs="Mangal" w:ascii="Arial" w:hAnsi="Arial"/>
                <w:b/>
                <w:bCs/>
                <w:color w:val="FFFFFF"/>
                <w:kern w:val="2"/>
                <w:sz w:val="16"/>
                <w:szCs w:val="20"/>
                <w:lang w:val="fr-FR" w:eastAsia="zh-CN" w:bidi="hi-IN"/>
              </w:rPr>
              <w:t>Nom</w:t>
            </w:r>
          </w:p>
        </w:tc>
        <w:tc>
          <w:tcPr>
            <w:tcW w:w="2265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fill="2F5597"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SimSun" w:cs="Mangal"/>
                <w:b/>
                <w:bCs/>
                <w:color w:themeColor="background1" w:val="99D4FC"/>
                <w:kern w:val="2"/>
                <w:sz w:val="20"/>
                <w:szCs w:val="20"/>
                <w:lang w:val="fr-FR" w:eastAsia="zh-CN" w:bidi="hi-IN"/>
              </w:rPr>
            </w:pPr>
            <w:r>
              <w:rPr>
                <w:rFonts w:eastAsia="SimSun" w:cs="Mangal" w:ascii="Arial" w:hAnsi="Arial"/>
                <w:b/>
                <w:bCs/>
                <w:color w:val="FFFFFF"/>
                <w:kern w:val="2"/>
                <w:sz w:val="16"/>
                <w:szCs w:val="20"/>
                <w:lang w:val="fr-FR" w:eastAsia="zh-CN" w:bidi="hi-IN"/>
              </w:rPr>
              <w:t>Service</w:t>
            </w:r>
          </w:p>
        </w:tc>
        <w:tc>
          <w:tcPr>
            <w:tcW w:w="2265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fill="2F5597"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SimSun" w:cs="Mangal"/>
                <w:b/>
                <w:bCs/>
                <w:color w:themeColor="background1" w:val="99D4FC"/>
                <w:kern w:val="2"/>
                <w:sz w:val="20"/>
                <w:szCs w:val="20"/>
                <w:lang w:val="fr-FR" w:eastAsia="zh-CN" w:bidi="hi-IN"/>
              </w:rPr>
            </w:pPr>
            <w:r>
              <w:rPr>
                <w:rFonts w:eastAsia="SimSun" w:cs="Mangal" w:ascii="Arial" w:hAnsi="Arial"/>
                <w:b/>
                <w:bCs/>
                <w:color w:val="FFFFFF"/>
                <w:kern w:val="2"/>
                <w:sz w:val="16"/>
                <w:szCs w:val="20"/>
                <w:lang w:val="fr-FR" w:eastAsia="zh-CN" w:bidi="hi-IN"/>
              </w:rPr>
              <w:t>Visa et date</w:t>
            </w:r>
          </w:p>
        </w:tc>
      </w:tr>
      <w:tr>
        <w:trPr>
          <w:trHeight w:val="473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265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D9E2F3" w:themeFill="accent1" w:themeFillTint="33" w:val="clear"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SimSun" w:cs="Mangal"/>
                <w:b/>
                <w:bCs/>
                <w:kern w:val="2"/>
                <w:sz w:val="20"/>
                <w:szCs w:val="20"/>
                <w:lang w:val="fr-FR" w:eastAsia="zh-CN" w:bidi="hi-IN"/>
              </w:rPr>
            </w:pPr>
            <w:r>
              <w:rPr>
                <w:rFonts w:eastAsia="SimSun" w:cs="Mangal" w:ascii="Arial" w:hAnsi="Arial"/>
                <w:b w:val="false"/>
                <w:bCs/>
                <w:kern w:val="2"/>
                <w:sz w:val="16"/>
                <w:szCs w:val="20"/>
                <w:lang w:val="fr-FR" w:eastAsia="zh-CN" w:bidi="hi-IN"/>
              </w:rPr>
              <w:t>Rédacteur(s)</w:t>
            </w:r>
          </w:p>
        </w:tc>
        <w:tc>
          <w:tcPr>
            <w:tcW w:w="2265" w:type="dxa"/>
            <w:tcBorders/>
            <w:shd w:color="auto" w:fill="D9E2F3" w:themeFill="accent1" w:themeFillTint="33" w:val="clear"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SimSun" w:cs="Mangal"/>
                <w:kern w:val="2"/>
                <w:sz w:val="20"/>
                <w:szCs w:val="20"/>
                <w:lang w:val="fr-FR" w:eastAsia="zh-CN" w:bidi="hi-IN"/>
              </w:rPr>
            </w:pPr>
            <w:r>
              <w:rPr>
                <w:rFonts w:eastAsia="SimSun" w:cs="Mangal" w:ascii="Arial" w:hAnsi="Arial"/>
                <w:b w:val="false"/>
                <w:kern w:val="2"/>
                <w:sz w:val="16"/>
                <w:szCs w:val="20"/>
                <w:lang w:val="fr-FR" w:eastAsia="zh-CN" w:bidi="hi-IN"/>
              </w:rPr>
              <w:t>À désigner</w:t>
            </w:r>
          </w:p>
        </w:tc>
        <w:tc>
          <w:tcPr>
            <w:tcW w:w="2265" w:type="dxa"/>
            <w:tcBorders/>
            <w:shd w:color="auto" w:fill="D9E2F3" w:themeFill="accent1" w:themeFillTint="33" w:val="clear"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SimSun" w:cs="Mangal"/>
                <w:kern w:val="2"/>
                <w:sz w:val="20"/>
                <w:szCs w:val="20"/>
                <w:lang w:val="fr-FR" w:eastAsia="zh-CN" w:bidi="hi-IN"/>
              </w:rPr>
            </w:pPr>
            <w:r>
              <w:rPr>
                <w:rFonts w:eastAsia="SimSun" w:cs="Mangal" w:ascii="Arial" w:hAnsi="Arial"/>
                <w:b w:val="false"/>
                <w:kern w:val="2"/>
                <w:sz w:val="16"/>
                <w:szCs w:val="20"/>
                <w:lang w:val="fr-FR" w:eastAsia="zh-CN" w:bidi="hi-IN"/>
              </w:rPr>
              <w:t>DSI – SPED (responsable de création selon le processus DEX)</w:t>
            </w:r>
          </w:p>
        </w:tc>
        <w:tc>
          <w:tcPr>
            <w:tcW w:w="2265" w:type="dxa"/>
            <w:tcBorders/>
            <w:shd w:color="auto" w:fill="D9E2F3" w:themeFill="accent1" w:themeFillTint="33" w:val="clear"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SimSun" w:cs="Mangal"/>
                <w:kern w:val="2"/>
                <w:sz w:val="20"/>
                <w:szCs w:val="20"/>
                <w:lang w:val="fr-FR" w:eastAsia="zh-CN" w:bidi="hi-IN"/>
              </w:rPr>
            </w:pPr>
            <w:r>
              <w:rPr>
                <w:rFonts w:eastAsia="SimSun" w:cs="Mangal" w:ascii="Arial" w:hAnsi="Arial"/>
                <w:b w:val="false"/>
                <w:kern w:val="2"/>
                <w:sz w:val="16"/>
                <w:szCs w:val="20"/>
                <w:lang w:val="fr-FR" w:eastAsia="zh-CN" w:bidi="hi-IN"/>
              </w:rPr>
              <w:t>À compléter</w:t>
            </w:r>
          </w:p>
        </w:tc>
      </w:tr>
      <w:tr>
        <w:trPr/>
        <w:tc>
          <w:tcPr>
            <w:tcW w:w="2265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SimSun" w:cs="Mangal"/>
                <w:b/>
                <w:bCs/>
                <w:kern w:val="2"/>
                <w:sz w:val="20"/>
                <w:szCs w:val="20"/>
                <w:lang w:val="fr-FR" w:eastAsia="zh-CN" w:bidi="hi-IN"/>
              </w:rPr>
            </w:pPr>
            <w:r>
              <w:rPr>
                <w:rFonts w:eastAsia="SimSun" w:cs="Mangal" w:ascii="Arial" w:hAnsi="Arial"/>
                <w:b w:val="false"/>
                <w:bCs/>
                <w:kern w:val="2"/>
                <w:sz w:val="16"/>
                <w:szCs w:val="20"/>
                <w:lang w:val="fr-FR" w:eastAsia="zh-CN" w:bidi="hi-IN"/>
              </w:rPr>
              <w:t>Contributeur / demandeur</w:t>
            </w:r>
          </w:p>
        </w:tc>
        <w:tc>
          <w:tcPr>
            <w:tcW w:w="2265" w:type="dxa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SimSun" w:cs="Mangal"/>
                <w:kern w:val="2"/>
                <w:sz w:val="20"/>
                <w:szCs w:val="20"/>
                <w:lang w:val="fr-FR" w:eastAsia="zh-CN" w:bidi="hi-IN"/>
              </w:rPr>
            </w:pPr>
            <w:r>
              <w:rPr>
                <w:rFonts w:eastAsia="SimSun" w:cs="Mangal" w:ascii="Arial" w:hAnsi="Arial"/>
                <w:b w:val="false"/>
                <w:kern w:val="2"/>
                <w:sz w:val="16"/>
                <w:szCs w:val="20"/>
                <w:lang w:val="fr-FR" w:eastAsia="zh-CN" w:bidi="hi-IN"/>
              </w:rPr>
              <w:t>Elio Bottagisio</w:t>
            </w:r>
          </w:p>
        </w:tc>
        <w:tc>
          <w:tcPr>
            <w:tcW w:w="2265" w:type="dxa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SimSun" w:cs="Mangal"/>
                <w:kern w:val="2"/>
                <w:sz w:val="20"/>
                <w:szCs w:val="20"/>
                <w:lang w:val="fr-FR" w:eastAsia="zh-CN" w:bidi="hi-IN"/>
              </w:rPr>
            </w:pPr>
            <w:r>
              <w:rPr>
                <w:rFonts w:eastAsia="SimSun" w:cs="Mangal" w:ascii="Arial" w:hAnsi="Arial"/>
                <w:b w:val="false"/>
                <w:kern w:val="2"/>
                <w:sz w:val="16"/>
                <w:szCs w:val="20"/>
                <w:lang w:val="fr-FR" w:eastAsia="zh-CN" w:bidi="hi-IN"/>
              </w:rPr>
              <w:t>OFB – projet SIB Work</w:t>
            </w:r>
          </w:p>
        </w:tc>
        <w:tc>
          <w:tcPr>
            <w:tcW w:w="2265" w:type="dxa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SimSun" w:cs="Mangal"/>
                <w:kern w:val="2"/>
                <w:sz w:val="20"/>
                <w:szCs w:val="20"/>
                <w:lang w:val="fr-FR" w:eastAsia="zh-CN" w:bidi="hi-IN"/>
              </w:rPr>
            </w:pPr>
            <w:r>
              <w:rPr>
                <w:rFonts w:eastAsia="SimSun" w:cs="Mangal" w:ascii="Arial" w:hAnsi="Arial"/>
                <w:b w:val="false"/>
                <w:kern w:val="2"/>
                <w:sz w:val="16"/>
                <w:szCs w:val="20"/>
                <w:lang w:val="fr-FR" w:eastAsia="zh-CN" w:bidi="hi-IN"/>
              </w:rPr>
              <w:t>À compléter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265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D9E2F3" w:themeFill="accent1" w:themeFillTint="33" w:val="clear"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SimSun" w:cs="Mangal"/>
                <w:b/>
                <w:bCs/>
                <w:kern w:val="2"/>
                <w:sz w:val="20"/>
                <w:szCs w:val="20"/>
                <w:lang w:val="fr-FR" w:eastAsia="zh-CN" w:bidi="hi-IN"/>
              </w:rPr>
            </w:pPr>
            <w:r>
              <w:rPr>
                <w:rFonts w:eastAsia="SimSun" w:cs="Mangal" w:ascii="Arial" w:hAnsi="Arial"/>
                <w:b w:val="false"/>
                <w:bCs/>
                <w:kern w:val="2"/>
                <w:sz w:val="16"/>
                <w:szCs w:val="20"/>
                <w:lang w:val="fr-FR" w:eastAsia="zh-CN" w:bidi="hi-IN"/>
              </w:rPr>
              <w:t>Contributeur / demandeur</w:t>
            </w:r>
          </w:p>
        </w:tc>
        <w:tc>
          <w:tcPr>
            <w:tcW w:w="2265" w:type="dxa"/>
            <w:tcBorders/>
            <w:shd w:color="auto" w:fill="D9E2F3" w:themeFill="accent1" w:themeFillTint="33" w:val="clear"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SimSun" w:cs="Mangal"/>
                <w:kern w:val="2"/>
                <w:sz w:val="20"/>
                <w:szCs w:val="20"/>
                <w:lang w:val="fr-FR" w:eastAsia="zh-CN" w:bidi="hi-IN"/>
              </w:rPr>
            </w:pPr>
            <w:r>
              <w:rPr>
                <w:rFonts w:eastAsia="SimSun" w:cs="Mangal" w:ascii="Arial" w:hAnsi="Arial"/>
                <w:b w:val="false"/>
                <w:kern w:val="2"/>
                <w:sz w:val="16"/>
                <w:szCs w:val="20"/>
                <w:lang w:val="fr-FR" w:eastAsia="zh-CN" w:bidi="hi-IN"/>
              </w:rPr>
              <w:t>Laurent Ruf</w:t>
            </w:r>
          </w:p>
        </w:tc>
        <w:tc>
          <w:tcPr>
            <w:tcW w:w="2265" w:type="dxa"/>
            <w:tcBorders/>
            <w:shd w:color="auto" w:fill="D9E2F3" w:themeFill="accent1" w:themeFillTint="33" w:val="clear"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SimSun" w:cs="Mangal"/>
                <w:kern w:val="2"/>
                <w:sz w:val="20"/>
                <w:szCs w:val="20"/>
                <w:lang w:val="fr-FR" w:eastAsia="zh-CN" w:bidi="hi-IN"/>
              </w:rPr>
            </w:pPr>
            <w:r>
              <w:rPr>
                <w:rFonts w:eastAsia="SimSun" w:cs="Mangal" w:ascii="Arial" w:hAnsi="Arial"/>
                <w:b w:val="false"/>
                <w:kern w:val="2"/>
                <w:sz w:val="16"/>
                <w:szCs w:val="20"/>
                <w:lang w:val="fr-FR" w:eastAsia="zh-CN" w:bidi="hi-IN"/>
              </w:rPr>
              <w:t>OFB – projet SIB Work</w:t>
            </w:r>
          </w:p>
        </w:tc>
        <w:tc>
          <w:tcPr>
            <w:tcW w:w="2265" w:type="dxa"/>
            <w:tcBorders/>
            <w:shd w:color="auto" w:fill="D9E2F3" w:themeFill="accent1" w:themeFillTint="33" w:val="clear"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SimSun" w:cs="Mangal"/>
                <w:kern w:val="2"/>
                <w:sz w:val="20"/>
                <w:szCs w:val="20"/>
                <w:lang w:val="fr-FR" w:eastAsia="zh-CN" w:bidi="hi-IN"/>
              </w:rPr>
            </w:pPr>
            <w:r>
              <w:rPr>
                <w:rFonts w:eastAsia="SimSun" w:cs="Mangal" w:ascii="Arial" w:hAnsi="Arial"/>
                <w:b w:val="false"/>
                <w:kern w:val="2"/>
                <w:sz w:val="16"/>
                <w:szCs w:val="20"/>
                <w:lang w:val="fr-FR" w:eastAsia="zh-CN" w:bidi="hi-IN"/>
              </w:rPr>
              <w:t>À compléter</w:t>
            </w:r>
          </w:p>
        </w:tc>
      </w:tr>
      <w:tr>
        <w:trPr/>
        <w:tc>
          <w:tcPr>
            <w:tcW w:w="2265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SimSun" w:cs="Mangal"/>
                <w:b/>
                <w:bCs/>
                <w:kern w:val="2"/>
                <w:sz w:val="20"/>
                <w:szCs w:val="20"/>
                <w:lang w:val="fr-FR" w:eastAsia="zh-CN" w:bidi="hi-IN"/>
              </w:rPr>
            </w:pPr>
            <w:r>
              <w:rPr>
                <w:rFonts w:eastAsia="SimSun" w:cs="Mangal" w:ascii="Arial" w:hAnsi="Arial"/>
                <w:b w:val="false"/>
                <w:bCs/>
                <w:kern w:val="2"/>
                <w:sz w:val="16"/>
                <w:szCs w:val="20"/>
                <w:lang w:val="fr-FR" w:eastAsia="zh-CN" w:bidi="hi-IN"/>
              </w:rPr>
              <w:t>Contributeur / demandeur</w:t>
            </w:r>
          </w:p>
        </w:tc>
        <w:tc>
          <w:tcPr>
            <w:tcW w:w="2265" w:type="dxa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SimSun" w:cs="Mangal"/>
                <w:kern w:val="2"/>
                <w:sz w:val="20"/>
                <w:szCs w:val="20"/>
                <w:lang w:val="fr-FR" w:eastAsia="zh-CN" w:bidi="hi-IN"/>
              </w:rPr>
            </w:pPr>
            <w:r>
              <w:rPr>
                <w:rFonts w:eastAsia="SimSun" w:cs="Mangal" w:ascii="Arial" w:hAnsi="Arial"/>
                <w:b w:val="false"/>
                <w:kern w:val="2"/>
                <w:sz w:val="16"/>
                <w:szCs w:val="20"/>
                <w:lang w:val="fr-FR" w:eastAsia="zh-CN" w:bidi="hi-IN"/>
              </w:rPr>
              <w:t>Franck Connan</w:t>
            </w:r>
          </w:p>
        </w:tc>
        <w:tc>
          <w:tcPr>
            <w:tcW w:w="2265" w:type="dxa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SimSun" w:cs="Mangal"/>
                <w:kern w:val="2"/>
                <w:sz w:val="20"/>
                <w:szCs w:val="20"/>
                <w:lang w:val="fr-FR" w:eastAsia="zh-CN" w:bidi="hi-IN"/>
              </w:rPr>
            </w:pPr>
            <w:r>
              <w:rPr>
                <w:rFonts w:eastAsia="SimSun" w:cs="Mangal" w:ascii="Arial" w:hAnsi="Arial"/>
                <w:b w:val="false"/>
                <w:kern w:val="2"/>
                <w:sz w:val="16"/>
                <w:szCs w:val="20"/>
                <w:lang w:val="fr-FR" w:eastAsia="zh-CN" w:bidi="hi-IN"/>
              </w:rPr>
              <w:t>OFB – projet SIB Work</w:t>
            </w:r>
          </w:p>
        </w:tc>
        <w:tc>
          <w:tcPr>
            <w:tcW w:w="2265" w:type="dxa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SimSun" w:cs="Mangal"/>
                <w:kern w:val="2"/>
                <w:sz w:val="20"/>
                <w:szCs w:val="20"/>
                <w:lang w:val="fr-FR" w:eastAsia="zh-CN" w:bidi="hi-IN"/>
              </w:rPr>
            </w:pPr>
            <w:r>
              <w:rPr>
                <w:rFonts w:eastAsia="SimSun" w:cs="Mangal" w:ascii="Arial" w:hAnsi="Arial"/>
                <w:b w:val="false"/>
                <w:kern w:val="2"/>
                <w:sz w:val="16"/>
                <w:szCs w:val="20"/>
                <w:lang w:val="fr-FR" w:eastAsia="zh-CN" w:bidi="hi-IN"/>
              </w:rPr>
              <w:t>À compléter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265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D9E2F3" w:themeFill="accent1" w:themeFillTint="33" w:val="clear"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SimSun" w:cs="Mangal"/>
                <w:b/>
                <w:bCs/>
                <w:kern w:val="2"/>
                <w:sz w:val="20"/>
                <w:szCs w:val="20"/>
                <w:lang w:val="fr-FR" w:eastAsia="zh-CN" w:bidi="hi-IN"/>
              </w:rPr>
            </w:pPr>
            <w:r>
              <w:rPr>
                <w:rFonts w:eastAsia="SimSun" w:cs="Mangal" w:ascii="Arial" w:hAnsi="Arial"/>
                <w:b w:val="false"/>
                <w:bCs/>
                <w:kern w:val="2"/>
                <w:sz w:val="16"/>
                <w:szCs w:val="20"/>
                <w:lang w:val="fr-FR" w:eastAsia="zh-CN" w:bidi="hi-IN"/>
              </w:rPr>
              <w:t>Vérificateur(s)</w:t>
            </w:r>
          </w:p>
        </w:tc>
        <w:tc>
          <w:tcPr>
            <w:tcW w:w="2265" w:type="dxa"/>
            <w:tcBorders/>
            <w:shd w:color="auto" w:fill="D9E2F3" w:themeFill="accent1" w:themeFillTint="33" w:val="clear"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SimSun" w:cs="Mangal"/>
                <w:kern w:val="2"/>
                <w:sz w:val="20"/>
                <w:szCs w:val="20"/>
                <w:lang w:val="fr-FR" w:eastAsia="zh-CN" w:bidi="hi-IN"/>
              </w:rPr>
            </w:pPr>
            <w:r>
              <w:rPr>
                <w:rFonts w:eastAsia="SimSun" w:cs="Mangal" w:ascii="Arial" w:hAnsi="Arial"/>
                <w:b w:val="false"/>
                <w:kern w:val="2"/>
                <w:sz w:val="16"/>
                <w:szCs w:val="20"/>
                <w:lang w:val="fr-FR" w:eastAsia="zh-CN" w:bidi="hi-IN"/>
              </w:rPr>
              <w:t>À désigner</w:t>
            </w:r>
          </w:p>
        </w:tc>
        <w:tc>
          <w:tcPr>
            <w:tcW w:w="2265" w:type="dxa"/>
            <w:tcBorders/>
            <w:shd w:color="auto" w:fill="D9E2F3" w:themeFill="accent1" w:themeFillTint="33" w:val="clear"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SimSun" w:cs="Mangal"/>
                <w:kern w:val="2"/>
                <w:sz w:val="20"/>
                <w:szCs w:val="20"/>
                <w:lang w:val="fr-FR" w:eastAsia="zh-CN" w:bidi="hi-IN"/>
              </w:rPr>
            </w:pPr>
            <w:r>
              <w:rPr>
                <w:rFonts w:eastAsia="SimSun" w:cs="Mangal" w:ascii="Arial" w:hAnsi="Arial"/>
                <w:b w:val="false"/>
                <w:kern w:val="2"/>
                <w:sz w:val="16"/>
                <w:szCs w:val="20"/>
                <w:lang w:val="fr-FR" w:eastAsia="zh-CN" w:bidi="hi-IN"/>
              </w:rPr>
              <w:t>DSI – Infrastructure exploitation</w:t>
            </w:r>
          </w:p>
        </w:tc>
        <w:tc>
          <w:tcPr>
            <w:tcW w:w="2265" w:type="dxa"/>
            <w:tcBorders/>
            <w:shd w:color="auto" w:fill="D9E2F3" w:themeFill="accent1" w:themeFillTint="33" w:val="clear"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SimSun" w:cs="Mangal"/>
                <w:kern w:val="2"/>
                <w:sz w:val="20"/>
                <w:szCs w:val="20"/>
                <w:lang w:val="fr-FR" w:eastAsia="zh-CN" w:bidi="hi-IN"/>
              </w:rPr>
            </w:pPr>
            <w:r>
              <w:rPr>
                <w:rFonts w:eastAsia="SimSun" w:cs="Mangal" w:ascii="Arial" w:hAnsi="Arial"/>
                <w:b w:val="false"/>
                <w:kern w:val="2"/>
                <w:sz w:val="16"/>
                <w:szCs w:val="20"/>
                <w:lang w:val="fr-FR" w:eastAsia="zh-CN" w:bidi="hi-IN"/>
              </w:rPr>
              <w:t>À compléter</w:t>
            </w:r>
          </w:p>
        </w:tc>
      </w:tr>
      <w:tr>
        <w:trPr/>
        <w:tc>
          <w:tcPr>
            <w:tcW w:w="2265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SimSun" w:cs="Mangal"/>
                <w:b/>
                <w:bCs/>
                <w:kern w:val="2"/>
                <w:sz w:val="20"/>
                <w:szCs w:val="20"/>
                <w:lang w:val="fr-FR" w:eastAsia="zh-CN" w:bidi="hi-IN"/>
              </w:rPr>
            </w:pPr>
            <w:r>
              <w:rPr>
                <w:rFonts w:eastAsia="SimSun" w:cs="Mangal" w:ascii="Arial" w:hAnsi="Arial"/>
                <w:b w:val="false"/>
                <w:bCs/>
                <w:kern w:val="2"/>
                <w:sz w:val="16"/>
                <w:szCs w:val="20"/>
                <w:lang w:val="fr-FR" w:eastAsia="zh-CN" w:bidi="hi-IN"/>
              </w:rPr>
              <w:t>Approbateur(s)</w:t>
            </w:r>
          </w:p>
        </w:tc>
        <w:tc>
          <w:tcPr>
            <w:tcW w:w="2265" w:type="dxa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SimSun" w:cs="Mangal"/>
                <w:kern w:val="2"/>
                <w:sz w:val="20"/>
                <w:szCs w:val="20"/>
                <w:lang w:val="fr-FR" w:eastAsia="zh-CN" w:bidi="hi-IN"/>
              </w:rPr>
            </w:pPr>
            <w:r>
              <w:rPr>
                <w:rFonts w:eastAsia="SimSun" w:cs="Mangal" w:ascii="Arial" w:hAnsi="Arial"/>
                <w:b w:val="false"/>
                <w:kern w:val="2"/>
                <w:sz w:val="16"/>
                <w:szCs w:val="20"/>
                <w:lang w:val="fr-FR" w:eastAsia="zh-CN" w:bidi="hi-IN"/>
              </w:rPr>
              <w:t>À désigner</w:t>
            </w:r>
          </w:p>
        </w:tc>
        <w:tc>
          <w:tcPr>
            <w:tcW w:w="2265" w:type="dxa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SimSun" w:cs="Mangal"/>
                <w:kern w:val="2"/>
                <w:sz w:val="20"/>
                <w:szCs w:val="20"/>
                <w:lang w:val="fr-FR" w:eastAsia="zh-CN" w:bidi="hi-IN"/>
              </w:rPr>
            </w:pPr>
            <w:r>
              <w:rPr>
                <w:rFonts w:eastAsia="SimSun" w:cs="Mangal" w:ascii="Arial" w:hAnsi="Arial"/>
                <w:b w:val="false"/>
                <w:kern w:val="2"/>
                <w:sz w:val="16"/>
                <w:szCs w:val="20"/>
                <w:lang w:val="fr-FR" w:eastAsia="zh-CN" w:bidi="hi-IN"/>
              </w:rPr>
              <w:t>DSI – Infrastructure exploitation</w:t>
            </w:r>
          </w:p>
        </w:tc>
        <w:tc>
          <w:tcPr>
            <w:tcW w:w="2265" w:type="dxa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SimSun" w:cs="Mangal"/>
                <w:kern w:val="2"/>
                <w:sz w:val="20"/>
                <w:szCs w:val="20"/>
                <w:lang w:val="fr-FR" w:eastAsia="zh-CN" w:bidi="hi-IN"/>
              </w:rPr>
            </w:pPr>
            <w:r>
              <w:rPr>
                <w:rFonts w:eastAsia="SimSun" w:cs="Mangal" w:ascii="Arial" w:hAnsi="Arial"/>
                <w:b w:val="false"/>
                <w:kern w:val="2"/>
                <w:sz w:val="16"/>
                <w:szCs w:val="20"/>
                <w:lang w:val="fr-FR" w:eastAsia="zh-CN" w:bidi="hi-IN"/>
              </w:rPr>
              <w:t>À compléter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  <w:smallCaps/>
          <w:color w:themeColor="accent1" w:val="4472C4"/>
          <w:spacing w:val="5"/>
          <w:u w:val="single"/>
        </w:rPr>
      </w:pPr>
      <w:r>
        <w:rPr>
          <w:rStyle w:val="IntenseReference"/>
          <w:rFonts w:ascii="Arial" w:hAnsi="Arial"/>
          <w:sz w:val="19"/>
          <w:u w:val="single"/>
        </w:rPr>
        <w:t>Diffusion</w:t>
      </w:r>
    </w:p>
    <w:tbl>
      <w:tblPr>
        <w:tblStyle w:val="TableauGrille4-Accentuation1"/>
        <w:tblW w:w="9061" w:type="dxa"/>
        <w:jc w:val="left"/>
        <w:tblInd w:w="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Look w:val="04a0" w:noHBand="0" w:noVBand="1" w:firstColumn="1" w:lastRow="0" w:lastColumn="0" w:firstRow="1"/>
      </w:tblPr>
      <w:tblGrid>
        <w:gridCol w:w="2265"/>
        <w:gridCol w:w="2265"/>
        <w:gridCol w:w="1277"/>
        <w:gridCol w:w="3253"/>
      </w:tblGrid>
      <w:tr>
        <w:trPr>
          <w:tblHeader w:val="true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65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fill="2F5597"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SimSun" w:cs="Mangal"/>
                <w:b/>
                <w:bCs/>
                <w:color w:themeColor="background1" w:val="99D4FC"/>
                <w:kern w:val="2"/>
                <w:sz w:val="20"/>
                <w:szCs w:val="20"/>
                <w:lang w:val="fr-FR" w:eastAsia="zh-CN" w:bidi="hi-IN"/>
              </w:rPr>
            </w:pPr>
            <w:r>
              <w:rPr>
                <w:rFonts w:eastAsia="SimSun" w:cs="Mangal" w:ascii="Arial" w:hAnsi="Arial"/>
                <w:b/>
                <w:bCs/>
                <w:color w:val="FFFFFF"/>
                <w:kern w:val="2"/>
                <w:sz w:val="15"/>
                <w:szCs w:val="20"/>
                <w:lang w:val="fr-FR" w:eastAsia="zh-CN" w:bidi="hi-IN"/>
              </w:rPr>
              <w:t>Société</w:t>
            </w:r>
          </w:p>
        </w:tc>
        <w:tc>
          <w:tcPr>
            <w:tcW w:w="2265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fill="2F5597"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SimSun" w:cs="Mangal"/>
                <w:b/>
                <w:bCs/>
                <w:color w:themeColor="background1" w:val="99D4FC"/>
                <w:kern w:val="2"/>
                <w:sz w:val="20"/>
                <w:szCs w:val="20"/>
                <w:lang w:val="fr-FR" w:eastAsia="zh-CN" w:bidi="hi-IN"/>
              </w:rPr>
            </w:pPr>
            <w:r>
              <w:rPr>
                <w:rFonts w:eastAsia="SimSun" w:cs="Mangal" w:ascii="Arial" w:hAnsi="Arial"/>
                <w:b/>
                <w:bCs/>
                <w:color w:val="FFFFFF"/>
                <w:kern w:val="2"/>
                <w:sz w:val="15"/>
                <w:szCs w:val="20"/>
                <w:lang w:val="fr-FR" w:eastAsia="zh-CN" w:bidi="hi-IN"/>
              </w:rPr>
              <w:t>Nom</w:t>
            </w:r>
          </w:p>
        </w:tc>
        <w:tc>
          <w:tcPr>
            <w:tcW w:w="127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fill="2F5597"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SimSun" w:cs="Mangal"/>
                <w:b/>
                <w:bCs/>
                <w:color w:themeColor="background1" w:val="99D4FC"/>
                <w:kern w:val="2"/>
                <w:sz w:val="20"/>
                <w:szCs w:val="20"/>
                <w:lang w:val="fr-FR" w:eastAsia="zh-CN" w:bidi="hi-IN"/>
              </w:rPr>
            </w:pPr>
            <w:r>
              <w:rPr>
                <w:rFonts w:eastAsia="SimSun" w:cs="Mangal" w:ascii="Arial" w:hAnsi="Arial"/>
                <w:b/>
                <w:bCs/>
                <w:color w:val="FFFFFF"/>
                <w:kern w:val="2"/>
                <w:sz w:val="15"/>
                <w:szCs w:val="20"/>
                <w:lang w:val="fr-FR" w:eastAsia="zh-CN" w:bidi="hi-IN"/>
              </w:rPr>
              <w:t>Service</w:t>
            </w:r>
          </w:p>
        </w:tc>
        <w:tc>
          <w:tcPr>
            <w:tcW w:w="3253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fill="2F5597"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SimSun" w:cs="Mangal"/>
                <w:b/>
                <w:bCs/>
                <w:color w:themeColor="background1" w:val="99D4FC"/>
                <w:kern w:val="2"/>
                <w:sz w:val="20"/>
                <w:szCs w:val="20"/>
                <w:lang w:val="fr-FR" w:eastAsia="zh-CN" w:bidi="hi-IN"/>
              </w:rPr>
            </w:pPr>
            <w:r>
              <w:rPr>
                <w:rFonts w:eastAsia="SimSun" w:cs="Mangal" w:ascii="Arial" w:hAnsi="Arial"/>
                <w:b/>
                <w:bCs/>
                <w:color w:val="FFFFFF"/>
                <w:kern w:val="2"/>
                <w:sz w:val="15"/>
                <w:szCs w:val="20"/>
                <w:lang w:val="fr-FR" w:eastAsia="zh-CN" w:bidi="hi-IN"/>
              </w:rPr>
              <w:t>Action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265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D9E2F3" w:themeFill="accent1" w:themeFillTint="33" w:val="clear"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SimSun" w:cs="Mangal"/>
                <w:b/>
                <w:bCs/>
                <w:kern w:val="2"/>
                <w:sz w:val="20"/>
                <w:szCs w:val="20"/>
                <w:lang w:val="fr-FR" w:eastAsia="zh-CN" w:bidi="hi-IN"/>
              </w:rPr>
            </w:pPr>
            <w:r>
              <w:rPr>
                <w:rFonts w:eastAsia="SimSun" w:cs="Mangal" w:ascii="Arial" w:hAnsi="Arial"/>
                <w:b w:val="false"/>
                <w:bCs/>
                <w:kern w:val="2"/>
                <w:sz w:val="15"/>
                <w:szCs w:val="20"/>
                <w:lang w:val="fr-FR" w:eastAsia="zh-CN" w:bidi="hi-IN"/>
              </w:rPr>
              <w:t>OFB</w:t>
            </w:r>
          </w:p>
        </w:tc>
        <w:tc>
          <w:tcPr>
            <w:tcW w:w="2265" w:type="dxa"/>
            <w:tcBorders/>
            <w:shd w:color="auto" w:fill="D9E2F3" w:themeFill="accent1" w:themeFillTint="33" w:val="clear"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SimSun" w:cs="Mangal"/>
                <w:kern w:val="2"/>
                <w:sz w:val="20"/>
                <w:szCs w:val="20"/>
                <w:lang w:val="fr-FR" w:eastAsia="zh-CN" w:bidi="hi-IN"/>
              </w:rPr>
            </w:pPr>
            <w:r>
              <w:rPr>
                <w:rFonts w:eastAsia="SimSun" w:cs="Mangal" w:ascii="Arial" w:hAnsi="Arial"/>
                <w:b w:val="false"/>
                <w:kern w:val="2"/>
                <w:sz w:val="15"/>
                <w:szCs w:val="20"/>
                <w:lang w:val="fr-FR" w:eastAsia="zh-CN" w:bidi="hi-IN"/>
              </w:rPr>
              <w:t>Elio Bottagisio</w:t>
            </w:r>
          </w:p>
        </w:tc>
        <w:tc>
          <w:tcPr>
            <w:tcW w:w="1277" w:type="dxa"/>
            <w:tcBorders/>
            <w:shd w:color="auto" w:fill="D9E2F3" w:themeFill="accent1" w:themeFillTint="33" w:val="clear"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SimSun" w:cs="Mangal"/>
                <w:kern w:val="2"/>
                <w:sz w:val="20"/>
                <w:szCs w:val="20"/>
                <w:lang w:val="fr-FR" w:eastAsia="zh-CN" w:bidi="hi-IN"/>
              </w:rPr>
            </w:pPr>
            <w:r>
              <w:rPr>
                <w:rFonts w:eastAsia="SimSun" w:cs="Mangal" w:ascii="Arial" w:hAnsi="Arial"/>
                <w:b w:val="false"/>
                <w:kern w:val="2"/>
                <w:sz w:val="15"/>
                <w:szCs w:val="20"/>
                <w:lang w:val="fr-FR" w:eastAsia="zh-CN" w:bidi="hi-IN"/>
              </w:rPr>
              <w:t>Projet SIB Work</w:t>
            </w:r>
          </w:p>
        </w:tc>
        <w:tc>
          <w:tcPr>
            <w:tcW w:w="3253" w:type="dxa"/>
            <w:tcBorders/>
            <w:shd w:color="auto" w:fill="D9E2F3" w:themeFill="accent1" w:themeFillTint="33" w:val="clear"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SimSun" w:cs="Mangal"/>
                <w:kern w:val="2"/>
                <w:sz w:val="20"/>
                <w:szCs w:val="20"/>
                <w:lang w:val="fr-FR" w:eastAsia="zh-CN" w:bidi="hi-IN"/>
              </w:rPr>
            </w:pPr>
            <w:r>
              <w:rPr>
                <w:rFonts w:eastAsia="SimSun" w:cs="Mangal" w:ascii="Arial" w:hAnsi="Arial"/>
                <w:b w:val="false"/>
                <w:kern w:val="2"/>
                <w:sz w:val="15"/>
                <w:szCs w:val="20"/>
                <w:lang w:val="fr-FR" w:eastAsia="zh-CN" w:bidi="hi-IN"/>
              </w:rPr>
              <w:t>Relecture fonctionnelle et validation du périmètre</w:t>
            </w:r>
          </w:p>
        </w:tc>
      </w:tr>
      <w:tr>
        <w:trPr/>
        <w:tc>
          <w:tcPr>
            <w:tcW w:w="2265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SimSun" w:cs="Mangal"/>
                <w:b/>
                <w:bCs/>
                <w:kern w:val="2"/>
                <w:sz w:val="20"/>
                <w:szCs w:val="20"/>
                <w:lang w:val="fr-FR" w:eastAsia="zh-CN" w:bidi="hi-IN"/>
              </w:rPr>
            </w:pPr>
            <w:r>
              <w:rPr>
                <w:rFonts w:eastAsia="SimSun" w:cs="Mangal" w:ascii="Arial" w:hAnsi="Arial"/>
                <w:b w:val="false"/>
                <w:bCs/>
                <w:kern w:val="2"/>
                <w:sz w:val="15"/>
                <w:szCs w:val="20"/>
                <w:lang w:val="fr-FR" w:eastAsia="zh-CN" w:bidi="hi-IN"/>
              </w:rPr>
              <w:t>OFB</w:t>
            </w:r>
          </w:p>
        </w:tc>
        <w:tc>
          <w:tcPr>
            <w:tcW w:w="2265" w:type="dxa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SimSun" w:cs="Mangal"/>
                <w:kern w:val="2"/>
                <w:sz w:val="20"/>
                <w:szCs w:val="20"/>
                <w:lang w:val="fr-FR" w:eastAsia="zh-CN" w:bidi="hi-IN"/>
              </w:rPr>
            </w:pPr>
            <w:r>
              <w:rPr>
                <w:rFonts w:eastAsia="SimSun" w:cs="Mangal" w:ascii="Arial" w:hAnsi="Arial"/>
                <w:b w:val="false"/>
                <w:kern w:val="2"/>
                <w:sz w:val="15"/>
                <w:szCs w:val="20"/>
                <w:lang w:val="fr-FR" w:eastAsia="zh-CN" w:bidi="hi-IN"/>
              </w:rPr>
              <w:t>Laurent Ruf</w:t>
            </w:r>
          </w:p>
        </w:tc>
        <w:tc>
          <w:tcPr>
            <w:tcW w:w="1277" w:type="dxa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SimSun" w:cs="Mangal"/>
                <w:kern w:val="2"/>
                <w:sz w:val="20"/>
                <w:szCs w:val="20"/>
                <w:lang w:val="fr-FR" w:eastAsia="zh-CN" w:bidi="hi-IN"/>
              </w:rPr>
            </w:pPr>
            <w:r>
              <w:rPr>
                <w:rFonts w:eastAsia="SimSun" w:cs="Mangal" w:ascii="Arial" w:hAnsi="Arial"/>
                <w:b w:val="false"/>
                <w:kern w:val="2"/>
                <w:sz w:val="15"/>
                <w:szCs w:val="20"/>
                <w:lang w:val="fr-FR" w:eastAsia="zh-CN" w:bidi="hi-IN"/>
              </w:rPr>
              <w:t>Projet SIB Work</w:t>
            </w:r>
          </w:p>
        </w:tc>
        <w:tc>
          <w:tcPr>
            <w:tcW w:w="3253" w:type="dxa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SimSun" w:cs="Mangal"/>
                <w:kern w:val="2"/>
                <w:sz w:val="20"/>
                <w:szCs w:val="20"/>
                <w:lang w:val="fr-FR" w:eastAsia="zh-CN" w:bidi="hi-IN"/>
              </w:rPr>
            </w:pPr>
            <w:r>
              <w:rPr>
                <w:rFonts w:eastAsia="SimSun" w:cs="Mangal" w:ascii="Arial" w:hAnsi="Arial"/>
                <w:b w:val="false"/>
                <w:kern w:val="2"/>
                <w:sz w:val="15"/>
                <w:szCs w:val="20"/>
                <w:lang w:val="fr-FR" w:eastAsia="zh-CN" w:bidi="hi-IN"/>
              </w:rPr>
              <w:t>Relecture fonctionnelle et validation du périmètre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265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D9E2F3" w:themeFill="accent1" w:themeFillTint="33" w:val="clear"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SimSun" w:cs="Mangal"/>
                <w:b/>
                <w:bCs/>
                <w:kern w:val="2"/>
                <w:sz w:val="20"/>
                <w:szCs w:val="20"/>
                <w:lang w:val="fr-FR" w:eastAsia="zh-CN" w:bidi="hi-IN"/>
              </w:rPr>
            </w:pPr>
            <w:r>
              <w:rPr>
                <w:rFonts w:eastAsia="SimSun" w:cs="Mangal" w:ascii="Arial" w:hAnsi="Arial"/>
                <w:b w:val="false"/>
                <w:bCs/>
                <w:kern w:val="2"/>
                <w:sz w:val="15"/>
                <w:szCs w:val="20"/>
                <w:lang w:val="fr-FR" w:eastAsia="zh-CN" w:bidi="hi-IN"/>
              </w:rPr>
              <w:t>OFB</w:t>
            </w:r>
          </w:p>
        </w:tc>
        <w:tc>
          <w:tcPr>
            <w:tcW w:w="2265" w:type="dxa"/>
            <w:tcBorders/>
            <w:shd w:color="auto" w:fill="D9E2F3" w:themeFill="accent1" w:themeFillTint="33" w:val="clear"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SimSun" w:cs="Mangal"/>
                <w:kern w:val="2"/>
                <w:sz w:val="20"/>
                <w:szCs w:val="20"/>
                <w:lang w:val="fr-FR" w:eastAsia="zh-CN" w:bidi="hi-IN"/>
              </w:rPr>
            </w:pPr>
            <w:r>
              <w:rPr>
                <w:rFonts w:eastAsia="SimSun" w:cs="Mangal" w:ascii="Arial" w:hAnsi="Arial"/>
                <w:b w:val="false"/>
                <w:kern w:val="2"/>
                <w:sz w:val="15"/>
                <w:szCs w:val="20"/>
                <w:lang w:val="fr-FR" w:eastAsia="zh-CN" w:bidi="hi-IN"/>
              </w:rPr>
              <w:t>Franck Connan</w:t>
            </w:r>
          </w:p>
        </w:tc>
        <w:tc>
          <w:tcPr>
            <w:tcW w:w="1277" w:type="dxa"/>
            <w:tcBorders/>
            <w:shd w:color="auto" w:fill="D9E2F3" w:themeFill="accent1" w:themeFillTint="33" w:val="clear"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SimSun" w:cs="Mangal"/>
                <w:kern w:val="2"/>
                <w:sz w:val="20"/>
                <w:szCs w:val="20"/>
                <w:lang w:val="fr-FR" w:eastAsia="zh-CN" w:bidi="hi-IN"/>
              </w:rPr>
            </w:pPr>
            <w:r>
              <w:rPr>
                <w:rFonts w:eastAsia="SimSun" w:cs="Mangal" w:ascii="Arial" w:hAnsi="Arial"/>
                <w:b w:val="false"/>
                <w:kern w:val="2"/>
                <w:sz w:val="15"/>
                <w:szCs w:val="20"/>
                <w:lang w:val="fr-FR" w:eastAsia="zh-CN" w:bidi="hi-IN"/>
              </w:rPr>
              <w:t>Projet SIB Work</w:t>
            </w:r>
          </w:p>
        </w:tc>
        <w:tc>
          <w:tcPr>
            <w:tcW w:w="3253" w:type="dxa"/>
            <w:tcBorders/>
            <w:shd w:color="auto" w:fill="D9E2F3" w:themeFill="accent1" w:themeFillTint="33" w:val="clear"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SimSun" w:cs="Mangal"/>
                <w:kern w:val="2"/>
                <w:sz w:val="20"/>
                <w:szCs w:val="20"/>
                <w:lang w:val="fr-FR" w:eastAsia="zh-CN" w:bidi="hi-IN"/>
              </w:rPr>
            </w:pPr>
            <w:r>
              <w:rPr>
                <w:rFonts w:eastAsia="SimSun" w:cs="Mangal" w:ascii="Arial" w:hAnsi="Arial"/>
                <w:b w:val="false"/>
                <w:kern w:val="2"/>
                <w:sz w:val="15"/>
                <w:szCs w:val="20"/>
                <w:lang w:val="fr-FR" w:eastAsia="zh-CN" w:bidi="hi-IN"/>
              </w:rPr>
              <w:t>Relecture fonctionnelle et validation du périmètre</w:t>
            </w:r>
          </w:p>
        </w:tc>
      </w:tr>
      <w:tr>
        <w:trPr/>
        <w:tc>
          <w:tcPr>
            <w:tcW w:w="2265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SimSun" w:cs="Mangal"/>
                <w:b/>
                <w:bCs/>
                <w:kern w:val="2"/>
                <w:sz w:val="20"/>
                <w:szCs w:val="20"/>
                <w:lang w:val="fr-FR" w:eastAsia="zh-CN" w:bidi="hi-IN"/>
              </w:rPr>
            </w:pPr>
            <w:r>
              <w:rPr>
                <w:rFonts w:eastAsia="SimSun" w:cs="Mangal" w:ascii="Arial" w:hAnsi="Arial"/>
                <w:b w:val="false"/>
                <w:bCs/>
                <w:kern w:val="2"/>
                <w:sz w:val="15"/>
                <w:szCs w:val="20"/>
                <w:lang w:val="fr-FR" w:eastAsia="zh-CN" w:bidi="hi-IN"/>
              </w:rPr>
              <w:t>OFB</w:t>
            </w:r>
          </w:p>
        </w:tc>
        <w:tc>
          <w:tcPr>
            <w:tcW w:w="2265" w:type="dxa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SimSun" w:cs="Mangal"/>
                <w:kern w:val="2"/>
                <w:sz w:val="20"/>
                <w:szCs w:val="20"/>
                <w:lang w:val="fr-FR" w:eastAsia="zh-CN" w:bidi="hi-IN"/>
              </w:rPr>
            </w:pPr>
            <w:r>
              <w:rPr>
                <w:rFonts w:eastAsia="SimSun" w:cs="Mangal" w:ascii="Arial" w:hAnsi="Arial"/>
                <w:b w:val="false"/>
                <w:kern w:val="2"/>
                <w:sz w:val="15"/>
                <w:szCs w:val="20"/>
                <w:lang w:val="fr-FR" w:eastAsia="zh-CN" w:bidi="hi-IN"/>
              </w:rPr>
              <w:t>Référent à désigner</w:t>
            </w:r>
          </w:p>
        </w:tc>
        <w:tc>
          <w:tcPr>
            <w:tcW w:w="1277" w:type="dxa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SimSun" w:cs="Mangal"/>
                <w:kern w:val="2"/>
                <w:sz w:val="20"/>
                <w:szCs w:val="20"/>
                <w:lang w:val="fr-FR" w:eastAsia="zh-CN" w:bidi="hi-IN"/>
              </w:rPr>
            </w:pPr>
            <w:r>
              <w:rPr>
                <w:rFonts w:eastAsia="SimSun" w:cs="Mangal" w:ascii="Arial" w:hAnsi="Arial"/>
                <w:b w:val="false"/>
                <w:kern w:val="2"/>
                <w:sz w:val="15"/>
                <w:szCs w:val="20"/>
                <w:lang w:val="fr-FR" w:eastAsia="zh-CN" w:bidi="hi-IN"/>
              </w:rPr>
              <w:t>DSI – Infrastructure exploitation</w:t>
            </w:r>
          </w:p>
        </w:tc>
        <w:tc>
          <w:tcPr>
            <w:tcW w:w="3253" w:type="dxa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SimSun" w:cs="Mangal"/>
                <w:kern w:val="2"/>
                <w:sz w:val="20"/>
                <w:szCs w:val="20"/>
                <w:lang w:val="fr-FR" w:eastAsia="zh-CN" w:bidi="hi-IN"/>
              </w:rPr>
            </w:pPr>
            <w:r>
              <w:rPr>
                <w:rFonts w:eastAsia="SimSun" w:cs="Mangal" w:ascii="Arial" w:hAnsi="Arial"/>
                <w:b w:val="false"/>
                <w:kern w:val="2"/>
                <w:sz w:val="15"/>
                <w:szCs w:val="20"/>
                <w:lang w:val="fr-FR" w:eastAsia="zh-CN" w:bidi="hi-IN"/>
              </w:rPr>
              <w:t>Relecture technique, supervision et validation finale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  <w:smallCaps/>
          <w:color w:themeColor="accent1" w:val="4472C4"/>
          <w:spacing w:val="5"/>
          <w:u w:val="single"/>
        </w:rPr>
      </w:pPr>
      <w:r>
        <w:rPr>
          <w:rStyle w:val="IntenseReference"/>
          <w:rFonts w:ascii="Arial" w:hAnsi="Arial"/>
          <w:sz w:val="19"/>
          <w:u w:val="single"/>
        </w:rPr>
        <w:t>Version et révisions</w:t>
      </w:r>
    </w:p>
    <w:tbl>
      <w:tblPr>
        <w:tblStyle w:val="TableauGrille4-Accentuation1"/>
        <w:tblW w:w="9061" w:type="dxa"/>
        <w:jc w:val="left"/>
        <w:tblInd w:w="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Look w:val="04a0" w:noHBand="0" w:noVBand="1" w:firstColumn="1" w:lastRow="0" w:lastColumn="0" w:firstRow="1"/>
      </w:tblPr>
      <w:tblGrid>
        <w:gridCol w:w="2265"/>
        <w:gridCol w:w="1415"/>
        <w:gridCol w:w="3115"/>
        <w:gridCol w:w="2265"/>
      </w:tblGrid>
      <w:tr>
        <w:trPr>
          <w:tblHeader w:val="true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65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fill="2F5597"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SimSun" w:cs="Mangal"/>
                <w:b/>
                <w:bCs/>
                <w:color w:themeColor="background1" w:val="99D4FC"/>
                <w:kern w:val="2"/>
                <w:sz w:val="20"/>
                <w:szCs w:val="20"/>
                <w:lang w:val="fr-FR" w:eastAsia="zh-CN" w:bidi="hi-IN"/>
              </w:rPr>
            </w:pPr>
            <w:r>
              <w:rPr>
                <w:rFonts w:eastAsia="SimSun" w:cs="Mangal" w:ascii="Arial" w:hAnsi="Arial"/>
                <w:b/>
                <w:bCs/>
                <w:color w:val="FFFFFF"/>
                <w:kern w:val="2"/>
                <w:sz w:val="16"/>
                <w:szCs w:val="20"/>
                <w:lang w:val="fr-FR" w:eastAsia="zh-CN" w:bidi="hi-IN"/>
              </w:rPr>
              <w:t>Version/Révision</w:t>
            </w:r>
          </w:p>
        </w:tc>
        <w:tc>
          <w:tcPr>
            <w:tcW w:w="1415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fill="2F5597"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SimSun" w:cs="Mangal"/>
                <w:b/>
                <w:bCs/>
                <w:color w:themeColor="background1" w:val="99D4FC"/>
                <w:kern w:val="2"/>
                <w:sz w:val="20"/>
                <w:szCs w:val="20"/>
                <w:lang w:val="fr-FR" w:eastAsia="zh-CN" w:bidi="hi-IN"/>
              </w:rPr>
            </w:pPr>
            <w:r>
              <w:rPr>
                <w:rFonts w:eastAsia="SimSun" w:cs="Mangal" w:ascii="Arial" w:hAnsi="Arial"/>
                <w:b/>
                <w:bCs/>
                <w:color w:val="FFFFFF"/>
                <w:kern w:val="2"/>
                <w:sz w:val="16"/>
                <w:szCs w:val="20"/>
                <w:lang w:val="fr-FR" w:eastAsia="zh-CN" w:bidi="hi-IN"/>
              </w:rPr>
              <w:t>Date</w:t>
            </w:r>
          </w:p>
        </w:tc>
        <w:tc>
          <w:tcPr>
            <w:tcW w:w="3115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fill="2F5597"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SimSun" w:cs="Mangal"/>
                <w:b/>
                <w:bCs/>
                <w:color w:themeColor="background1" w:val="99D4FC"/>
                <w:kern w:val="2"/>
                <w:sz w:val="20"/>
                <w:szCs w:val="20"/>
                <w:lang w:val="fr-FR" w:eastAsia="zh-CN" w:bidi="hi-IN"/>
              </w:rPr>
            </w:pPr>
            <w:r>
              <w:rPr>
                <w:rFonts w:eastAsia="SimSun" w:cs="Mangal" w:ascii="Arial" w:hAnsi="Arial"/>
                <w:b/>
                <w:bCs/>
                <w:color w:val="FFFFFF"/>
                <w:kern w:val="2"/>
                <w:sz w:val="16"/>
                <w:szCs w:val="20"/>
                <w:lang w:val="fr-FR" w:eastAsia="zh-CN" w:bidi="hi-IN"/>
              </w:rPr>
              <w:t>Objet</w:t>
            </w:r>
          </w:p>
        </w:tc>
        <w:tc>
          <w:tcPr>
            <w:tcW w:w="2265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fill="2F5597"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SimSun" w:cs="Mangal"/>
                <w:b/>
                <w:bCs/>
                <w:color w:themeColor="background1" w:val="99D4FC"/>
                <w:kern w:val="2"/>
                <w:sz w:val="20"/>
                <w:szCs w:val="20"/>
                <w:lang w:val="fr-FR" w:eastAsia="zh-CN" w:bidi="hi-IN"/>
              </w:rPr>
            </w:pPr>
            <w:r>
              <w:rPr>
                <w:rFonts w:eastAsia="SimSun" w:cs="Mangal" w:ascii="Arial" w:hAnsi="Arial"/>
                <w:b/>
                <w:bCs/>
                <w:color w:val="FFFFFF"/>
                <w:kern w:val="2"/>
                <w:sz w:val="16"/>
                <w:szCs w:val="20"/>
                <w:lang w:val="fr-FR" w:eastAsia="zh-CN" w:bidi="hi-IN"/>
              </w:rPr>
              <w:t>Auteur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265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D9E2F3" w:themeFill="accent1" w:themeFillTint="33" w:val="clear"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SimSun" w:cs="Mangal"/>
                <w:b/>
                <w:bCs/>
                <w:kern w:val="2"/>
                <w:sz w:val="20"/>
                <w:szCs w:val="20"/>
                <w:lang w:val="fr-FR" w:eastAsia="zh-CN" w:bidi="hi-IN"/>
              </w:rPr>
            </w:pPr>
            <w:r>
              <w:rPr>
                <w:rFonts w:eastAsia="SimSun" w:cs="Mangal" w:ascii="Arial" w:hAnsi="Arial"/>
                <w:b w:val="false"/>
                <w:bCs/>
                <w:kern w:val="2"/>
                <w:sz w:val="16"/>
                <w:szCs w:val="20"/>
                <w:lang w:val="fr-FR" w:eastAsia="zh-CN" w:bidi="hi-IN"/>
              </w:rPr>
              <w:t>0.1</w:t>
            </w:r>
          </w:p>
        </w:tc>
        <w:tc>
          <w:tcPr>
            <w:tcW w:w="1415" w:type="dxa"/>
            <w:tcBorders/>
            <w:shd w:color="auto" w:fill="D9E2F3" w:themeFill="accent1" w:themeFillTint="33" w:val="clear"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SimSun" w:cs="Mangal"/>
                <w:kern w:val="2"/>
                <w:sz w:val="20"/>
                <w:szCs w:val="20"/>
                <w:lang w:val="fr-FR" w:eastAsia="zh-CN" w:bidi="hi-IN"/>
              </w:rPr>
            </w:pPr>
            <w:r>
              <w:rPr>
                <w:rFonts w:eastAsia="SimSun" w:cs="Mangal" w:ascii="Arial" w:hAnsi="Arial"/>
                <w:b w:val="false"/>
                <w:kern w:val="2"/>
                <w:sz w:val="16"/>
                <w:szCs w:val="20"/>
                <w:lang w:val="fr-FR" w:eastAsia="zh-CN" w:bidi="hi-IN"/>
              </w:rPr>
              <w:t>15/09/2026</w:t>
            </w:r>
          </w:p>
        </w:tc>
        <w:tc>
          <w:tcPr>
            <w:tcW w:w="3115" w:type="dxa"/>
            <w:tcBorders/>
            <w:shd w:color="auto" w:fill="D9E2F3" w:themeFill="accent1" w:themeFillTint="33" w:val="clear"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SimSun" w:cs="Mangal"/>
                <w:kern w:val="2"/>
                <w:sz w:val="20"/>
                <w:szCs w:val="20"/>
                <w:lang w:val="fr-FR" w:eastAsia="zh-CN" w:bidi="hi-IN"/>
              </w:rPr>
            </w:pPr>
            <w:r>
              <w:rPr>
                <w:rFonts w:eastAsia="SimSun" w:cs="Mangal" w:ascii="Arial" w:hAnsi="Arial"/>
                <w:b w:val="false"/>
                <w:kern w:val="2"/>
                <w:sz w:val="16"/>
                <w:szCs w:val="20"/>
                <w:lang w:val="fr-FR" w:eastAsia="zh-CN" w:bidi="hi-IN"/>
              </w:rPr>
              <w:t>Création initiale du DEX pour le transfert de SIB Work</w:t>
            </w:r>
          </w:p>
        </w:tc>
        <w:tc>
          <w:tcPr>
            <w:tcW w:w="2265" w:type="dxa"/>
            <w:tcBorders/>
            <w:shd w:color="auto" w:fill="D9E2F3" w:themeFill="accent1" w:themeFillTint="33" w:val="clear"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SimSun" w:cs="Mangal"/>
                <w:kern w:val="2"/>
                <w:sz w:val="20"/>
                <w:szCs w:val="20"/>
                <w:lang w:val="fr-FR" w:eastAsia="zh-CN" w:bidi="hi-IN"/>
              </w:rPr>
            </w:pPr>
            <w:r>
              <w:rPr>
                <w:rFonts w:eastAsia="SimSun" w:cs="Mangal" w:ascii="Arial" w:hAnsi="Arial"/>
                <w:b w:val="false"/>
                <w:kern w:val="2"/>
                <w:sz w:val="16"/>
                <w:szCs w:val="20"/>
                <w:lang w:val="fr-FR" w:eastAsia="zh-CN" w:bidi="hi-IN"/>
              </w:rPr>
              <w:t>Équipe projet SIB Work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widowControl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br w:type="page"/>
          </w:r>
          <w:r>
            <w:rPr/>
            <w:t>SOMMAIRE</w:t>
          </w:r>
        </w:p>
        <w:p>
          <w:pPr>
            <w:pStyle w:val="TOC1"/>
            <w:tabs>
              <w:tab w:val="clear" w:pos="9071"/>
              <w:tab w:val="right" w:pos="9977" w:leader="dot"/>
            </w:tabs>
            <w:rPr/>
          </w:pPr>
          <w:r>
            <w:fldChar w:fldCharType="begin"/>
          </w:r>
          <w:r>
            <w:rPr>
              <w:rStyle w:val="IndexLink"/>
            </w:rPr>
            <w:instrText xml:space="preserve"> TOC \f \o "1-9" \h</w:instrText>
          </w:r>
          <w:r>
            <w:rPr>
              <w:rStyle w:val="IndexLink"/>
            </w:rPr>
            <w:fldChar w:fldCharType="separate"/>
          </w:r>
          <w:hyperlink w:anchor="__RefHeading___Toc4110_1450298465">
            <w:r>
              <w:rPr>
                <w:rStyle w:val="IndexLink"/>
              </w:rPr>
              <w:t>I. Objet du document</w:t>
              <w:tab/>
              <w:t>5</w:t>
            </w:r>
          </w:hyperlink>
        </w:p>
        <w:p>
          <w:pPr>
            <w:pStyle w:val="TOC2"/>
            <w:tabs>
              <w:tab w:val="clear" w:pos="9071"/>
              <w:tab w:val="right" w:pos="9977" w:leader="dot"/>
            </w:tabs>
            <w:rPr/>
          </w:pPr>
          <w:hyperlink w:anchor="__RefHeading___Toc4112_1450298465">
            <w:r>
              <w:rPr>
                <w:rStyle w:val="IndexLink"/>
              </w:rPr>
              <w:t>I.1 Points à compléter avant validation finale</w:t>
              <w:tab/>
              <w:t>5</w:t>
            </w:r>
          </w:hyperlink>
        </w:p>
        <w:p>
          <w:pPr>
            <w:pStyle w:val="TOC2"/>
            <w:tabs>
              <w:tab w:val="clear" w:pos="9071"/>
              <w:tab w:val="right" w:pos="9977" w:leader="dot"/>
            </w:tabs>
            <w:rPr/>
          </w:pPr>
          <w:hyperlink w:anchor="__RefHeading___Toc4114_1450298465">
            <w:r>
              <w:rPr>
                <w:rStyle w:val="IndexLink"/>
              </w:rPr>
              <w:t>I.2 Document de référence</w:t>
              <w:tab/>
              <w:t>5</w:t>
            </w:r>
          </w:hyperlink>
        </w:p>
        <w:p>
          <w:pPr>
            <w:pStyle w:val="TOC2"/>
            <w:tabs>
              <w:tab w:val="clear" w:pos="9071"/>
              <w:tab w:val="right" w:pos="9977" w:leader="dot"/>
            </w:tabs>
            <w:rPr/>
          </w:pPr>
          <w:hyperlink w:anchor="__RefHeading___Toc4116_1450298465">
            <w:r>
              <w:rPr>
                <w:rStyle w:val="IndexLink"/>
              </w:rPr>
              <w:t>I.3 Interlocuteurs (leanIX , onglet abonnement)</w:t>
              <w:tab/>
              <w:t>5</w:t>
            </w:r>
          </w:hyperlink>
        </w:p>
        <w:p>
          <w:pPr>
            <w:pStyle w:val="TOC3"/>
            <w:tabs>
              <w:tab w:val="clear" w:pos="9071"/>
              <w:tab w:val="right" w:pos="9977" w:leader="dot"/>
            </w:tabs>
            <w:rPr/>
          </w:pPr>
          <w:hyperlink w:anchor="__RefHeading___Toc4118_1450298465">
            <w:r>
              <w:rPr>
                <w:rStyle w:val="IndexLink"/>
              </w:rPr>
              <w:t>I.3.1 MOE</w:t>
              <w:tab/>
              <w:t>5</w:t>
            </w:r>
          </w:hyperlink>
        </w:p>
        <w:p>
          <w:pPr>
            <w:pStyle w:val="TOC3"/>
            <w:tabs>
              <w:tab w:val="clear" w:pos="9071"/>
              <w:tab w:val="right" w:pos="9977" w:leader="dot"/>
            </w:tabs>
            <w:rPr/>
          </w:pPr>
          <w:hyperlink w:anchor="__RefHeading___Toc4120_1450298465">
            <w:r>
              <w:rPr>
                <w:rStyle w:val="IndexLink"/>
              </w:rPr>
              <w:t>I.3.2 Infrastructure</w:t>
              <w:tab/>
              <w:t>6</w:t>
            </w:r>
          </w:hyperlink>
        </w:p>
        <w:p>
          <w:pPr>
            <w:pStyle w:val="TOC1"/>
            <w:tabs>
              <w:tab w:val="clear" w:pos="9071"/>
              <w:tab w:val="right" w:pos="9977" w:leader="dot"/>
            </w:tabs>
            <w:rPr/>
          </w:pPr>
          <w:hyperlink w:anchor="__RefHeading___Toc4122_1450298465">
            <w:r>
              <w:rPr>
                <w:rStyle w:val="IndexLink"/>
              </w:rPr>
              <w:t>II. Présentation générale</w:t>
              <w:tab/>
              <w:t>7</w:t>
            </w:r>
          </w:hyperlink>
        </w:p>
        <w:p>
          <w:pPr>
            <w:pStyle w:val="TOC2"/>
            <w:tabs>
              <w:tab w:val="clear" w:pos="9071"/>
              <w:tab w:val="right" w:pos="9977" w:leader="dot"/>
            </w:tabs>
            <w:rPr/>
          </w:pPr>
          <w:hyperlink w:anchor="__RefHeading___Toc4124_1450298465">
            <w:r>
              <w:rPr>
                <w:rStyle w:val="IndexLink"/>
              </w:rPr>
              <w:t>II.1 Présentation générale de l’application (leanIX)</w:t>
              <w:tab/>
              <w:t>7</w:t>
            </w:r>
          </w:hyperlink>
        </w:p>
        <w:p>
          <w:pPr>
            <w:pStyle w:val="TOC2"/>
            <w:tabs>
              <w:tab w:val="clear" w:pos="9071"/>
              <w:tab w:val="right" w:pos="9977" w:leader="dot"/>
            </w:tabs>
            <w:rPr/>
          </w:pPr>
          <w:hyperlink w:anchor="__RefHeading___Toc4126_1450298465">
            <w:r>
              <w:rPr>
                <w:rStyle w:val="IndexLink"/>
              </w:rPr>
              <w:t>II.2 Utilisateurs</w:t>
              <w:tab/>
              <w:t>7</w:t>
            </w:r>
          </w:hyperlink>
        </w:p>
        <w:p>
          <w:pPr>
            <w:pStyle w:val="TOC3"/>
            <w:tabs>
              <w:tab w:val="clear" w:pos="9071"/>
              <w:tab w:val="right" w:pos="9977" w:leader="dot"/>
            </w:tabs>
            <w:rPr/>
          </w:pPr>
          <w:hyperlink w:anchor="__RefHeading___Toc4128_1450298465">
            <w:r>
              <w:rPr>
                <w:rStyle w:val="IndexLink"/>
              </w:rPr>
              <w:t xml:space="preserve">II.2.1 </w:t>
            </w:r>
            <w:r>
              <w:rPr>
                <w:rStyle w:val="IndexLink"/>
                <w:i w:val="false"/>
              </w:rPr>
              <w:t xml:space="preserve">Description des utilisateurs </w:t>
            </w:r>
            <w:r>
              <w:rPr>
                <w:rStyle w:val="IndexLink"/>
                <w:i w:val="false"/>
              </w:rPr>
              <w:t>(leanIX)</w:t>
            </w:r>
            <w:r>
              <w:rPr>
                <w:rStyle w:val="IndexLink"/>
              </w:rPr>
              <w:tab/>
              <w:t>7</w:t>
            </w:r>
          </w:hyperlink>
        </w:p>
        <w:p>
          <w:pPr>
            <w:pStyle w:val="TOC3"/>
            <w:tabs>
              <w:tab w:val="clear" w:pos="9071"/>
              <w:tab w:val="right" w:pos="9977" w:leader="dot"/>
            </w:tabs>
            <w:rPr/>
          </w:pPr>
          <w:hyperlink w:anchor="__RefHeading___Toc4130_1450298465">
            <w:r>
              <w:rPr>
                <w:rStyle w:val="IndexLink"/>
              </w:rPr>
              <w:t xml:space="preserve">II.2.2 </w:t>
            </w:r>
            <w:r>
              <w:rPr>
                <w:rStyle w:val="IndexLink"/>
                <w:i w:val="false"/>
              </w:rPr>
              <w:t xml:space="preserve">Authentification </w:t>
            </w:r>
            <w:r>
              <w:rPr>
                <w:rStyle w:val="IndexLink"/>
                <w:i w:val="false"/>
              </w:rPr>
              <w:t>(leanIX)</w:t>
            </w:r>
            <w:r>
              <w:rPr>
                <w:rStyle w:val="IndexLink"/>
              </w:rPr>
              <w:tab/>
              <w:t>7</w:t>
            </w:r>
          </w:hyperlink>
        </w:p>
        <w:p>
          <w:pPr>
            <w:pStyle w:val="TOC3"/>
            <w:tabs>
              <w:tab w:val="clear" w:pos="9071"/>
              <w:tab w:val="right" w:pos="9977" w:leader="dot"/>
            </w:tabs>
            <w:rPr/>
          </w:pPr>
          <w:hyperlink w:anchor="__RefHeading___Toc4132_1450298465">
            <w:r>
              <w:rPr>
                <w:rStyle w:val="IndexLink"/>
              </w:rPr>
              <w:t xml:space="preserve">II.2.3 </w:t>
            </w:r>
            <w:r>
              <w:rPr>
                <w:rStyle w:val="IndexLink"/>
                <w:i w:val="false"/>
              </w:rPr>
              <w:t>Plage d’utilisation</w:t>
            </w:r>
            <w:r>
              <w:rPr>
                <w:rStyle w:val="IndexLink"/>
                <w:i w:val="false"/>
              </w:rPr>
              <w:t> </w:t>
            </w:r>
            <w:r>
              <w:rPr>
                <w:rStyle w:val="IndexLink"/>
                <w:i w:val="false"/>
              </w:rPr>
              <w:t>(</w:t>
            </w:r>
            <w:r>
              <w:rPr>
                <w:rStyle w:val="IndexLink"/>
                <w:i w:val="false"/>
              </w:rPr>
              <w:t>leanIX)</w:t>
            </w:r>
            <w:r>
              <w:rPr>
                <w:rStyle w:val="IndexLink"/>
              </w:rPr>
              <w:tab/>
              <w:t>7</w:t>
            </w:r>
          </w:hyperlink>
        </w:p>
        <w:p>
          <w:pPr>
            <w:pStyle w:val="TOC2"/>
            <w:tabs>
              <w:tab w:val="clear" w:pos="9071"/>
              <w:tab w:val="right" w:pos="9977" w:leader="dot"/>
            </w:tabs>
            <w:rPr/>
          </w:pPr>
          <w:hyperlink w:anchor="__RefHeading___Toc4134_1450298465">
            <w:r>
              <w:rPr>
                <w:rStyle w:val="IndexLink"/>
              </w:rPr>
              <w:t>II.3 Principales fonctionnalités de l’application (leanIX)</w:t>
              <w:tab/>
              <w:t>7</w:t>
            </w:r>
          </w:hyperlink>
        </w:p>
        <w:p>
          <w:pPr>
            <w:pStyle w:val="TOC2"/>
            <w:tabs>
              <w:tab w:val="clear" w:pos="9071"/>
              <w:tab w:val="right" w:pos="9977" w:leader="dot"/>
            </w:tabs>
            <w:rPr/>
          </w:pPr>
          <w:hyperlink w:anchor="__RefHeading___Toc4136_1450298465">
            <w:r>
              <w:rPr>
                <w:rStyle w:val="IndexLink"/>
              </w:rPr>
              <w:t>II.4 Architecture applicative</w:t>
              <w:tab/>
              <w:t>7</w:t>
            </w:r>
          </w:hyperlink>
        </w:p>
        <w:p>
          <w:pPr>
            <w:pStyle w:val="TOC3"/>
            <w:tabs>
              <w:tab w:val="clear" w:pos="9071"/>
              <w:tab w:val="right" w:pos="9977" w:leader="dot"/>
            </w:tabs>
            <w:rPr/>
          </w:pPr>
          <w:hyperlink w:anchor="__RefHeading___Toc4138_1450298465">
            <w:r>
              <w:rPr>
                <w:rStyle w:val="IndexLink"/>
              </w:rPr>
              <w:t>II.4.1 Schéma détaillé de l’architecture applicative</w:t>
              <w:tab/>
              <w:t>7</w:t>
            </w:r>
          </w:hyperlink>
        </w:p>
        <w:p>
          <w:pPr>
            <w:pStyle w:val="TOC3"/>
            <w:tabs>
              <w:tab w:val="clear" w:pos="9071"/>
              <w:tab w:val="right" w:pos="9977" w:leader="dot"/>
            </w:tabs>
            <w:rPr/>
          </w:pPr>
          <w:hyperlink w:anchor="__RefHeading___Toc4140_1450298465">
            <w:r>
              <w:rPr>
                <w:rStyle w:val="IndexLink"/>
              </w:rPr>
              <w:t>II.4.2 Liste des composants applicatifs (leanX)</w:t>
              <w:tab/>
              <w:t>8</w:t>
            </w:r>
          </w:hyperlink>
        </w:p>
        <w:p>
          <w:pPr>
            <w:pStyle w:val="TOC1"/>
            <w:tabs>
              <w:tab w:val="clear" w:pos="9071"/>
              <w:tab w:val="right" w:pos="9977" w:leader="dot"/>
            </w:tabs>
            <w:rPr/>
          </w:pPr>
          <w:hyperlink w:anchor="__RefHeading___Toc4142_1450298465">
            <w:r>
              <w:rPr>
                <w:rStyle w:val="IndexLink"/>
              </w:rPr>
              <w:t>III. Architecture technique de recette/pré production</w:t>
              <w:tab/>
              <w:t>8</w:t>
            </w:r>
          </w:hyperlink>
        </w:p>
        <w:p>
          <w:pPr>
            <w:pStyle w:val="TOC2"/>
            <w:tabs>
              <w:tab w:val="clear" w:pos="9071"/>
              <w:tab w:val="right" w:pos="9977" w:leader="dot"/>
            </w:tabs>
            <w:rPr/>
          </w:pPr>
          <w:hyperlink w:anchor="__RefHeading___Toc4144_1450298465">
            <w:r>
              <w:rPr>
                <w:rStyle w:val="IndexLink"/>
              </w:rPr>
              <w:t>III.1 Schéma d’architecture technique (LeanIX)</w:t>
              <w:tab/>
              <w:t>8</w:t>
            </w:r>
          </w:hyperlink>
        </w:p>
        <w:p>
          <w:pPr>
            <w:pStyle w:val="TOC2"/>
            <w:tabs>
              <w:tab w:val="clear" w:pos="9071"/>
              <w:tab w:val="right" w:pos="9977" w:leader="dot"/>
            </w:tabs>
            <w:rPr/>
          </w:pPr>
          <w:hyperlink w:anchor="__RefHeading___Toc4146_1450298465">
            <w:r>
              <w:rPr>
                <w:rStyle w:val="IndexLink"/>
              </w:rPr>
              <w:t>III.2 Spécification par Serveurs</w:t>
              <w:tab/>
              <w:t>9</w:t>
            </w:r>
          </w:hyperlink>
        </w:p>
        <w:p>
          <w:pPr>
            <w:pStyle w:val="TOC3"/>
            <w:tabs>
              <w:tab w:val="clear" w:pos="9071"/>
              <w:tab w:val="right" w:pos="9977" w:leader="dot"/>
            </w:tabs>
            <w:rPr/>
          </w:pPr>
          <w:hyperlink w:anchor="__RefHeading___Toc4148_1450298465">
            <w:r>
              <w:rPr>
                <w:rStyle w:val="IndexLink"/>
              </w:rPr>
              <w:t>III.2.1 Serveur présentation : VM SIB Work hors production (rôle mutualisé)</w:t>
              <w:tab/>
              <w:t>9</w:t>
            </w:r>
          </w:hyperlink>
        </w:p>
        <w:p>
          <w:pPr>
            <w:pStyle w:val="TOC4"/>
            <w:tabs>
              <w:tab w:val="clear" w:pos="9071"/>
              <w:tab w:val="left" w:pos="1760" w:leader="none"/>
              <w:tab w:val="right" w:pos="9977" w:leader="dot"/>
            </w:tabs>
            <w:rPr/>
          </w:pPr>
          <w:hyperlink w:anchor="__RefHeading___Toc4150_1450298465">
            <w:r>
              <w:rPr>
                <w:rStyle w:val="IndexLink"/>
              </w:rPr>
              <w:t>a.</w:t>
              <w:tab/>
              <w:t>Configuration matérielle</w:t>
              <w:tab/>
              <w:t>9</w:t>
            </w:r>
          </w:hyperlink>
        </w:p>
        <w:p>
          <w:pPr>
            <w:pStyle w:val="TOC4"/>
            <w:tabs>
              <w:tab w:val="clear" w:pos="9071"/>
              <w:tab w:val="left" w:pos="1760" w:leader="none"/>
              <w:tab w:val="right" w:pos="9977" w:leader="dot"/>
            </w:tabs>
            <w:rPr/>
          </w:pPr>
          <w:hyperlink w:anchor="__RefHeading___Toc4152_1450298465">
            <w:r>
              <w:rPr>
                <w:rStyle w:val="IndexLink"/>
              </w:rPr>
              <w:t>b.</w:t>
              <w:tab/>
              <w:t>Composant applicatif</w:t>
              <w:tab/>
              <w:t>9</w:t>
            </w:r>
          </w:hyperlink>
        </w:p>
        <w:p>
          <w:pPr>
            <w:pStyle w:val="TOC4"/>
            <w:tabs>
              <w:tab w:val="clear" w:pos="9071"/>
              <w:tab w:val="left" w:pos="1760" w:leader="none"/>
              <w:tab w:val="right" w:pos="9977" w:leader="dot"/>
            </w:tabs>
            <w:rPr/>
          </w:pPr>
          <w:hyperlink w:anchor="__RefHeading___Toc4154_1450298465">
            <w:r>
              <w:rPr>
                <w:rStyle w:val="IndexLink"/>
              </w:rPr>
              <w:t>c.</w:t>
              <w:tab/>
              <w:t>Spécificité</w:t>
              <w:tab/>
              <w:t>9</w:t>
            </w:r>
          </w:hyperlink>
        </w:p>
        <w:p>
          <w:pPr>
            <w:pStyle w:val="TOC3"/>
            <w:tabs>
              <w:tab w:val="clear" w:pos="9071"/>
              <w:tab w:val="right" w:pos="9977" w:leader="dot"/>
            </w:tabs>
            <w:rPr/>
          </w:pPr>
          <w:hyperlink w:anchor="__RefHeading___Toc4156_1450298465">
            <w:r>
              <w:rPr>
                <w:rStyle w:val="IndexLink"/>
              </w:rPr>
              <w:t>III.2.2 Serveur d’application : VM SIB Work hors production (même VM)</w:t>
              <w:tab/>
              <w:t>9</w:t>
            </w:r>
          </w:hyperlink>
        </w:p>
        <w:p>
          <w:pPr>
            <w:pStyle w:val="TOC4"/>
            <w:tabs>
              <w:tab w:val="clear" w:pos="9071"/>
              <w:tab w:val="left" w:pos="1760" w:leader="none"/>
              <w:tab w:val="right" w:pos="9977" w:leader="dot"/>
            </w:tabs>
            <w:rPr/>
          </w:pPr>
          <w:hyperlink w:anchor="__RefHeading___Toc4158_1450298465">
            <w:r>
              <w:rPr>
                <w:rStyle w:val="IndexLink"/>
              </w:rPr>
              <w:t>a.</w:t>
              <w:tab/>
              <w:t>Configuration matérielle</w:t>
              <w:tab/>
              <w:t>10</w:t>
            </w:r>
          </w:hyperlink>
        </w:p>
        <w:p>
          <w:pPr>
            <w:pStyle w:val="TOC4"/>
            <w:tabs>
              <w:tab w:val="clear" w:pos="9071"/>
              <w:tab w:val="left" w:pos="1760" w:leader="none"/>
              <w:tab w:val="right" w:pos="9977" w:leader="dot"/>
            </w:tabs>
            <w:rPr/>
          </w:pPr>
          <w:hyperlink w:anchor="__RefHeading___Toc4160_1450298465">
            <w:r>
              <w:rPr>
                <w:rStyle w:val="IndexLink"/>
              </w:rPr>
              <w:t>b.</w:t>
              <w:tab/>
              <w:t>Composant applicatif</w:t>
              <w:tab/>
              <w:t>10</w:t>
            </w:r>
          </w:hyperlink>
        </w:p>
        <w:p>
          <w:pPr>
            <w:pStyle w:val="TOC4"/>
            <w:tabs>
              <w:tab w:val="clear" w:pos="9071"/>
              <w:tab w:val="left" w:pos="1760" w:leader="none"/>
              <w:tab w:val="right" w:pos="9977" w:leader="dot"/>
            </w:tabs>
            <w:rPr/>
          </w:pPr>
          <w:hyperlink w:anchor="__RefHeading___Toc4162_1450298465">
            <w:r>
              <w:rPr>
                <w:rStyle w:val="IndexLink"/>
              </w:rPr>
              <w:t>c.</w:t>
              <w:tab/>
              <w:t>Spécificité</w:t>
              <w:tab/>
              <w:t>10</w:t>
            </w:r>
          </w:hyperlink>
        </w:p>
        <w:p>
          <w:pPr>
            <w:pStyle w:val="TOC3"/>
            <w:tabs>
              <w:tab w:val="clear" w:pos="9071"/>
              <w:tab w:val="right" w:pos="9977" w:leader="dot"/>
            </w:tabs>
            <w:rPr/>
          </w:pPr>
          <w:hyperlink w:anchor="__RefHeading___Toc4164_1450298465">
            <w:r>
              <w:rPr>
                <w:rStyle w:val="IndexLink"/>
              </w:rPr>
              <w:t>III.2.3 Serveur de base de données : aucun serveur dédié</w:t>
              <w:tab/>
              <w:t>10</w:t>
            </w:r>
          </w:hyperlink>
        </w:p>
        <w:p>
          <w:pPr>
            <w:pStyle w:val="TOC4"/>
            <w:tabs>
              <w:tab w:val="clear" w:pos="9071"/>
              <w:tab w:val="left" w:pos="1760" w:leader="none"/>
              <w:tab w:val="right" w:pos="9977" w:leader="dot"/>
            </w:tabs>
            <w:rPr/>
          </w:pPr>
          <w:hyperlink w:anchor="__RefHeading___Toc4166_1450298465">
            <w:r>
              <w:rPr>
                <w:rStyle w:val="IndexLink"/>
              </w:rPr>
              <w:t>a.</w:t>
              <w:tab/>
              <w:t>Configuration matérielle</w:t>
              <w:tab/>
              <w:t>10</w:t>
            </w:r>
          </w:hyperlink>
        </w:p>
        <w:p>
          <w:pPr>
            <w:pStyle w:val="TOC4"/>
            <w:tabs>
              <w:tab w:val="clear" w:pos="9071"/>
              <w:tab w:val="left" w:pos="1760" w:leader="none"/>
              <w:tab w:val="right" w:pos="9977" w:leader="dot"/>
            </w:tabs>
            <w:rPr/>
          </w:pPr>
          <w:hyperlink w:anchor="__RefHeading___Toc4168_1450298465">
            <w:r>
              <w:rPr>
                <w:rStyle w:val="IndexLink"/>
              </w:rPr>
              <w:t>b.</w:t>
              <w:tab/>
              <w:t>Composant applicatif</w:t>
              <w:tab/>
              <w:t>10</w:t>
            </w:r>
          </w:hyperlink>
        </w:p>
        <w:p>
          <w:pPr>
            <w:pStyle w:val="TOC4"/>
            <w:tabs>
              <w:tab w:val="clear" w:pos="9071"/>
              <w:tab w:val="left" w:pos="1760" w:leader="none"/>
              <w:tab w:val="right" w:pos="9977" w:leader="dot"/>
            </w:tabs>
            <w:rPr/>
          </w:pPr>
          <w:hyperlink w:anchor="__RefHeading___Toc4170_1450298465">
            <w:r>
              <w:rPr>
                <w:rStyle w:val="IndexLink"/>
              </w:rPr>
              <w:t>c.</w:t>
              <w:tab/>
              <w:t>Spécificité</w:t>
              <w:tab/>
              <w:t>10</w:t>
            </w:r>
          </w:hyperlink>
        </w:p>
        <w:p>
          <w:pPr>
            <w:pStyle w:val="TOC3"/>
            <w:tabs>
              <w:tab w:val="clear" w:pos="9071"/>
              <w:tab w:val="right" w:pos="9977" w:leader="dot"/>
            </w:tabs>
            <w:rPr/>
          </w:pPr>
          <w:hyperlink w:anchor="__RefHeading___Toc4172_1450298465">
            <w:r>
              <w:rPr>
                <w:rStyle w:val="IndexLink"/>
              </w:rPr>
              <w:t>III.2.4 Serveur batch : VM SIB Work hors production (même VM)</w:t>
              <w:tab/>
              <w:t>10</w:t>
            </w:r>
          </w:hyperlink>
        </w:p>
        <w:p>
          <w:pPr>
            <w:pStyle w:val="TOC4"/>
            <w:tabs>
              <w:tab w:val="clear" w:pos="9071"/>
              <w:tab w:val="left" w:pos="1760" w:leader="none"/>
              <w:tab w:val="right" w:pos="9977" w:leader="dot"/>
            </w:tabs>
            <w:rPr/>
          </w:pPr>
          <w:hyperlink w:anchor="__RefHeading___Toc4174_1450298465">
            <w:r>
              <w:rPr>
                <w:rStyle w:val="IndexLink"/>
              </w:rPr>
              <w:t>a.</w:t>
              <w:tab/>
              <w:t>Configuration matérielle</w:t>
              <w:tab/>
              <w:t>10</w:t>
            </w:r>
          </w:hyperlink>
        </w:p>
        <w:p>
          <w:pPr>
            <w:pStyle w:val="TOC4"/>
            <w:tabs>
              <w:tab w:val="clear" w:pos="9071"/>
              <w:tab w:val="left" w:pos="1760" w:leader="none"/>
              <w:tab w:val="right" w:pos="9977" w:leader="dot"/>
            </w:tabs>
            <w:rPr/>
          </w:pPr>
          <w:hyperlink w:anchor="__RefHeading___Toc4176_1450298465">
            <w:r>
              <w:rPr>
                <w:rStyle w:val="IndexLink"/>
              </w:rPr>
              <w:t>b.</w:t>
              <w:tab/>
              <w:t>Composant applicatif</w:t>
              <w:tab/>
              <w:t>11</w:t>
            </w:r>
          </w:hyperlink>
        </w:p>
        <w:p>
          <w:pPr>
            <w:pStyle w:val="TOC4"/>
            <w:tabs>
              <w:tab w:val="clear" w:pos="9071"/>
              <w:tab w:val="left" w:pos="1760" w:leader="none"/>
              <w:tab w:val="right" w:pos="9977" w:leader="dot"/>
            </w:tabs>
            <w:rPr/>
          </w:pPr>
          <w:hyperlink w:anchor="__RefHeading___Toc4178_1450298465">
            <w:r>
              <w:rPr>
                <w:rStyle w:val="IndexLink"/>
              </w:rPr>
              <w:t>c.</w:t>
              <w:tab/>
              <w:t>Spécificité</w:t>
              <w:tab/>
              <w:t>11</w:t>
            </w:r>
          </w:hyperlink>
        </w:p>
        <w:p>
          <w:pPr>
            <w:pStyle w:val="TOC2"/>
            <w:tabs>
              <w:tab w:val="clear" w:pos="9071"/>
              <w:tab w:val="right" w:pos="9977" w:leader="dot"/>
            </w:tabs>
            <w:rPr/>
          </w:pPr>
          <w:hyperlink w:anchor="__RefHeading___Toc4180_1450298465">
            <w:r>
              <w:rPr>
                <w:rStyle w:val="IndexLink"/>
              </w:rPr>
              <w:t>III.3 Flux internes</w:t>
              <w:tab/>
              <w:t>11</w:t>
            </w:r>
          </w:hyperlink>
        </w:p>
        <w:p>
          <w:pPr>
            <w:pStyle w:val="TOC2"/>
            <w:tabs>
              <w:tab w:val="clear" w:pos="9071"/>
              <w:tab w:val="right" w:pos="9977" w:leader="dot"/>
            </w:tabs>
            <w:rPr/>
          </w:pPr>
          <w:hyperlink w:anchor="__RefHeading___Toc4182_1450298465">
            <w:r>
              <w:rPr>
                <w:rStyle w:val="IndexLink"/>
              </w:rPr>
              <w:t>III.4 Flux externes et sortants</w:t>
              <w:tab/>
              <w:t>11</w:t>
            </w:r>
          </w:hyperlink>
        </w:p>
        <w:p>
          <w:pPr>
            <w:pStyle w:val="TOC1"/>
            <w:tabs>
              <w:tab w:val="clear" w:pos="9071"/>
              <w:tab w:val="right" w:pos="9977" w:leader="dot"/>
            </w:tabs>
            <w:rPr/>
          </w:pPr>
          <w:hyperlink w:anchor="__RefHeading___Toc4184_1450298465">
            <w:r>
              <w:rPr>
                <w:rStyle w:val="IndexLink"/>
              </w:rPr>
              <w:t>IV. Architecture technique de production</w:t>
              <w:tab/>
              <w:t>12</w:t>
            </w:r>
          </w:hyperlink>
        </w:p>
        <w:p>
          <w:pPr>
            <w:pStyle w:val="TOC2"/>
            <w:tabs>
              <w:tab w:val="clear" w:pos="9071"/>
              <w:tab w:val="right" w:pos="9977" w:leader="dot"/>
            </w:tabs>
            <w:rPr/>
          </w:pPr>
          <w:hyperlink w:anchor="__RefHeading___Toc4186_1450298465">
            <w:r>
              <w:rPr>
                <w:rStyle w:val="IndexLink"/>
              </w:rPr>
              <w:t>IV.1 Schéma d’architecture technique (leanIX)</w:t>
              <w:tab/>
              <w:t>12</w:t>
            </w:r>
          </w:hyperlink>
        </w:p>
        <w:p>
          <w:pPr>
            <w:pStyle w:val="TOC2"/>
            <w:tabs>
              <w:tab w:val="clear" w:pos="9071"/>
              <w:tab w:val="right" w:pos="9977" w:leader="dot"/>
            </w:tabs>
            <w:rPr/>
          </w:pPr>
          <w:hyperlink w:anchor="__RefHeading___Toc4188_1450298465">
            <w:r>
              <w:rPr>
                <w:rStyle w:val="IndexLink"/>
              </w:rPr>
              <w:t>IV.2 Spécification par Serveurs</w:t>
              <w:tab/>
              <w:t>12</w:t>
            </w:r>
          </w:hyperlink>
        </w:p>
        <w:p>
          <w:pPr>
            <w:pStyle w:val="TOC3"/>
            <w:tabs>
              <w:tab w:val="clear" w:pos="9071"/>
              <w:tab w:val="right" w:pos="9977" w:leader="dot"/>
            </w:tabs>
            <w:rPr/>
          </w:pPr>
          <w:hyperlink w:anchor="__RefHeading___Toc4190_1450298465">
            <w:r>
              <w:rPr>
                <w:rStyle w:val="IndexLink"/>
              </w:rPr>
              <w:t>IV.2.1 Serveur présentation : VM SIB Work production (rôle mutualisé)</w:t>
              <w:tab/>
              <w:t>12</w:t>
            </w:r>
          </w:hyperlink>
        </w:p>
        <w:p>
          <w:pPr>
            <w:pStyle w:val="TOC4"/>
            <w:tabs>
              <w:tab w:val="clear" w:pos="9071"/>
              <w:tab w:val="left" w:pos="1760" w:leader="none"/>
              <w:tab w:val="right" w:pos="9977" w:leader="dot"/>
            </w:tabs>
            <w:rPr/>
          </w:pPr>
          <w:hyperlink w:anchor="__RefHeading___Toc4192_1450298465">
            <w:r>
              <w:rPr>
                <w:rStyle w:val="IndexLink"/>
              </w:rPr>
              <w:t>a.</w:t>
              <w:tab/>
              <w:t>Configuration matérielle</w:t>
              <w:tab/>
              <w:t>12</w:t>
            </w:r>
          </w:hyperlink>
        </w:p>
        <w:p>
          <w:pPr>
            <w:pStyle w:val="TOC4"/>
            <w:tabs>
              <w:tab w:val="clear" w:pos="9071"/>
              <w:tab w:val="left" w:pos="1760" w:leader="none"/>
              <w:tab w:val="right" w:pos="9977" w:leader="dot"/>
            </w:tabs>
            <w:rPr/>
          </w:pPr>
          <w:hyperlink w:anchor="__RefHeading___Toc4194_1450298465">
            <w:r>
              <w:rPr>
                <w:rStyle w:val="IndexLink"/>
              </w:rPr>
              <w:t>b.</w:t>
              <w:tab/>
              <w:t>Composant applicatif</w:t>
              <w:tab/>
              <w:t>12</w:t>
            </w:r>
          </w:hyperlink>
        </w:p>
        <w:p>
          <w:pPr>
            <w:pStyle w:val="TOC4"/>
            <w:tabs>
              <w:tab w:val="clear" w:pos="9071"/>
              <w:tab w:val="left" w:pos="1760" w:leader="none"/>
              <w:tab w:val="right" w:pos="9977" w:leader="dot"/>
            </w:tabs>
            <w:rPr/>
          </w:pPr>
          <w:hyperlink w:anchor="__RefHeading___Toc4196_1450298465">
            <w:r>
              <w:rPr>
                <w:rStyle w:val="IndexLink"/>
              </w:rPr>
              <w:t>c.</w:t>
              <w:tab/>
              <w:t>Spécificité</w:t>
              <w:tab/>
              <w:t>13</w:t>
            </w:r>
          </w:hyperlink>
        </w:p>
        <w:p>
          <w:pPr>
            <w:pStyle w:val="TOC3"/>
            <w:tabs>
              <w:tab w:val="clear" w:pos="9071"/>
              <w:tab w:val="right" w:pos="9977" w:leader="dot"/>
            </w:tabs>
            <w:rPr/>
          </w:pPr>
          <w:hyperlink w:anchor="__RefHeading___Toc4198_1450298465">
            <w:r>
              <w:rPr>
                <w:rStyle w:val="IndexLink"/>
              </w:rPr>
              <w:t>IV.2.2 Serveur d’application : VM SIB Work production (même VM)</w:t>
              <w:tab/>
              <w:t>13</w:t>
            </w:r>
          </w:hyperlink>
        </w:p>
        <w:p>
          <w:pPr>
            <w:pStyle w:val="TOC4"/>
            <w:tabs>
              <w:tab w:val="clear" w:pos="9071"/>
              <w:tab w:val="left" w:pos="1760" w:leader="none"/>
              <w:tab w:val="right" w:pos="9977" w:leader="dot"/>
            </w:tabs>
            <w:rPr/>
          </w:pPr>
          <w:hyperlink w:anchor="__RefHeading___Toc4200_1450298465">
            <w:r>
              <w:rPr>
                <w:rStyle w:val="IndexLink"/>
              </w:rPr>
              <w:t>a.</w:t>
              <w:tab/>
              <w:t>Configuration matérielle</w:t>
              <w:tab/>
              <w:t>13</w:t>
            </w:r>
          </w:hyperlink>
        </w:p>
        <w:p>
          <w:pPr>
            <w:pStyle w:val="TOC4"/>
            <w:tabs>
              <w:tab w:val="clear" w:pos="9071"/>
              <w:tab w:val="left" w:pos="1760" w:leader="none"/>
              <w:tab w:val="right" w:pos="9977" w:leader="dot"/>
            </w:tabs>
            <w:rPr/>
          </w:pPr>
          <w:hyperlink w:anchor="__RefHeading___Toc4202_1450298465">
            <w:r>
              <w:rPr>
                <w:rStyle w:val="IndexLink"/>
              </w:rPr>
              <w:t>b.</w:t>
              <w:tab/>
              <w:t>Composant applicatif</w:t>
              <w:tab/>
              <w:t>13</w:t>
            </w:r>
          </w:hyperlink>
        </w:p>
        <w:p>
          <w:pPr>
            <w:pStyle w:val="TOC4"/>
            <w:tabs>
              <w:tab w:val="clear" w:pos="9071"/>
              <w:tab w:val="left" w:pos="1760" w:leader="none"/>
              <w:tab w:val="right" w:pos="9977" w:leader="dot"/>
            </w:tabs>
            <w:rPr/>
          </w:pPr>
          <w:hyperlink w:anchor="__RefHeading___Toc4204_1450298465">
            <w:r>
              <w:rPr>
                <w:rStyle w:val="IndexLink"/>
              </w:rPr>
              <w:t>c.</w:t>
              <w:tab/>
              <w:t>Spécificité</w:t>
              <w:tab/>
              <w:t>13</w:t>
            </w:r>
          </w:hyperlink>
        </w:p>
        <w:p>
          <w:pPr>
            <w:pStyle w:val="TOC3"/>
            <w:tabs>
              <w:tab w:val="clear" w:pos="9071"/>
              <w:tab w:val="right" w:pos="9977" w:leader="dot"/>
            </w:tabs>
            <w:rPr/>
          </w:pPr>
          <w:hyperlink w:anchor="__RefHeading___Toc4206_1450298465">
            <w:r>
              <w:rPr>
                <w:rStyle w:val="IndexLink"/>
              </w:rPr>
              <w:t>IV.2.3 Serveur de base de données : aucun serveur dédié</w:t>
              <w:tab/>
              <w:t>13</w:t>
            </w:r>
          </w:hyperlink>
        </w:p>
        <w:p>
          <w:pPr>
            <w:pStyle w:val="TOC4"/>
            <w:tabs>
              <w:tab w:val="clear" w:pos="9071"/>
              <w:tab w:val="left" w:pos="1760" w:leader="none"/>
              <w:tab w:val="right" w:pos="9977" w:leader="dot"/>
            </w:tabs>
            <w:rPr/>
          </w:pPr>
          <w:hyperlink w:anchor="__RefHeading___Toc4208_1450298465">
            <w:r>
              <w:rPr>
                <w:rStyle w:val="IndexLink"/>
              </w:rPr>
              <w:t>a.</w:t>
              <w:tab/>
              <w:t>Configuration matérielle</w:t>
              <w:tab/>
              <w:t>13</w:t>
            </w:r>
          </w:hyperlink>
        </w:p>
        <w:p>
          <w:pPr>
            <w:pStyle w:val="TOC4"/>
            <w:tabs>
              <w:tab w:val="clear" w:pos="9071"/>
              <w:tab w:val="left" w:pos="1760" w:leader="none"/>
              <w:tab w:val="right" w:pos="9977" w:leader="dot"/>
            </w:tabs>
            <w:rPr/>
          </w:pPr>
          <w:hyperlink w:anchor="__RefHeading___Toc4210_1450298465">
            <w:r>
              <w:rPr>
                <w:rStyle w:val="IndexLink"/>
              </w:rPr>
              <w:t>b.</w:t>
              <w:tab/>
              <w:t>Composant applicatif</w:t>
              <w:tab/>
              <w:t>13</w:t>
            </w:r>
          </w:hyperlink>
        </w:p>
        <w:p>
          <w:pPr>
            <w:pStyle w:val="TOC4"/>
            <w:tabs>
              <w:tab w:val="clear" w:pos="9071"/>
              <w:tab w:val="left" w:pos="1760" w:leader="none"/>
              <w:tab w:val="right" w:pos="9977" w:leader="dot"/>
            </w:tabs>
            <w:rPr/>
          </w:pPr>
          <w:hyperlink w:anchor="__RefHeading___Toc4212_1450298465">
            <w:r>
              <w:rPr>
                <w:rStyle w:val="IndexLink"/>
              </w:rPr>
              <w:t>c.</w:t>
              <w:tab/>
              <w:t>Spécificité</w:t>
              <w:tab/>
              <w:t>13</w:t>
            </w:r>
          </w:hyperlink>
        </w:p>
        <w:p>
          <w:pPr>
            <w:pStyle w:val="TOC3"/>
            <w:tabs>
              <w:tab w:val="clear" w:pos="9071"/>
              <w:tab w:val="right" w:pos="9977" w:leader="dot"/>
            </w:tabs>
            <w:rPr/>
          </w:pPr>
          <w:hyperlink w:anchor="__RefHeading___Toc4214_1450298465">
            <w:r>
              <w:rPr>
                <w:rStyle w:val="IndexLink"/>
              </w:rPr>
              <w:t>IV.2.4 Serveur batch : VM SIB Work production (même VM)</w:t>
              <w:tab/>
              <w:t>14</w:t>
            </w:r>
          </w:hyperlink>
        </w:p>
        <w:p>
          <w:pPr>
            <w:pStyle w:val="TOC4"/>
            <w:tabs>
              <w:tab w:val="clear" w:pos="9071"/>
              <w:tab w:val="left" w:pos="1760" w:leader="none"/>
              <w:tab w:val="right" w:pos="9977" w:leader="dot"/>
            </w:tabs>
            <w:rPr/>
          </w:pPr>
          <w:hyperlink w:anchor="__RefHeading___Toc4216_1450298465">
            <w:r>
              <w:rPr>
                <w:rStyle w:val="IndexLink"/>
              </w:rPr>
              <w:t>a.</w:t>
              <w:tab/>
              <w:t>Configuration matérielle</w:t>
              <w:tab/>
              <w:t>14</w:t>
            </w:r>
          </w:hyperlink>
        </w:p>
        <w:p>
          <w:pPr>
            <w:pStyle w:val="TOC4"/>
            <w:tabs>
              <w:tab w:val="clear" w:pos="9071"/>
              <w:tab w:val="left" w:pos="1760" w:leader="none"/>
              <w:tab w:val="right" w:pos="9977" w:leader="dot"/>
            </w:tabs>
            <w:rPr/>
          </w:pPr>
          <w:hyperlink w:anchor="__RefHeading___Toc4218_1450298465">
            <w:r>
              <w:rPr>
                <w:rStyle w:val="IndexLink"/>
              </w:rPr>
              <w:t>b.</w:t>
              <w:tab/>
              <w:t>Composant applicatif</w:t>
              <w:tab/>
              <w:t>14</w:t>
            </w:r>
          </w:hyperlink>
        </w:p>
        <w:p>
          <w:pPr>
            <w:pStyle w:val="TOC4"/>
            <w:tabs>
              <w:tab w:val="clear" w:pos="9071"/>
              <w:tab w:val="left" w:pos="1760" w:leader="none"/>
              <w:tab w:val="right" w:pos="9977" w:leader="dot"/>
            </w:tabs>
            <w:rPr/>
          </w:pPr>
          <w:hyperlink w:anchor="__RefHeading___Toc4220_1450298465">
            <w:r>
              <w:rPr>
                <w:rStyle w:val="IndexLink"/>
              </w:rPr>
              <w:t>c.</w:t>
              <w:tab/>
              <w:t>Spécificité</w:t>
              <w:tab/>
              <w:t>14</w:t>
            </w:r>
          </w:hyperlink>
        </w:p>
        <w:p>
          <w:pPr>
            <w:pStyle w:val="TOC2"/>
            <w:tabs>
              <w:tab w:val="clear" w:pos="9071"/>
              <w:tab w:val="right" w:pos="9977" w:leader="dot"/>
            </w:tabs>
            <w:rPr/>
          </w:pPr>
          <w:hyperlink w:anchor="__RefHeading___Toc4222_1450298465">
            <w:r>
              <w:rPr>
                <w:rStyle w:val="IndexLink"/>
              </w:rPr>
              <w:t>IV.3 Flux entre applications en production</w:t>
              <w:tab/>
              <w:t>14</w:t>
            </w:r>
          </w:hyperlink>
        </w:p>
        <w:p>
          <w:pPr>
            <w:pStyle w:val="TOC2"/>
            <w:tabs>
              <w:tab w:val="clear" w:pos="9071"/>
              <w:tab w:val="right" w:pos="9977" w:leader="dot"/>
            </w:tabs>
            <w:rPr/>
          </w:pPr>
          <w:hyperlink w:anchor="__RefHeading___Toc4224_1450298465">
            <w:r>
              <w:rPr>
                <w:rStyle w:val="IndexLink"/>
              </w:rPr>
              <w:t>IV.4 Flux avec l’extérieur de production</w:t>
              <w:tab/>
              <w:t>14</w:t>
            </w:r>
          </w:hyperlink>
        </w:p>
        <w:p>
          <w:pPr>
            <w:pStyle w:val="TOC1"/>
            <w:tabs>
              <w:tab w:val="clear" w:pos="9071"/>
              <w:tab w:val="right" w:pos="9977" w:leader="dot"/>
            </w:tabs>
            <w:rPr/>
          </w:pPr>
          <w:hyperlink w:anchor="__RefHeading___Toc4226_1450298465">
            <w:r>
              <w:rPr>
                <w:rStyle w:val="IndexLink"/>
              </w:rPr>
              <w:t>V. Sauvegarde</w:t>
              <w:tab/>
              <w:t>15</w:t>
            </w:r>
          </w:hyperlink>
        </w:p>
        <w:p>
          <w:pPr>
            <w:pStyle w:val="TOC2"/>
            <w:tabs>
              <w:tab w:val="clear" w:pos="9071"/>
              <w:tab w:val="right" w:pos="9977" w:leader="dot"/>
            </w:tabs>
            <w:rPr/>
          </w:pPr>
          <w:hyperlink w:anchor="__RefHeading___Toc4228_1450298465">
            <w:r>
              <w:rPr>
                <w:rStyle w:val="IndexLink"/>
              </w:rPr>
              <w:t>V.1 Planning des sauvegardes</w:t>
              <w:tab/>
              <w:t>15</w:t>
            </w:r>
          </w:hyperlink>
        </w:p>
        <w:p>
          <w:pPr>
            <w:pStyle w:val="TOC1"/>
            <w:tabs>
              <w:tab w:val="clear" w:pos="9071"/>
              <w:tab w:val="right" w:pos="9977" w:leader="dot"/>
            </w:tabs>
            <w:rPr/>
          </w:pPr>
          <w:hyperlink w:anchor="__RefHeading___Toc4230_1450298465">
            <w:r>
              <w:rPr>
                <w:rStyle w:val="IndexLink"/>
              </w:rPr>
              <w:t>VI. Traitements automatisés</w:t>
              <w:tab/>
              <w:t>15</w:t>
            </w:r>
          </w:hyperlink>
        </w:p>
        <w:p>
          <w:pPr>
            <w:pStyle w:val="TOC2"/>
            <w:tabs>
              <w:tab w:val="clear" w:pos="9071"/>
              <w:tab w:val="right" w:pos="9977" w:leader="dot"/>
            </w:tabs>
            <w:rPr/>
          </w:pPr>
          <w:hyperlink w:anchor="__RefHeading___Toc4232_1450298465">
            <w:r>
              <w:rPr>
                <w:rStyle w:val="IndexLink"/>
              </w:rPr>
              <w:t>VI.1 Exploitation</w:t>
              <w:tab/>
              <w:t>15</w:t>
            </w:r>
          </w:hyperlink>
        </w:p>
        <w:p>
          <w:pPr>
            <w:pStyle w:val="TOC2"/>
            <w:tabs>
              <w:tab w:val="clear" w:pos="9071"/>
              <w:tab w:val="right" w:pos="9977" w:leader="dot"/>
            </w:tabs>
            <w:rPr/>
          </w:pPr>
          <w:hyperlink w:anchor="__RefHeading___Toc4234_1450298465">
            <w:r>
              <w:rPr>
                <w:rStyle w:val="IndexLink"/>
              </w:rPr>
              <w:t>VI.2 Applicatif</w:t>
              <w:tab/>
              <w:t>16</w:t>
            </w:r>
          </w:hyperlink>
        </w:p>
        <w:p>
          <w:pPr>
            <w:pStyle w:val="TOC1"/>
            <w:tabs>
              <w:tab w:val="clear" w:pos="9071"/>
              <w:tab w:val="right" w:pos="9977" w:leader="dot"/>
            </w:tabs>
            <w:rPr/>
          </w:pPr>
          <w:hyperlink w:anchor="__RefHeading___Toc4236_1450298465">
            <w:r>
              <w:rPr>
                <w:rStyle w:val="IndexLink"/>
              </w:rPr>
              <w:t>VII. Procédures d’arrêt et démarrage</w:t>
              <w:tab/>
              <w:t>16</w:t>
            </w:r>
          </w:hyperlink>
        </w:p>
        <w:p>
          <w:pPr>
            <w:pStyle w:val="TOC2"/>
            <w:tabs>
              <w:tab w:val="clear" w:pos="9071"/>
              <w:tab w:val="right" w:pos="9977" w:leader="dot"/>
            </w:tabs>
            <w:rPr/>
          </w:pPr>
          <w:hyperlink w:anchor="__RefHeading___Toc4238_1450298465">
            <w:r>
              <w:rPr>
                <w:rStyle w:val="IndexLink"/>
              </w:rPr>
              <w:t>VII.1 Arrêt de l’application</w:t>
              <w:tab/>
              <w:t>16</w:t>
            </w:r>
          </w:hyperlink>
        </w:p>
        <w:p>
          <w:pPr>
            <w:pStyle w:val="TOC2"/>
            <w:tabs>
              <w:tab w:val="clear" w:pos="9071"/>
              <w:tab w:val="right" w:pos="9977" w:leader="dot"/>
            </w:tabs>
            <w:rPr/>
          </w:pPr>
          <w:hyperlink w:anchor="__RefHeading___Toc4240_1450298465">
            <w:r>
              <w:rPr>
                <w:rStyle w:val="IndexLink"/>
              </w:rPr>
              <w:t>VII.2 Démarrage de l’application</w:t>
              <w:tab/>
              <w:t>16</w:t>
            </w:r>
          </w:hyperlink>
        </w:p>
        <w:p>
          <w:pPr>
            <w:pStyle w:val="TOC1"/>
            <w:tabs>
              <w:tab w:val="clear" w:pos="9071"/>
              <w:tab w:val="right" w:pos="9977" w:leader="dot"/>
            </w:tabs>
            <w:rPr/>
          </w:pPr>
          <w:hyperlink w:anchor="__RefHeading___Toc4242_1450298465">
            <w:r>
              <w:rPr>
                <w:rStyle w:val="IndexLink"/>
              </w:rPr>
              <w:t>VIII. Consignes d’exploitation</w:t>
              <w:tab/>
              <w:t>17</w:t>
            </w:r>
          </w:hyperlink>
        </w:p>
        <w:p>
          <w:pPr>
            <w:pStyle w:val="TOC2"/>
            <w:tabs>
              <w:tab w:val="clear" w:pos="9071"/>
              <w:tab w:val="right" w:pos="9977" w:leader="dot"/>
            </w:tabs>
            <w:rPr/>
          </w:pPr>
          <w:hyperlink w:anchor="__RefHeading___Toc4244_1450298465">
            <w:r>
              <w:rPr>
                <w:rStyle w:val="IndexLink"/>
              </w:rPr>
              <w:t>VIII.1 Supervision mise en place</w:t>
              <w:tab/>
              <w:t>17</w:t>
            </w:r>
          </w:hyperlink>
        </w:p>
        <w:p>
          <w:pPr>
            <w:pStyle w:val="TOC2"/>
            <w:tabs>
              <w:tab w:val="clear" w:pos="9071"/>
              <w:tab w:val="right" w:pos="9977" w:leader="dot"/>
            </w:tabs>
            <w:rPr/>
          </w:pPr>
          <w:hyperlink w:anchor="__RefHeading___Toc4246_1450298465">
            <w:r>
              <w:rPr>
                <w:rStyle w:val="IndexLink"/>
              </w:rPr>
              <w:t>VIII.2 Consignes d’exploitation</w:t>
              <w:tab/>
              <w:t>17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widowControl/>
        <w:rPr/>
      </w:pPr>
      <w:r>
        <w:rPr/>
      </w:r>
      <w:r>
        <w:br w:type="page"/>
      </w:r>
    </w:p>
    <w:p>
      <w:pPr>
        <w:pStyle w:val="Normal"/>
        <w:spacing w:before="0" w:after="0"/>
        <w:rPr/>
      </w:pPr>
      <w:r>
        <w:rPr/>
      </w:r>
      <w:bookmarkStart w:id="0" w:name="_Hlk203141858"/>
      <w:bookmarkStart w:id="1" w:name="_Hlk203141858"/>
    </w:p>
    <w:p>
      <w:pPr>
        <w:pStyle w:val="Heading1"/>
        <w:rPr/>
      </w:pPr>
      <w:bookmarkStart w:id="2" w:name="_Hlk203141858"/>
      <w:bookmarkStart w:id="3" w:name="__RefHeading___Toc4110_1450298465"/>
      <w:bookmarkStart w:id="4" w:name="_Hlk203141114"/>
      <w:bookmarkStart w:id="5" w:name="_Toc180072690"/>
      <w:bookmarkEnd w:id="3"/>
      <w:bookmarkEnd w:id="4"/>
      <w:r>
        <w:rPr>
          <w:rFonts w:ascii="Arial" w:hAnsi="Arial"/>
        </w:rPr>
        <w:t>Objet du document</w:t>
      </w:r>
      <w:bookmarkEnd w:id="2"/>
      <w:bookmarkEnd w:id="5"/>
    </w:p>
    <w:p>
      <w:pPr>
        <w:pStyle w:val="Normal"/>
        <w:rPr/>
      </w:pPr>
      <w:r>
        <w:rPr/>
      </w:r>
    </w:p>
    <w:p>
      <w:pPr>
        <w:pStyle w:val="Normal"/>
        <w:spacing w:before="0" w:after="80"/>
        <w:rPr/>
      </w:pPr>
      <w:r>
        <w:rPr>
          <w:rFonts w:ascii="Arial" w:hAnsi="Arial"/>
          <w:b w:val="false"/>
          <w:sz w:val="19"/>
        </w:rPr>
        <w:t>Ce Dossier des Consignes d’Exploitation décrit l’état source observé de SIB Work, l’architecture cible recommandée pour l’OFB, les flux, les sauvegardes, les traitements et les procédures nécessaires à sa mise en exploitation. Il est créé comme DEX initial d’une nouvelle application, conformément au processus DEX V0.1 : complétion pendant le projet, relecture par l’exploitation, mise en place de la supervision, validation Infrastructure puis passage en RUN.</w:t>
      </w:r>
    </w:p>
    <w:p>
      <w:pPr>
        <w:pStyle w:val="Heading2"/>
        <w:spacing w:before="0" w:after="80"/>
        <w:ind w:hanging="425" w:left="765"/>
        <w:rPr/>
      </w:pPr>
      <w:bookmarkStart w:id="6" w:name="__RefHeading___Toc4112_1450298465"/>
      <w:bookmarkEnd w:id="6"/>
      <w:r>
        <w:rPr>
          <w:rFonts w:ascii="Arial" w:hAnsi="Arial"/>
          <w:b w:val="false"/>
          <w:sz w:val="19"/>
        </w:rPr>
        <w:t>Points à compléter avant validation finale</w:t>
      </w:r>
    </w:p>
    <w:tbl>
      <w:tblPr>
        <w:tblStyle w:val="Grilledutableau"/>
        <w:tblW w:w="9979" w:type="dxa"/>
        <w:jc w:val="left"/>
        <w:tblInd w:w="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Look w:val="04a0" w:noHBand="0" w:noVBand="1" w:firstColumn="1" w:lastRow="0" w:lastColumn="0" w:firstRow="1"/>
      </w:tblPr>
      <w:tblGrid>
        <w:gridCol w:w="4989"/>
        <w:gridCol w:w="4989"/>
      </w:tblGrid>
      <w:tr>
        <w:trPr>
          <w:tblHeader w:val="true"/>
        </w:trPr>
        <w:tc>
          <w:tcPr>
            <w:tcW w:w="4989" w:type="dxa"/>
            <w:tcBorders/>
            <w:shd w:fill="2F5597"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/>
                <w:color w:val="FFFFFF"/>
                <w:kern w:val="0"/>
                <w:sz w:val="14"/>
                <w:szCs w:val="20"/>
                <w:lang w:val="fr-FR" w:eastAsia="en-US" w:bidi="ar-SA"/>
              </w:rPr>
              <w:t>Élément</w:t>
            </w:r>
          </w:p>
        </w:tc>
        <w:tc>
          <w:tcPr>
            <w:tcW w:w="4989" w:type="dxa"/>
            <w:tcBorders/>
            <w:shd w:fill="2F5597"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/>
                <w:color w:val="FFFFFF"/>
                <w:kern w:val="0"/>
                <w:sz w:val="14"/>
                <w:szCs w:val="20"/>
                <w:lang w:val="fr-FR" w:eastAsia="en-US" w:bidi="ar-SA"/>
              </w:rPr>
              <w:t>Statut / décision attendue</w:t>
            </w:r>
          </w:p>
        </w:tc>
      </w:tr>
      <w:tr>
        <w:trPr/>
        <w:tc>
          <w:tcPr>
            <w:tcW w:w="4989" w:type="dxa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 w:val="false"/>
                <w:color w:themeColor="text1" w:val="1E4E85"/>
                <w:kern w:val="0"/>
                <w:sz w:val="14"/>
                <w:szCs w:val="20"/>
                <w:lang w:val="fr-FR" w:eastAsia="en-US" w:bidi="ar-SA"/>
              </w:rPr>
              <w:t>Fiche LeanIX</w:t>
            </w:r>
          </w:p>
        </w:tc>
        <w:tc>
          <w:tcPr>
            <w:tcW w:w="4989" w:type="dxa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 w:val="false"/>
                <w:color w:themeColor="text1" w:val="1E4E85"/>
                <w:kern w:val="0"/>
                <w:sz w:val="14"/>
                <w:szCs w:val="20"/>
                <w:lang w:val="fr-FR" w:eastAsia="en-US" w:bidi="ar-SA"/>
              </w:rPr>
              <w:t>Créer ou renseigner la fiche SIB Work et ses abonnements</w:t>
            </w:r>
          </w:p>
        </w:tc>
      </w:tr>
      <w:tr>
        <w:trPr/>
        <w:tc>
          <w:tcPr>
            <w:tcW w:w="4989" w:type="dxa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 w:val="false"/>
                <w:color w:themeColor="text1" w:val="1E4E85"/>
                <w:kern w:val="0"/>
                <w:sz w:val="14"/>
                <w:szCs w:val="20"/>
                <w:lang w:val="fr-FR" w:eastAsia="en-US" w:bidi="ar-SA"/>
              </w:rPr>
              <w:t>Gouvernance</w:t>
            </w:r>
          </w:p>
        </w:tc>
        <w:tc>
          <w:tcPr>
            <w:tcW w:w="4989" w:type="dxa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 w:val="false"/>
                <w:color w:themeColor="text1" w:val="1E4E85"/>
                <w:kern w:val="0"/>
                <w:sz w:val="14"/>
                <w:szCs w:val="20"/>
                <w:lang w:val="fr-FR" w:eastAsia="en-US" w:bidi="ar-SA"/>
              </w:rPr>
              <w:t>Nommer le rédacteur SPED, le vérificateur et l’approbateur Infrastructure</w:t>
            </w:r>
          </w:p>
        </w:tc>
      </w:tr>
      <w:tr>
        <w:trPr/>
        <w:tc>
          <w:tcPr>
            <w:tcW w:w="4989" w:type="dxa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 w:val="false"/>
                <w:color w:themeColor="text1" w:val="1E4E85"/>
                <w:kern w:val="0"/>
                <w:sz w:val="14"/>
                <w:szCs w:val="20"/>
                <w:lang w:val="fr-FR" w:eastAsia="en-US" w:bidi="ar-SA"/>
              </w:rPr>
              <w:t>Cibles</w:t>
            </w:r>
          </w:p>
        </w:tc>
        <w:tc>
          <w:tcPr>
            <w:tcW w:w="4989" w:type="dxa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 w:val="false"/>
                <w:color w:themeColor="text1" w:val="1E4E85"/>
                <w:kern w:val="0"/>
                <w:sz w:val="14"/>
                <w:szCs w:val="20"/>
                <w:lang w:val="fr-FR" w:eastAsia="en-US" w:bidi="ar-SA"/>
              </w:rPr>
              <w:t>Attribuer VM, IP, DNS de recette et production, certificats et comptes de service</w:t>
            </w:r>
          </w:p>
        </w:tc>
      </w:tr>
      <w:tr>
        <w:trPr/>
        <w:tc>
          <w:tcPr>
            <w:tcW w:w="4989" w:type="dxa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 w:val="false"/>
                <w:color w:themeColor="text1" w:val="1E4E85"/>
                <w:kern w:val="0"/>
                <w:sz w:val="14"/>
                <w:szCs w:val="20"/>
                <w:lang w:val="fr-FR" w:eastAsia="en-US" w:bidi="ar-SA"/>
              </w:rPr>
              <w:t>Sécurité</w:t>
            </w:r>
          </w:p>
        </w:tc>
        <w:tc>
          <w:tcPr>
            <w:tcW w:w="4989" w:type="dxa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 w:val="false"/>
                <w:color w:themeColor="text1" w:val="1E4E85"/>
                <w:kern w:val="0"/>
                <w:sz w:val="14"/>
                <w:szCs w:val="20"/>
                <w:lang w:val="fr-FR" w:eastAsia="en-US" w:bidi="ar-SA"/>
              </w:rPr>
              <w:t>Valider SSO/proxy d’accès, exposition des routes, CSP/CDN/tuiles et politique RGPD des logs</w:t>
            </w:r>
          </w:p>
        </w:tc>
      </w:tr>
      <w:tr>
        <w:trPr/>
        <w:tc>
          <w:tcPr>
            <w:tcW w:w="4989" w:type="dxa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 w:val="false"/>
                <w:color w:themeColor="text1" w:val="1E4E85"/>
                <w:kern w:val="0"/>
                <w:sz w:val="14"/>
                <w:szCs w:val="20"/>
                <w:lang w:val="fr-FR" w:eastAsia="en-US" w:bidi="ar-SA"/>
              </w:rPr>
              <w:t>Exploitation</w:t>
            </w:r>
          </w:p>
        </w:tc>
        <w:tc>
          <w:tcPr>
            <w:tcW w:w="4989" w:type="dxa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 w:val="false"/>
                <w:color w:themeColor="text1" w:val="1E4E85"/>
                <w:kern w:val="0"/>
                <w:sz w:val="14"/>
                <w:szCs w:val="20"/>
                <w:lang w:val="fr-FR" w:eastAsia="en-US" w:bidi="ar-SA"/>
              </w:rPr>
              <w:t>Valider SLA, RTO/RPO, sauvegarde, supervision, astreinte et fenêtres de maintenance</w:t>
            </w:r>
          </w:p>
        </w:tc>
      </w:tr>
      <w:tr>
        <w:trPr/>
        <w:tc>
          <w:tcPr>
            <w:tcW w:w="4989" w:type="dxa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 w:val="false"/>
                <w:color w:themeColor="text1" w:val="1E4E85"/>
                <w:kern w:val="0"/>
                <w:sz w:val="14"/>
                <w:szCs w:val="20"/>
                <w:lang w:val="fr-FR" w:eastAsia="en-US" w:bidi="ar-SA"/>
              </w:rPr>
              <w:t>Migration</w:t>
            </w:r>
          </w:p>
        </w:tc>
        <w:tc>
          <w:tcPr>
            <w:tcW w:w="4989" w:type="dxa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 w:val="false"/>
                <w:color w:themeColor="text1" w:val="1E4E85"/>
                <w:kern w:val="0"/>
                <w:sz w:val="14"/>
                <w:szCs w:val="20"/>
                <w:lang w:val="fr-FR" w:eastAsia="en-US" w:bidi="ar-SA"/>
              </w:rPr>
              <w:t>Geler le worktree exact, transférer les données, vérifier les liens puis effectuer une synchronisation finale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ind w:hanging="425" w:left="765"/>
        <w:rPr/>
      </w:pPr>
      <w:bookmarkStart w:id="7" w:name="__RefHeading___Toc4114_1450298465"/>
      <w:bookmarkStart w:id="8" w:name="_Toc180072691"/>
      <w:bookmarkEnd w:id="7"/>
      <w:r>
        <w:rPr>
          <w:rFonts w:ascii="Arial" w:hAnsi="Arial"/>
        </w:rPr>
        <w:t>Document de référence</w:t>
      </w:r>
      <w:bookmarkEnd w:id="8"/>
    </w:p>
    <w:p>
      <w:pPr>
        <w:pStyle w:val="Normal"/>
        <w:rPr/>
      </w:pPr>
      <w:r>
        <w:rPr/>
      </w:r>
    </w:p>
    <w:p>
      <w:pPr>
        <w:pStyle w:val="Normal"/>
        <w:spacing w:before="0" w:after="80"/>
        <w:rPr/>
      </w:pPr>
      <w:r>
        <w:rPr>
          <w:rFonts w:ascii="Arial" w:hAnsi="Arial"/>
          <w:b w:val="false"/>
          <w:sz w:val="19"/>
        </w:rPr>
        <w:t>Les références ci-dessous constituent la base documentaire du DEX. Les chemins historiques devront être adaptés ou maintenus par liens symboliques sur l’infrastructure OFB.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10773" w:type="dxa"/>
        <w:jc w:val="left"/>
        <w:tblInd w:w="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Look w:val="04a0" w:noHBand="0" w:noVBand="1" w:firstColumn="1" w:lastRow="0" w:lastColumn="0" w:firstRow="1"/>
      </w:tblPr>
      <w:tblGrid>
        <w:gridCol w:w="1900"/>
        <w:gridCol w:w="8872"/>
      </w:tblGrid>
      <w:tr>
        <w:trPr>
          <w:tblHeader w:val="true"/>
          <w:trHeight w:val="288" w:hRule="atLeast"/>
        </w:trPr>
        <w:tc>
          <w:tcPr>
            <w:tcW w:w="1900" w:type="dxa"/>
            <w:tcBorders>
              <w:top w:val="single" w:sz="8" w:space="0" w:color="000000"/>
              <w:bottom w:val="single" w:sz="8" w:space="0" w:color="000000"/>
            </w:tcBorders>
            <w:shd w:color="auto" w:fill="2F5597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/>
                <w:color w:val="FFFFFF"/>
                <w:sz w:val="15"/>
              </w:rPr>
              <w:t>Nom du livrable</w:t>
            </w:r>
          </w:p>
        </w:tc>
        <w:tc>
          <w:tcPr>
            <w:tcW w:w="8872" w:type="dxa"/>
            <w:tcBorders>
              <w:top w:val="single" w:sz="8" w:space="0" w:color="000000"/>
              <w:bottom w:val="single" w:sz="8" w:space="0" w:color="000000"/>
            </w:tcBorders>
            <w:shd w:color="auto" w:fill="2F5597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/>
                <w:color w:val="FFFFFF"/>
                <w:sz w:val="15"/>
              </w:rPr>
              <w:t>Emplacement</w:t>
            </w:r>
          </w:p>
        </w:tc>
      </w:tr>
      <w:tr>
        <w:trPr>
          <w:trHeight w:val="288" w:hRule="atLeast"/>
        </w:trPr>
        <w:tc>
          <w:tcPr>
            <w:tcW w:w="1900" w:type="dxa"/>
            <w:tcBorders/>
            <w:shd w:color="auto" w:fill="D9D9D9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5"/>
              </w:rPr>
              <w:t>Processus DEX V0.1</w:t>
            </w:r>
          </w:p>
        </w:tc>
        <w:tc>
          <w:tcPr>
            <w:tcW w:w="8872" w:type="dxa"/>
            <w:tcBorders/>
            <w:shd w:color="auto" w:fill="D9D9D9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5"/>
              </w:rPr>
              <w:t>/home/ubuntu/sib-work/Transmission projet SIBWORK/Processus DEX-V0.1.pptx</w:t>
            </w:r>
          </w:p>
        </w:tc>
      </w:tr>
      <w:tr>
        <w:trPr>
          <w:trHeight w:val="288" w:hRule="atLeast"/>
        </w:trPr>
        <w:tc>
          <w:tcPr>
            <w:tcW w:w="1900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5"/>
              </w:rPr>
              <w:t>Audit technique et dossier de migration SIB Work</w:t>
            </w:r>
          </w:p>
        </w:tc>
        <w:tc>
          <w:tcPr>
            <w:tcW w:w="8872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5"/>
              </w:rPr>
              <w:t>/home/ubuntu/sib-work/Transmission projet SIBWORK/Transmission projet SIBWORK.docx</w:t>
            </w:r>
          </w:p>
        </w:tc>
      </w:tr>
      <w:tr>
        <w:trPr>
          <w:trHeight w:val="288" w:hRule="atLeast"/>
        </w:trPr>
        <w:tc>
          <w:tcPr>
            <w:tcW w:w="1900" w:type="dxa"/>
            <w:tcBorders>
              <w:bottom w:val="single" w:sz="8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5"/>
              </w:rPr>
              <w:t>Procédure de déploiement web</w:t>
            </w:r>
          </w:p>
        </w:tc>
        <w:tc>
          <w:tcPr>
            <w:tcW w:w="8872" w:type="dxa"/>
            <w:tcBorders>
              <w:bottom w:val="single" w:sz="8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5"/>
              </w:rPr>
              <w:t>/home/ubuntu/sib-work/DEPLOIEMENT.md</w:t>
            </w:r>
          </w:p>
        </w:tc>
      </w:tr>
      <w:tr>
        <w:trPr/>
        <w:tc>
          <w:tcPr>
            <w:tcW w:w="1900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5"/>
              </w:rPr>
              <w:t>Présentation et installation du projet</w:t>
            </w:r>
          </w:p>
        </w:tc>
        <w:tc>
          <w:tcPr>
            <w:tcW w:w="8872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5"/>
              </w:rPr>
              <w:t>/home/ubuntu/sib-work/README.md</w:t>
            </w:r>
          </w:p>
        </w:tc>
      </w:tr>
      <w:tr>
        <w:trPr/>
        <w:tc>
          <w:tcPr>
            <w:tcW w:w="1900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5"/>
              </w:rPr>
              <w:t>Note du backend calculatoire</w:t>
            </w:r>
          </w:p>
        </w:tc>
        <w:tc>
          <w:tcPr>
            <w:tcW w:w="8872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5"/>
              </w:rPr>
              <w:t>/home/ubuntu/sib-work/docs/note-backend-calculatoire.md</w:t>
            </w:r>
          </w:p>
        </w:tc>
      </w:tr>
      <w:tr>
        <w:trPr/>
        <w:tc>
          <w:tcPr>
            <w:tcW w:w="1900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5"/>
              </w:rPr>
              <w:t>Guide de partage/publication</w:t>
            </w:r>
          </w:p>
        </w:tc>
        <w:tc>
          <w:tcPr>
            <w:tcW w:w="8872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5"/>
              </w:rPr>
              <w:t>/home/ubuntu/sib-work/docs/SHARING_GUIDE.md</w:t>
            </w:r>
          </w:p>
        </w:tc>
      </w:tr>
      <w:tr>
        <w:trPr/>
        <w:tc>
          <w:tcPr>
            <w:tcW w:w="1900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5"/>
              </w:rPr>
              <w:t>Dépôt Git historique</w:t>
            </w:r>
          </w:p>
        </w:tc>
        <w:tc>
          <w:tcPr>
            <w:tcW w:w="8872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5"/>
              </w:rPr>
              <w:t>https://github.com/BottaBoy/SIB_ClimaRisk</w:t>
            </w:r>
          </w:p>
        </w:tc>
      </w:tr>
      <w:tr>
        <w:trPr/>
        <w:tc>
          <w:tcPr>
            <w:tcW w:w="1900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5"/>
              </w:rPr>
              <w:t>Fiche LeanIX SIB Work</w:t>
            </w:r>
          </w:p>
        </w:tc>
        <w:tc>
          <w:tcPr>
            <w:tcW w:w="8872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5"/>
              </w:rPr>
              <w:t>À créer ou à renseigner par la DSI OFB</w:t>
            </w:r>
          </w:p>
        </w:tc>
      </w:tr>
    </w:tbl>
    <w:p>
      <w:pPr>
        <w:pStyle w:val="Normal"/>
        <w:rPr/>
      </w:pPr>
      <w:r>
        <w:rPr/>
      </w:r>
      <w:bookmarkStart w:id="9" w:name="_Hlk203141114"/>
      <w:bookmarkStart w:id="10" w:name="_Hlk203141114"/>
      <w:bookmarkEnd w:id="10"/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ind w:hanging="425" w:left="765"/>
        <w:rPr>
          <w:color w:themeColor="background1" w:themeShade="80" w:val="0677C5"/>
        </w:rPr>
      </w:pPr>
      <w:bookmarkStart w:id="11" w:name="__RefHeading___Toc4116_1450298465"/>
      <w:bookmarkStart w:id="12" w:name="_Toc180072692"/>
      <w:bookmarkEnd w:id="11"/>
      <w:r>
        <w:rPr>
          <w:rFonts w:ascii="Arial" w:hAnsi="Arial"/>
        </w:rPr>
        <w:t xml:space="preserve">Interlocuteurs </w:t>
      </w:r>
      <w:r>
        <w:rPr>
          <w:rFonts w:ascii="Arial" w:hAnsi="Arial"/>
          <w:color w:themeColor="background1" w:themeShade="80" w:val="0677C5"/>
        </w:rPr>
        <w:t>(leanIX , onglet abonnement)</w:t>
      </w:r>
      <w:bookmarkEnd w:id="12"/>
    </w:p>
    <w:p>
      <w:pPr>
        <w:pStyle w:val="Heading3"/>
        <w:ind w:hanging="227" w:left="1134"/>
        <w:rPr/>
      </w:pPr>
      <w:bookmarkStart w:id="13" w:name="__RefHeading___Toc4118_1450298465"/>
      <w:bookmarkStart w:id="14" w:name="_Toc180072693"/>
      <w:bookmarkEnd w:id="13"/>
      <w:r>
        <w:rPr>
          <w:rFonts w:ascii="Arial" w:hAnsi="Arial"/>
        </w:rPr>
        <w:t>MOE</w:t>
      </w:r>
      <w:bookmarkEnd w:id="14"/>
      <w:r>
        <w:rPr>
          <w:rFonts w:ascii="Arial" w:hAnsi="Arial"/>
        </w:rPr>
        <w:t xml:space="preserve"> </w:t>
      </w:r>
    </w:p>
    <w:p>
      <w:pPr>
        <w:pStyle w:val="Normal"/>
        <w:spacing w:before="0" w:after="80"/>
        <w:rPr>
          <w:i/>
          <w:i/>
          <w:color w:val="7030A0"/>
        </w:rPr>
      </w:pPr>
      <w:r>
        <w:rPr>
          <w:rFonts w:ascii="Arial" w:hAnsi="Arial"/>
          <w:b w:val="false"/>
          <w:sz w:val="19"/>
        </w:rPr>
        <w:t>Contacts communiqués par le demandeur. Les fonctions organisationnelles LeanIX restent à confirmer.</w:t>
      </w:r>
    </w:p>
    <w:p>
      <w:pPr>
        <w:pStyle w:val="Normal"/>
        <w:rPr>
          <w:i/>
          <w:i/>
          <w:color w:val="7030A0"/>
        </w:rPr>
      </w:pPr>
      <w:r>
        <w:rPr>
          <w:i/>
          <w:color w:val="7030A0"/>
        </w:rPr>
      </w:r>
    </w:p>
    <w:tbl>
      <w:tblPr>
        <w:tblW w:w="6780" w:type="dxa"/>
        <w:jc w:val="left"/>
        <w:tblInd w:w="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Look w:val="04a0" w:noHBand="0" w:noVBand="1" w:firstColumn="1" w:lastRow="0" w:lastColumn="0" w:firstRow="1"/>
      </w:tblPr>
      <w:tblGrid>
        <w:gridCol w:w="1840"/>
        <w:gridCol w:w="2920"/>
        <w:gridCol w:w="2020"/>
      </w:tblGrid>
      <w:tr>
        <w:trPr>
          <w:tblHeader w:val="true"/>
          <w:trHeight w:val="288" w:hRule="atLeast"/>
        </w:trPr>
        <w:tc>
          <w:tcPr>
            <w:tcW w:w="1840" w:type="dxa"/>
            <w:tcBorders>
              <w:top w:val="single" w:sz="8" w:space="0" w:color="000000"/>
              <w:bottom w:val="single" w:sz="8" w:space="0" w:color="000000"/>
            </w:tcBorders>
            <w:shd w:color="4472C4" w:fill="2F5597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/>
                <w:color w:val="FFFFFF"/>
                <w:sz w:val="16"/>
              </w:rPr>
              <w:t>Fonction</w:t>
            </w:r>
          </w:p>
        </w:tc>
        <w:tc>
          <w:tcPr>
            <w:tcW w:w="2920" w:type="dxa"/>
            <w:tcBorders>
              <w:top w:val="single" w:sz="8" w:space="0" w:color="000000"/>
              <w:bottom w:val="single" w:sz="8" w:space="0" w:color="000000"/>
            </w:tcBorders>
            <w:shd w:color="4472C4" w:fill="2F5597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/>
                <w:color w:val="FFFFFF"/>
                <w:sz w:val="16"/>
              </w:rPr>
              <w:t>Nom</w:t>
            </w:r>
          </w:p>
        </w:tc>
        <w:tc>
          <w:tcPr>
            <w:tcW w:w="2020" w:type="dxa"/>
            <w:tcBorders>
              <w:top w:val="single" w:sz="8" w:space="0" w:color="000000"/>
              <w:bottom w:val="single" w:sz="8" w:space="0" w:color="000000"/>
            </w:tcBorders>
            <w:shd w:color="4472C4" w:fill="2F5597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/>
                <w:color w:val="FFFFFF"/>
                <w:sz w:val="16"/>
              </w:rPr>
              <w:t>Contact</w:t>
            </w:r>
          </w:p>
        </w:tc>
      </w:tr>
      <w:tr>
        <w:trPr>
          <w:trHeight w:val="288" w:hRule="atLeast"/>
        </w:trPr>
        <w:tc>
          <w:tcPr>
            <w:tcW w:w="1840" w:type="dxa"/>
            <w:tcBorders/>
            <w:shd w:color="D9D9D9" w:fill="D9D9D9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6"/>
              </w:rPr>
              <w:t>Demandeur du transfert / contact projet</w:t>
            </w:r>
          </w:p>
        </w:tc>
        <w:tc>
          <w:tcPr>
            <w:tcW w:w="2920" w:type="dxa"/>
            <w:tcBorders/>
            <w:shd w:color="D9D9D9" w:fill="D9D9D9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6"/>
              </w:rPr>
              <w:t>Elio Bottagisio</w:t>
            </w:r>
          </w:p>
        </w:tc>
        <w:tc>
          <w:tcPr>
            <w:tcW w:w="2020" w:type="dxa"/>
            <w:tcBorders/>
            <w:shd w:color="D9D9D9" w:fill="D9D9D9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6"/>
              </w:rPr>
              <w:t>elio.bottagisio@ofb.gouv.fr</w:t>
            </w:r>
          </w:p>
        </w:tc>
      </w:tr>
      <w:tr>
        <w:trPr>
          <w:trHeight w:val="288" w:hRule="atLeast"/>
        </w:trPr>
        <w:tc>
          <w:tcPr>
            <w:tcW w:w="1840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6"/>
              </w:rPr>
              <w:t>Demandeur du transfert / contact projet</w:t>
            </w:r>
          </w:p>
        </w:tc>
        <w:tc>
          <w:tcPr>
            <w:tcW w:w="2920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6"/>
              </w:rPr>
              <w:t>Laurent Ruf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6"/>
              </w:rPr>
              <w:t>laurent.ruf@ofb.gouv.fr</w:t>
            </w:r>
          </w:p>
        </w:tc>
      </w:tr>
      <w:tr>
        <w:trPr>
          <w:trHeight w:val="288" w:hRule="atLeast"/>
        </w:trPr>
        <w:tc>
          <w:tcPr>
            <w:tcW w:w="1840" w:type="dxa"/>
            <w:tcBorders/>
            <w:shd w:color="D9D9D9" w:fill="D9D9D9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6"/>
              </w:rPr>
              <w:t>Demandeur du transfert / contact projet</w:t>
            </w:r>
          </w:p>
        </w:tc>
        <w:tc>
          <w:tcPr>
            <w:tcW w:w="2920" w:type="dxa"/>
            <w:tcBorders/>
            <w:shd w:color="D9D9D9" w:fill="D9D9D9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6"/>
              </w:rPr>
              <w:t>Franck Connan</w:t>
            </w:r>
          </w:p>
        </w:tc>
        <w:tc>
          <w:tcPr>
            <w:tcW w:w="2020" w:type="dxa"/>
            <w:tcBorders/>
            <w:shd w:color="D9D9D9" w:fill="D9D9D9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6"/>
              </w:rPr>
              <w:t>franck.connan@ofb.gouv.fr</w:t>
            </w:r>
          </w:p>
        </w:tc>
      </w:tr>
      <w:tr>
        <w:trPr>
          <w:trHeight w:val="288" w:hRule="atLeast"/>
        </w:trPr>
        <w:tc>
          <w:tcPr>
            <w:tcW w:w="1840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6"/>
              </w:rPr>
              <w:t>CPI / responsable MOE</w:t>
            </w:r>
          </w:p>
        </w:tc>
        <w:tc>
          <w:tcPr>
            <w:tcW w:w="2920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6"/>
              </w:rPr>
              <w:t>À confirmer</w:t>
            </w:r>
          </w:p>
        </w:tc>
        <w:tc>
          <w:tcPr>
            <w:tcW w:w="2020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6"/>
              </w:rPr>
              <w:t>À confirmer</w:t>
            </w:r>
            <w:bookmarkStart w:id="15" w:name="_Hlk203141137"/>
            <w:bookmarkEnd w:id="15"/>
          </w:p>
        </w:tc>
      </w:tr>
    </w:tbl>
    <w:p>
      <w:pPr>
        <w:pStyle w:val="Normal"/>
        <w:rPr>
          <w:i/>
          <w:i/>
          <w:color w:val="7030A0"/>
        </w:rPr>
      </w:pPr>
      <w:r>
        <w:rPr>
          <w:i/>
          <w:color w:val="7030A0"/>
        </w:rPr>
      </w:r>
    </w:p>
    <w:p>
      <w:pPr>
        <w:pStyle w:val="Normal"/>
        <w:rPr/>
      </w:pPr>
      <w:r>
        <w:rPr/>
      </w:r>
    </w:p>
    <w:p>
      <w:pPr>
        <w:pStyle w:val="Heading3"/>
        <w:ind w:hanging="227" w:left="1134"/>
        <w:rPr/>
      </w:pPr>
      <w:bookmarkStart w:id="16" w:name="__RefHeading___Toc4120_1450298465"/>
      <w:bookmarkStart w:id="17" w:name="_Toc180072694"/>
      <w:bookmarkEnd w:id="16"/>
      <w:r>
        <w:rPr>
          <w:rFonts w:ascii="Arial" w:hAnsi="Arial"/>
        </w:rPr>
        <w:t>Infrastructure</w:t>
      </w:r>
      <w:bookmarkEnd w:id="17"/>
    </w:p>
    <w:p>
      <w:pPr>
        <w:pStyle w:val="Normal"/>
        <w:spacing w:before="0" w:after="80"/>
        <w:rPr>
          <w:i/>
          <w:i/>
          <w:color w:val="7030A0"/>
        </w:rPr>
      </w:pPr>
      <w:r>
        <w:rPr>
          <w:rFonts w:ascii="Arial" w:hAnsi="Arial"/>
          <w:b w:val="false"/>
          <w:sz w:val="19"/>
        </w:rPr>
        <w:t>Les rôles SPED, Infrastructure exploitation, administration et sécurité doivent être nommés avant validation finale.</w:t>
      </w:r>
    </w:p>
    <w:p>
      <w:pPr>
        <w:pStyle w:val="Normal"/>
        <w:rPr>
          <w:i/>
          <w:i/>
          <w:color w:val="7030A0"/>
        </w:rPr>
      </w:pPr>
      <w:r>
        <w:rPr>
          <w:i/>
          <w:color w:val="7030A0"/>
        </w:rPr>
      </w:r>
    </w:p>
    <w:tbl>
      <w:tblPr>
        <w:tblW w:w="6780" w:type="dxa"/>
        <w:jc w:val="left"/>
        <w:tblInd w:w="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Look w:val="04a0" w:noHBand="0" w:noVBand="1" w:firstColumn="1" w:lastRow="0" w:lastColumn="0" w:firstRow="1"/>
      </w:tblPr>
      <w:tblGrid>
        <w:gridCol w:w="1840"/>
        <w:gridCol w:w="2920"/>
        <w:gridCol w:w="2020"/>
      </w:tblGrid>
      <w:tr>
        <w:trPr>
          <w:tblHeader w:val="true"/>
          <w:trHeight w:val="288" w:hRule="atLeast"/>
        </w:trPr>
        <w:tc>
          <w:tcPr>
            <w:tcW w:w="1840" w:type="dxa"/>
            <w:tcBorders>
              <w:top w:val="single" w:sz="8" w:space="0" w:color="000000"/>
              <w:bottom w:val="single" w:sz="8" w:space="0" w:color="000000"/>
            </w:tcBorders>
            <w:shd w:color="4472C4" w:fill="2F5597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/>
                <w:color w:val="FFFFFF"/>
                <w:sz w:val="16"/>
              </w:rPr>
              <w:t>Fonction</w:t>
            </w:r>
          </w:p>
        </w:tc>
        <w:tc>
          <w:tcPr>
            <w:tcW w:w="2920" w:type="dxa"/>
            <w:tcBorders>
              <w:top w:val="single" w:sz="8" w:space="0" w:color="000000"/>
              <w:bottom w:val="single" w:sz="8" w:space="0" w:color="000000"/>
            </w:tcBorders>
            <w:shd w:color="4472C4" w:fill="2F5597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/>
                <w:color w:val="FFFFFF"/>
                <w:sz w:val="16"/>
              </w:rPr>
              <w:t>Nom</w:t>
            </w:r>
          </w:p>
        </w:tc>
        <w:tc>
          <w:tcPr>
            <w:tcW w:w="2020" w:type="dxa"/>
            <w:tcBorders>
              <w:top w:val="single" w:sz="8" w:space="0" w:color="000000"/>
              <w:bottom w:val="single" w:sz="8" w:space="0" w:color="000000"/>
            </w:tcBorders>
            <w:shd w:color="4472C4" w:fill="2F5597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/>
                <w:color w:val="FFFFFF"/>
                <w:sz w:val="16"/>
              </w:rPr>
              <w:t>Contact</w:t>
            </w:r>
          </w:p>
        </w:tc>
      </w:tr>
      <w:tr>
        <w:trPr>
          <w:trHeight w:val="288" w:hRule="atLeast"/>
        </w:trPr>
        <w:tc>
          <w:tcPr>
            <w:tcW w:w="1840" w:type="dxa"/>
            <w:tcBorders/>
            <w:shd w:color="D9D9D9" w:fill="D9D9D9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6"/>
              </w:rPr>
              <w:t>Référent SPED</w:t>
            </w:r>
          </w:p>
        </w:tc>
        <w:tc>
          <w:tcPr>
            <w:tcW w:w="2920" w:type="dxa"/>
            <w:tcBorders/>
            <w:shd w:color="D9D9D9" w:fill="D9D9D9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6"/>
              </w:rPr>
              <w:t>À désigner</w:t>
            </w:r>
          </w:p>
        </w:tc>
        <w:tc>
          <w:tcPr>
            <w:tcW w:w="2020" w:type="dxa"/>
            <w:tcBorders/>
            <w:shd w:color="D9D9D9" w:fill="D9D9D9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6"/>
              </w:rPr>
              <w:t>À compléter</w:t>
            </w:r>
          </w:p>
        </w:tc>
      </w:tr>
      <w:tr>
        <w:trPr>
          <w:trHeight w:val="288" w:hRule="atLeast"/>
        </w:trPr>
        <w:tc>
          <w:tcPr>
            <w:tcW w:w="1840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6"/>
              </w:rPr>
              <w:t>Référent Infrastructure exploitation</w:t>
            </w:r>
          </w:p>
        </w:tc>
        <w:tc>
          <w:tcPr>
            <w:tcW w:w="2920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6"/>
              </w:rPr>
              <w:t>À désigner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6"/>
              </w:rPr>
              <w:t>À compléter</w:t>
            </w:r>
          </w:p>
        </w:tc>
      </w:tr>
      <w:tr>
        <w:trPr>
          <w:trHeight w:val="288" w:hRule="atLeast"/>
        </w:trPr>
        <w:tc>
          <w:tcPr>
            <w:tcW w:w="1840" w:type="dxa"/>
            <w:tcBorders/>
            <w:shd w:color="D9D9D9" w:fill="D9D9D9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6"/>
              </w:rPr>
              <w:t>Administrateur système / exploitation</w:t>
            </w:r>
          </w:p>
        </w:tc>
        <w:tc>
          <w:tcPr>
            <w:tcW w:w="2920" w:type="dxa"/>
            <w:tcBorders/>
            <w:shd w:color="D9D9D9" w:fill="D9D9D9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6"/>
              </w:rPr>
              <w:t>À désigner</w:t>
            </w:r>
          </w:p>
        </w:tc>
        <w:tc>
          <w:tcPr>
            <w:tcW w:w="2020" w:type="dxa"/>
            <w:tcBorders/>
            <w:shd w:color="D9D9D9" w:fill="D9D9D9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6"/>
              </w:rPr>
              <w:t>À compléter</w:t>
            </w:r>
          </w:p>
        </w:tc>
      </w:tr>
      <w:tr>
        <w:trPr>
          <w:trHeight w:val="288" w:hRule="atLeast"/>
        </w:trPr>
        <w:tc>
          <w:tcPr>
            <w:tcW w:w="1840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6"/>
              </w:rPr>
              <w:t>Référent sécurité / SSO</w:t>
            </w:r>
          </w:p>
        </w:tc>
        <w:tc>
          <w:tcPr>
            <w:tcW w:w="2920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6"/>
              </w:rPr>
              <w:t>À désigner</w:t>
            </w:r>
          </w:p>
        </w:tc>
        <w:tc>
          <w:tcPr>
            <w:tcW w:w="2020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6"/>
              </w:rPr>
              <w:t>À compléter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widowControl/>
        <w:rPr/>
      </w:pPr>
      <w:r>
        <w:rPr/>
      </w:r>
      <w:r>
        <w:br w:type="page"/>
      </w:r>
    </w:p>
    <w:p>
      <w:pPr>
        <w:pStyle w:val="Heading1"/>
        <w:spacing w:before="0" w:after="113"/>
        <w:rPr/>
      </w:pPr>
      <w:bookmarkStart w:id="18" w:name="__RefHeading___Toc4122_1450298465"/>
      <w:bookmarkStart w:id="19" w:name="_Toc180072695"/>
      <w:bookmarkEnd w:id="18"/>
      <w:r>
        <w:rPr>
          <w:rFonts w:ascii="Arial" w:hAnsi="Arial"/>
        </w:rPr>
        <w:t>Présentation générale</w:t>
      </w:r>
      <w:bookmarkEnd w:id="19"/>
    </w:p>
    <w:p>
      <w:pPr>
        <w:pStyle w:val="Normal"/>
        <w:rPr/>
      </w:pPr>
      <w:r>
        <w:rPr/>
      </w:r>
    </w:p>
    <w:p>
      <w:pPr>
        <w:pStyle w:val="Heading2"/>
        <w:ind w:hanging="425" w:left="765"/>
        <w:rPr>
          <w:color w:themeColor="background1" w:themeShade="80" w:val="0677C5"/>
        </w:rPr>
      </w:pPr>
      <w:bookmarkStart w:id="20" w:name="__RefHeading___Toc4124_1450298465"/>
      <w:bookmarkStart w:id="21" w:name="_Toc180072696"/>
      <w:bookmarkStart w:id="22" w:name="_Hlk203141993"/>
      <w:bookmarkEnd w:id="20"/>
      <w:r>
        <w:rPr>
          <w:rFonts w:ascii="Arial" w:hAnsi="Arial"/>
        </w:rPr>
        <w:t xml:space="preserve">Présentation générale de l’application </w:t>
      </w:r>
      <w:bookmarkEnd w:id="22"/>
      <w:r>
        <w:rPr>
          <w:rFonts w:ascii="Arial" w:hAnsi="Arial"/>
          <w:color w:themeColor="background1" w:themeShade="80" w:val="0677C5"/>
        </w:rPr>
        <w:t>(leanIX)</w:t>
      </w:r>
      <w:bookmarkEnd w:id="21"/>
    </w:p>
    <w:p>
      <w:pPr>
        <w:pStyle w:val="Normal"/>
        <w:spacing w:before="0" w:after="80"/>
        <w:rPr>
          <w:i/>
          <w:i/>
          <w:color w:val="7030A0"/>
        </w:rPr>
      </w:pPr>
      <w:r>
        <w:rPr>
          <w:rFonts w:ascii="Arial" w:hAnsi="Arial"/>
          <w:b w:val="false"/>
          <w:sz w:val="19"/>
        </w:rPr>
        <w:t>SIB Work est un outil OFB de démonstration et d’analyse des impacts des risques physiques sur les infrastructures critiques d’eau et d’électricité en outre-mer. Il combine un site cartographique statique, une API FastAPI et un moteur scientifique Python fondé sur CLIMADA. Les territoires principalement couverts sont la Guadeloupe, la Martinique et Saint-Barthélemy ; les aléas présentés incluent vent cyclonique, pluie, submersion et mouvements de terrain.</w:t>
      </w:r>
    </w:p>
    <w:p>
      <w:pPr>
        <w:pStyle w:val="Normal"/>
        <w:rPr>
          <w:i/>
          <w:i/>
          <w:color w:val="7030A0"/>
        </w:rPr>
      </w:pPr>
      <w:r>
        <w:rPr>
          <w:i/>
          <w:color w:val="7030A0"/>
        </w:rPr>
      </w:r>
    </w:p>
    <w:p>
      <w:pPr>
        <w:pStyle w:val="Normal"/>
        <w:rPr/>
      </w:pPr>
      <w:r>
        <w:rPr/>
      </w:r>
    </w:p>
    <w:p>
      <w:pPr>
        <w:pStyle w:val="Heading2"/>
        <w:ind w:hanging="425" w:left="765"/>
        <w:rPr/>
      </w:pPr>
      <w:bookmarkStart w:id="23" w:name="__RefHeading___Toc4126_1450298465"/>
      <w:bookmarkStart w:id="24" w:name="_Toc180072697"/>
      <w:bookmarkEnd w:id="23"/>
      <w:r>
        <w:rPr>
          <w:rFonts w:ascii="Arial" w:hAnsi="Arial"/>
        </w:rPr>
        <w:t>Utilisateurs</w:t>
      </w:r>
      <w:bookmarkEnd w:id="24"/>
    </w:p>
    <w:p>
      <w:pPr>
        <w:pStyle w:val="Heading3"/>
        <w:ind w:hanging="227" w:left="1134"/>
        <w:rPr>
          <w:i w:val="false"/>
          <w:i w:val="false"/>
        </w:rPr>
      </w:pPr>
      <w:bookmarkStart w:id="25" w:name="__RefHeading___Toc4128_1450298465"/>
      <w:bookmarkStart w:id="26" w:name="_Toc180072698"/>
      <w:bookmarkEnd w:id="25"/>
      <w:r>
        <w:rPr>
          <w:rFonts w:ascii="Arial" w:hAnsi="Arial"/>
          <w:i w:val="false"/>
        </w:rPr>
        <w:t xml:space="preserve">Description des utilisateurs </w:t>
      </w:r>
      <w:r>
        <w:rPr>
          <w:rFonts w:ascii="Arial" w:hAnsi="Arial"/>
          <w:i w:val="false"/>
          <w:color w:themeColor="background1" w:themeShade="80" w:val="0677C5"/>
        </w:rPr>
        <w:t>(leanIX)</w:t>
      </w:r>
      <w:bookmarkEnd w:id="26"/>
    </w:p>
    <w:p>
      <w:pPr>
        <w:pStyle w:val="Normal"/>
        <w:spacing w:before="0" w:after="80"/>
        <w:rPr>
          <w:color w:val="7030A0"/>
        </w:rPr>
      </w:pPr>
      <w:r>
        <w:rPr>
          <w:rFonts w:ascii="Arial" w:hAnsi="Arial"/>
          <w:b w:val="false"/>
          <w:sz w:val="19"/>
        </w:rPr>
        <w:t>Population cible : agents OFB, experts métier/scientifiques, partenaires autorisés et équipe d’exploitation. L’effectif nominal et le nombre maximal d’utilisateurs simultanés n’ont pas été communiqués et doivent être renseignés dans LeanIX. Poste supporté : navigateur web moderne avec JavaScript activé (Chrome, Edge ou Firefox maintenus), résolution bureautique recommandée ; aucune installation cliente n’est nécessaire. Certaines fonctions d’administration et de quick screening sont réservées aux comptes autorisés.</w:t>
      </w:r>
    </w:p>
    <w:p>
      <w:pPr>
        <w:pStyle w:val="Normal"/>
        <w:rPr>
          <w:color w:val="7030A0"/>
        </w:rPr>
      </w:pPr>
      <w:r>
        <w:rPr>
          <w:color w:val="7030A0"/>
        </w:rPr>
      </w:r>
    </w:p>
    <w:p>
      <w:pPr>
        <w:pStyle w:val="Heading3"/>
        <w:ind w:hanging="227" w:left="1134"/>
        <w:rPr>
          <w:i w:val="false"/>
          <w:i w:val="false"/>
        </w:rPr>
      </w:pPr>
      <w:bookmarkStart w:id="27" w:name="__RefHeading___Toc4130_1450298465"/>
      <w:bookmarkStart w:id="28" w:name="_Toc180072699"/>
      <w:bookmarkEnd w:id="27"/>
      <w:r>
        <w:rPr>
          <w:rFonts w:ascii="Arial" w:hAnsi="Arial"/>
          <w:i w:val="false"/>
        </w:rPr>
        <w:t xml:space="preserve">Authentification </w:t>
      </w:r>
      <w:r>
        <w:rPr>
          <w:rFonts w:ascii="Arial" w:hAnsi="Arial"/>
          <w:i w:val="false"/>
          <w:color w:themeColor="background1" w:themeShade="80" w:val="0677C5"/>
        </w:rPr>
        <w:t>(leanIX)</w:t>
      </w:r>
      <w:bookmarkEnd w:id="28"/>
    </w:p>
    <w:p>
      <w:pPr>
        <w:pStyle w:val="Normal"/>
        <w:spacing w:before="0" w:after="80"/>
        <w:rPr>
          <w:color w:val="7030A0"/>
        </w:rPr>
      </w:pPr>
      <w:r>
        <w:rPr>
          <w:rFonts w:ascii="Arial" w:hAnsi="Arial"/>
          <w:b w:val="false"/>
          <w:sz w:val="19"/>
        </w:rPr>
        <w:t>Tous les accès passent par HTTPS. Sur le serveur source, l’alias privé sib.dev.elio.bottagisio.com est protégé par authentification Basic Nginx ; la vitrine visu.sib.dev.elio.bottagisio.com expose le site et des routes API explicitement autorisées. L’application possède également une authentification locale (mots de passe PBKDF2-SHA256, rôles authorized_user/admin/super_admin, sessions en base SQLite, cookie HttpOnly et protection CSRF). Cible OFB : privilégier le SSO/proxy d’accès OFB ; à défaut, recréer et faire tourner les secrets, forcer les cookies Secure et ne reprendre aucun mot de passe, certificat ou secret personnel du serveur source.</w:t>
      </w:r>
    </w:p>
    <w:p>
      <w:pPr>
        <w:pStyle w:val="Normal"/>
        <w:rPr/>
      </w:pPr>
      <w:r>
        <w:rPr/>
      </w:r>
    </w:p>
    <w:p>
      <w:pPr>
        <w:pStyle w:val="Heading3"/>
        <w:ind w:hanging="227" w:left="1134"/>
        <w:rPr>
          <w:i w:val="false"/>
          <w:i w:val="false"/>
        </w:rPr>
      </w:pPr>
      <w:bookmarkStart w:id="29" w:name="__RefHeading___Toc4132_1450298465"/>
      <w:bookmarkStart w:id="30" w:name="_Toc180072700"/>
      <w:bookmarkEnd w:id="29"/>
      <w:r>
        <w:rPr>
          <w:rFonts w:ascii="Arial" w:hAnsi="Arial"/>
          <w:i w:val="false"/>
        </w:rPr>
        <w:t>Plage d’utilisation</w:t>
      </w:r>
      <w:r>
        <w:rPr>
          <w:rFonts w:cs="Calibri" w:ascii="Calibri" w:hAnsi="Calibri"/>
          <w:i w:val="false"/>
        </w:rPr>
        <w:t> </w:t>
      </w:r>
      <w:r>
        <w:rPr>
          <w:rFonts w:cs="Calibri" w:ascii="Calibri" w:hAnsi="Calibri"/>
          <w:i w:val="false"/>
          <w:color w:themeColor="background1" w:themeShade="80" w:val="0677C5"/>
        </w:rPr>
        <w:t>(</w:t>
      </w:r>
      <w:r>
        <w:rPr>
          <w:rFonts w:ascii="Arial" w:hAnsi="Arial"/>
          <w:i w:val="false"/>
          <w:color w:themeColor="background1" w:themeShade="80" w:val="0677C5"/>
        </w:rPr>
        <w:t>leanIX)</w:t>
      </w:r>
      <w:bookmarkEnd w:id="30"/>
    </w:p>
    <w:p>
      <w:pPr>
        <w:pStyle w:val="Normal"/>
        <w:spacing w:before="0" w:after="80"/>
        <w:rPr>
          <w:color w:val="7030A0"/>
        </w:rPr>
      </w:pPr>
      <w:r>
        <w:rPr>
          <w:rFonts w:ascii="Arial" w:hAnsi="Arial"/>
          <w:b w:val="false"/>
          <w:sz w:val="19"/>
        </w:rPr>
        <w:t>Plage cible : 24 h/24 et 7 j/7 en mode meilleur effort, sous réserve de validation par la DSI. Les opérations planifiées (déploiement, mise à jour système, restauration, changement de données) doivent être annoncées et réalisées dans une fenêtre de maintenance convenue, idéalement hors heures ouvrées. SLA, RTO, RPO, astreinte et calendrier de gel restent à définir par l’OFB.</w:t>
      </w:r>
    </w:p>
    <w:p>
      <w:pPr>
        <w:pStyle w:val="Normal"/>
        <w:rPr/>
      </w:pPr>
      <w:r>
        <w:rPr/>
      </w:r>
    </w:p>
    <w:p>
      <w:pPr>
        <w:pStyle w:val="Heading2"/>
        <w:ind w:hanging="425" w:left="765"/>
        <w:rPr/>
      </w:pPr>
      <w:bookmarkStart w:id="31" w:name="__RefHeading___Toc4134_1450298465"/>
      <w:bookmarkStart w:id="32" w:name="_Toc180072701"/>
      <w:bookmarkEnd w:id="31"/>
      <w:r>
        <w:rPr>
          <w:rFonts w:ascii="Arial" w:hAnsi="Arial"/>
        </w:rPr>
        <w:t xml:space="preserve">Principales fonctionnalités de l’application </w:t>
      </w:r>
      <w:r>
        <w:rPr>
          <w:rFonts w:ascii="Arial" w:hAnsi="Arial"/>
          <w:color w:themeColor="background1" w:themeShade="80" w:val="0677C5"/>
        </w:rPr>
        <w:t>(leanIX)</w:t>
      </w:r>
      <w:bookmarkEnd w:id="32"/>
    </w:p>
    <w:p>
      <w:pPr>
        <w:pStyle w:val="Normal"/>
        <w:spacing w:before="0" w:after="80"/>
        <w:rPr>
          <w:i/>
          <w:i/>
          <w:color w:val="7030A0"/>
        </w:rPr>
      </w:pPr>
      <w:r>
        <w:rPr>
          <w:rFonts w:ascii="Arial" w:hAnsi="Arial"/>
          <w:b w:val="false"/>
          <w:sz w:val="19"/>
        </w:rPr>
        <w:t xml:space="preserve">• </w:t>
      </w:r>
      <w:r>
        <w:rPr>
          <w:rFonts w:ascii="Arial" w:hAnsi="Arial"/>
          <w:b w:val="false"/>
          <w:sz w:val="19"/>
        </w:rPr>
        <w:t>Consultation de cartes et indicateurs de risques climatiques par territoire et par scénario STORM/STORM_CMCC.</w:t>
        <w:br/>
        <w:t>• Visualisation des réseaux d’eau et d’électricité, états, criticité, dommages et dépendances.</w:t>
        <w:br/>
        <w:t>• Consultation de graphiques, synthèses et métadonnées de traçabilité des publications.</w:t>
        <w:br/>
        <w:t>• Import ou dessin d’expositions utilisateur et exécution d’un quick screening pré-calculé.</w:t>
        <w:br/>
        <w:t>• Gestion des comptes, rôles, sessions et journaux d’audit par les administrateurs.</w:t>
        <w:br/>
        <w:t>• Production hors ligne de calculs scientifiques CLIMADA, analyses complètes et analyses de sensibilité. Les calculs lourds à 1 500 tracks ne sont pas exposés par le site cible.</w:t>
      </w:r>
    </w:p>
    <w:p>
      <w:pPr>
        <w:pStyle w:val="Normal"/>
        <w:rPr/>
      </w:pPr>
      <w:r>
        <w:rPr/>
      </w:r>
    </w:p>
    <w:p>
      <w:pPr>
        <w:pStyle w:val="Heading2"/>
        <w:ind w:hanging="425" w:left="765"/>
        <w:rPr/>
      </w:pPr>
      <w:bookmarkStart w:id="33" w:name="__RefHeading___Toc4136_1450298465"/>
      <w:bookmarkStart w:id="34" w:name="_Toc180072702"/>
      <w:bookmarkEnd w:id="33"/>
      <w:r>
        <w:rPr>
          <w:rFonts w:ascii="Arial" w:hAnsi="Arial"/>
        </w:rPr>
        <w:t>Architecture applicative</w:t>
      </w:r>
      <w:bookmarkEnd w:id="34"/>
      <w:r>
        <w:rPr>
          <w:rFonts w:ascii="Arial" w:hAnsi="Arial"/>
        </w:rPr>
        <w:t xml:space="preserve"> </w:t>
      </w:r>
    </w:p>
    <w:p>
      <w:pPr>
        <w:pStyle w:val="Heading3"/>
        <w:ind w:hanging="227" w:left="1134"/>
        <w:rPr/>
      </w:pPr>
      <w:bookmarkStart w:id="35" w:name="__RefHeading___Toc4138_1450298465"/>
      <w:bookmarkStart w:id="36" w:name="_Toc180072703"/>
      <w:bookmarkEnd w:id="35"/>
      <w:r>
        <w:rPr>
          <w:rFonts w:ascii="Arial" w:hAnsi="Arial"/>
        </w:rPr>
        <w:t>Schéma détaillé de l’architecture applicative</w:t>
      </w:r>
      <w:bookmarkEnd w:id="36"/>
    </w:p>
    <w:p>
      <w:pPr>
        <w:pStyle w:val="Normal"/>
        <w:spacing w:before="0" w:after="80"/>
        <w:rPr>
          <w:i/>
          <w:i/>
          <w:color w:val="7030A0"/>
        </w:rPr>
      </w:pPr>
      <w:r>
        <w:rPr>
          <w:rFonts w:ascii="Arial" w:hAnsi="Arial"/>
          <w:b w:val="false"/>
          <w:sz w:val="19"/>
        </w:rPr>
        <w:t>Le schéma ci-dessous décrit la chaîne applicative et les principaux stockages. Le site en ligne n’est pas servi directement depuis GitHub : le contenu de web/ est déployé manuellement vers le webroot Nginx.</w:t>
      </w:r>
    </w:p>
    <w:p>
      <w:pPr>
        <w:pStyle w:val="Normal"/>
        <w:spacing w:before="0" w:after="60"/>
        <w:jc w:val="center"/>
        <w:rPr/>
      </w:pPr>
      <w:r>
        <w:rPr/>
        <w:drawing>
          <wp:inline distT="0" distB="0" distL="0" distR="0">
            <wp:extent cx="5760085" cy="2528570"/>
            <wp:effectExtent l="0" t="0" r="0" b="0"/>
            <wp:docPr id="9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52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before="120" w:after="80"/>
        <w:rPr/>
      </w:pPr>
      <w:r>
        <w:rPr>
          <w:rFonts w:ascii="Arial" w:hAnsi="Arial"/>
          <w:b w:val="false"/>
          <w:sz w:val="19"/>
        </w:rPr>
        <w:t>Figure 1 – Architecture applicative de référence. Les composants externes (CDN/tuiles) peuvent être internalisés selon la politique OFB.</w:t>
      </w:r>
    </w:p>
    <w:p>
      <w:pPr>
        <w:pStyle w:val="Normal"/>
        <w:spacing w:before="0" w:after="80"/>
        <w:rPr>
          <w:i/>
          <w:i/>
          <w:color w:val="7030A0"/>
        </w:rPr>
      </w:pPr>
      <w:r>
        <w:rPr>
          <w:i/>
          <w:color w:val="7030A0"/>
        </w:rPr>
      </w:r>
    </w:p>
    <w:p>
      <w:pPr>
        <w:pStyle w:val="Normal"/>
        <w:rPr/>
      </w:pPr>
      <w:r>
        <w:rPr/>
      </w:r>
    </w:p>
    <w:p>
      <w:pPr>
        <w:pStyle w:val="Heading3"/>
        <w:ind w:hanging="227" w:left="1134"/>
        <w:rPr>
          <w:color w:themeColor="background1" w:themeShade="80" w:val="0677C5"/>
        </w:rPr>
      </w:pPr>
      <w:bookmarkStart w:id="37" w:name="__RefHeading___Toc4140_1450298465"/>
      <w:bookmarkStart w:id="38" w:name="_Toc180072704"/>
      <w:bookmarkEnd w:id="37"/>
      <w:r>
        <w:rPr>
          <w:rFonts w:ascii="Arial" w:hAnsi="Arial"/>
        </w:rPr>
        <w:t xml:space="preserve">Liste des composants applicatifs </w:t>
      </w:r>
      <w:r>
        <w:rPr>
          <w:rFonts w:ascii="Arial" w:hAnsi="Arial"/>
          <w:color w:themeColor="background1" w:themeShade="80" w:val="0677C5"/>
        </w:rPr>
        <w:t>(leanX)</w:t>
      </w:r>
      <w:bookmarkEnd w:id="38"/>
    </w:p>
    <w:p>
      <w:pPr>
        <w:pStyle w:val="Normal"/>
        <w:spacing w:before="0" w:after="80"/>
        <w:rPr>
          <w:i/>
          <w:i/>
          <w:color w:val="7030A0"/>
        </w:rPr>
      </w:pPr>
      <w:r>
        <w:rPr>
          <w:rFonts w:ascii="Arial" w:hAnsi="Arial"/>
          <w:b w:val="false"/>
          <w:sz w:val="19"/>
        </w:rPr>
        <w:t>Composants requis ou observés à la date du présent DEX :</w:t>
      </w:r>
    </w:p>
    <w:tbl>
      <w:tblPr>
        <w:tblStyle w:val="Grilledutableau"/>
        <w:tblW w:w="9976" w:type="dxa"/>
        <w:jc w:val="left"/>
        <w:tblInd w:w="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Look w:val="04a0" w:noHBand="0" w:noVBand="1" w:firstColumn="1" w:lastRow="0" w:lastColumn="0" w:firstRow="1"/>
      </w:tblPr>
      <w:tblGrid>
        <w:gridCol w:w="2494"/>
        <w:gridCol w:w="2494"/>
        <w:gridCol w:w="2494"/>
        <w:gridCol w:w="2493"/>
      </w:tblGrid>
      <w:tr>
        <w:trPr>
          <w:tblHeader w:val="true"/>
        </w:trPr>
        <w:tc>
          <w:tcPr>
            <w:tcW w:w="2494" w:type="dxa"/>
            <w:tcBorders/>
            <w:shd w:fill="2F5597"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/>
                <w:color w:val="FFFFFF"/>
                <w:kern w:val="0"/>
                <w:sz w:val="14"/>
                <w:szCs w:val="20"/>
                <w:lang w:val="fr-FR" w:eastAsia="en-US" w:bidi="ar-SA"/>
              </w:rPr>
              <w:t>Composant</w:t>
            </w:r>
          </w:p>
        </w:tc>
        <w:tc>
          <w:tcPr>
            <w:tcW w:w="2494" w:type="dxa"/>
            <w:tcBorders/>
            <w:shd w:fill="2F5597"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/>
                <w:color w:val="FFFFFF"/>
                <w:kern w:val="0"/>
                <w:sz w:val="14"/>
                <w:szCs w:val="20"/>
                <w:lang w:val="fr-FR" w:eastAsia="en-US" w:bidi="ar-SA"/>
              </w:rPr>
              <w:t>Version observée</w:t>
            </w:r>
          </w:p>
        </w:tc>
        <w:tc>
          <w:tcPr>
            <w:tcW w:w="2494" w:type="dxa"/>
            <w:tcBorders/>
            <w:shd w:fill="2F5597"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/>
                <w:color w:val="FFFFFF"/>
                <w:kern w:val="0"/>
                <w:sz w:val="14"/>
                <w:szCs w:val="20"/>
                <w:lang w:val="fr-FR" w:eastAsia="en-US" w:bidi="ar-SA"/>
              </w:rPr>
              <w:t>Rôle</w:t>
            </w:r>
          </w:p>
        </w:tc>
        <w:tc>
          <w:tcPr>
            <w:tcW w:w="2493" w:type="dxa"/>
            <w:tcBorders/>
            <w:shd w:fill="2F5597"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/>
                <w:color w:val="FFFFFF"/>
                <w:kern w:val="0"/>
                <w:sz w:val="14"/>
                <w:szCs w:val="20"/>
                <w:lang w:val="fr-FR" w:eastAsia="en-US" w:bidi="ar-SA"/>
              </w:rPr>
              <w:t>Configuration / emplacement</w:t>
            </w:r>
          </w:p>
        </w:tc>
      </w:tr>
      <w:tr>
        <w:trPr/>
        <w:tc>
          <w:tcPr>
            <w:tcW w:w="2494" w:type="dxa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 w:val="false"/>
                <w:color w:themeColor="text1" w:val="1E4E85"/>
                <w:kern w:val="0"/>
                <w:sz w:val="14"/>
                <w:szCs w:val="20"/>
                <w:lang w:val="fr-FR" w:eastAsia="en-US" w:bidi="ar-SA"/>
              </w:rPr>
              <w:t>Nginx</w:t>
            </w:r>
          </w:p>
        </w:tc>
        <w:tc>
          <w:tcPr>
            <w:tcW w:w="2494" w:type="dxa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 w:val="false"/>
                <w:color w:themeColor="text1" w:val="1E4E85"/>
                <w:kern w:val="0"/>
                <w:sz w:val="14"/>
                <w:szCs w:val="20"/>
                <w:lang w:val="fr-FR" w:eastAsia="en-US" w:bidi="ar-SA"/>
              </w:rPr>
              <w:t>1.24.0</w:t>
            </w:r>
          </w:p>
        </w:tc>
        <w:tc>
          <w:tcPr>
            <w:tcW w:w="2494" w:type="dxa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 w:val="false"/>
                <w:color w:themeColor="text1" w:val="1E4E85"/>
                <w:kern w:val="0"/>
                <w:sz w:val="14"/>
                <w:szCs w:val="20"/>
                <w:lang w:val="fr-FR" w:eastAsia="en-US" w:bidi="ar-SA"/>
              </w:rPr>
              <w:t>TLS, statique, reverse proxy, rate limits</w:t>
            </w:r>
          </w:p>
        </w:tc>
        <w:tc>
          <w:tcPr>
            <w:tcW w:w="2493" w:type="dxa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 w:val="false"/>
                <w:color w:themeColor="text1" w:val="1E4E85"/>
                <w:kern w:val="0"/>
                <w:sz w:val="14"/>
                <w:szCs w:val="20"/>
                <w:lang w:val="fr-FR" w:eastAsia="en-US" w:bidi="ar-SA"/>
              </w:rPr>
              <w:t>/etc/nginx ; modèles sous config/nginx/</w:t>
            </w:r>
          </w:p>
        </w:tc>
      </w:tr>
      <w:tr>
        <w:trPr/>
        <w:tc>
          <w:tcPr>
            <w:tcW w:w="2494" w:type="dxa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 w:val="false"/>
                <w:color w:themeColor="text1" w:val="1E4E85"/>
                <w:kern w:val="0"/>
                <w:sz w:val="14"/>
                <w:szCs w:val="20"/>
                <w:lang w:val="fr-FR" w:eastAsia="en-US" w:bidi="ar-SA"/>
              </w:rPr>
              <w:t>Frontend</w:t>
            </w:r>
          </w:p>
        </w:tc>
        <w:tc>
          <w:tcPr>
            <w:tcW w:w="2494" w:type="dxa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 w:val="false"/>
                <w:color w:themeColor="text1" w:val="1E4E85"/>
                <w:kern w:val="0"/>
                <w:sz w:val="14"/>
                <w:szCs w:val="20"/>
                <w:lang w:val="fr-FR" w:eastAsia="en-US" w:bidi="ar-SA"/>
              </w:rPr>
              <w:t>HTML/JS/CSS statique</w:t>
            </w:r>
          </w:p>
        </w:tc>
        <w:tc>
          <w:tcPr>
            <w:tcW w:w="2494" w:type="dxa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 w:val="false"/>
                <w:color w:themeColor="text1" w:val="1E4E85"/>
                <w:kern w:val="0"/>
                <w:sz w:val="14"/>
                <w:szCs w:val="20"/>
                <w:lang w:val="fr-FR" w:eastAsia="en-US" w:bidi="ar-SA"/>
              </w:rPr>
              <w:t>Cartes et graphiques</w:t>
            </w:r>
          </w:p>
        </w:tc>
        <w:tc>
          <w:tcPr>
            <w:tcW w:w="2493" w:type="dxa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 w:val="false"/>
                <w:color w:themeColor="text1" w:val="1E4E85"/>
                <w:kern w:val="0"/>
                <w:sz w:val="14"/>
                <w:szCs w:val="20"/>
                <w:lang w:val="fr-FR" w:eastAsia="en-US" w:bidi="ar-SA"/>
              </w:rPr>
              <w:t>web/ ; Leaflet 1.9.4, Leaflet.draw 1.0.4, ECharts 5.5.0</w:t>
            </w:r>
          </w:p>
        </w:tc>
      </w:tr>
      <w:tr>
        <w:trPr/>
        <w:tc>
          <w:tcPr>
            <w:tcW w:w="2494" w:type="dxa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 w:val="false"/>
                <w:color w:themeColor="text1" w:val="1E4E85"/>
                <w:kern w:val="0"/>
                <w:sz w:val="14"/>
                <w:szCs w:val="20"/>
                <w:lang w:val="fr-FR" w:eastAsia="en-US" w:bidi="ar-SA"/>
              </w:rPr>
              <w:t>FastAPI / Uvicorn</w:t>
            </w:r>
          </w:p>
        </w:tc>
        <w:tc>
          <w:tcPr>
            <w:tcW w:w="2494" w:type="dxa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 w:val="false"/>
                <w:color w:themeColor="text1" w:val="1E4E85"/>
                <w:kern w:val="0"/>
                <w:sz w:val="14"/>
                <w:szCs w:val="20"/>
                <w:lang w:val="fr-FR" w:eastAsia="en-US" w:bidi="ar-SA"/>
              </w:rPr>
              <w:t>0.133.0 / 0.41.0</w:t>
            </w:r>
          </w:p>
        </w:tc>
        <w:tc>
          <w:tcPr>
            <w:tcW w:w="2494" w:type="dxa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 w:val="false"/>
                <w:color w:themeColor="text1" w:val="1E4E85"/>
                <w:kern w:val="0"/>
                <w:sz w:val="14"/>
                <w:szCs w:val="20"/>
                <w:lang w:val="fr-FR" w:eastAsia="en-US" w:bidi="ar-SA"/>
              </w:rPr>
              <w:t>API, authentification, quick run</w:t>
            </w:r>
          </w:p>
        </w:tc>
        <w:tc>
          <w:tcPr>
            <w:tcW w:w="2493" w:type="dxa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 w:val="false"/>
                <w:color w:themeColor="text1" w:val="1E4E85"/>
                <w:kern w:val="0"/>
                <w:sz w:val="14"/>
                <w:szCs w:val="20"/>
                <w:lang w:val="fr-FR" w:eastAsia="en-US" w:bidi="ar-SA"/>
              </w:rPr>
              <w:t>backend/app ; écoute 127.0.0.1:8000</w:t>
            </w:r>
          </w:p>
        </w:tc>
      </w:tr>
      <w:tr>
        <w:trPr/>
        <w:tc>
          <w:tcPr>
            <w:tcW w:w="2494" w:type="dxa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 w:val="false"/>
                <w:color w:themeColor="text1" w:val="1E4E85"/>
                <w:kern w:val="0"/>
                <w:sz w:val="14"/>
                <w:szCs w:val="20"/>
                <w:lang w:val="fr-FR" w:eastAsia="en-US" w:bidi="ar-SA"/>
              </w:rPr>
              <w:t>Python</w:t>
            </w:r>
          </w:p>
        </w:tc>
        <w:tc>
          <w:tcPr>
            <w:tcW w:w="2494" w:type="dxa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 w:val="false"/>
                <w:color w:themeColor="text1" w:val="1E4E85"/>
                <w:kern w:val="0"/>
                <w:sz w:val="14"/>
                <w:szCs w:val="20"/>
                <w:lang w:val="fr-FR" w:eastAsia="en-US" w:bidi="ar-SA"/>
              </w:rPr>
              <w:t>3.12.3</w:t>
            </w:r>
          </w:p>
        </w:tc>
        <w:tc>
          <w:tcPr>
            <w:tcW w:w="2494" w:type="dxa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 w:val="false"/>
                <w:color w:themeColor="text1" w:val="1E4E85"/>
                <w:kern w:val="0"/>
                <w:sz w:val="14"/>
                <w:szCs w:val="20"/>
                <w:lang w:val="fr-FR" w:eastAsia="en-US" w:bidi="ar-SA"/>
              </w:rPr>
              <w:t>Runtime applicatif et scientifique</w:t>
            </w:r>
          </w:p>
        </w:tc>
        <w:tc>
          <w:tcPr>
            <w:tcW w:w="2493" w:type="dxa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 w:val="false"/>
                <w:color w:themeColor="text1" w:val="1E4E85"/>
                <w:kern w:val="0"/>
                <w:sz w:val="14"/>
                <w:szCs w:val="20"/>
                <w:lang w:val="fr-FR" w:eastAsia="en-US" w:bidi="ar-SA"/>
              </w:rPr>
              <w:t>backend/.venv, recréable depuis requirements.txt</w:t>
            </w:r>
          </w:p>
        </w:tc>
      </w:tr>
      <w:tr>
        <w:trPr/>
        <w:tc>
          <w:tcPr>
            <w:tcW w:w="2494" w:type="dxa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 w:val="false"/>
                <w:color w:themeColor="text1" w:val="1E4E85"/>
                <w:kern w:val="0"/>
                <w:sz w:val="14"/>
                <w:szCs w:val="20"/>
                <w:lang w:val="fr-FR" w:eastAsia="en-US" w:bidi="ar-SA"/>
              </w:rPr>
              <w:t>CLIMADA / petals</w:t>
            </w:r>
          </w:p>
        </w:tc>
        <w:tc>
          <w:tcPr>
            <w:tcW w:w="2494" w:type="dxa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 w:val="false"/>
                <w:color w:themeColor="text1" w:val="1E4E85"/>
                <w:kern w:val="0"/>
                <w:sz w:val="14"/>
                <w:szCs w:val="20"/>
                <w:lang w:val="fr-FR" w:eastAsia="en-US" w:bidi="ar-SA"/>
              </w:rPr>
              <w:t>6.1.0 / 6.1.0</w:t>
            </w:r>
          </w:p>
        </w:tc>
        <w:tc>
          <w:tcPr>
            <w:tcW w:w="2494" w:type="dxa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 w:val="false"/>
                <w:color w:themeColor="text1" w:val="1E4E85"/>
                <w:kern w:val="0"/>
                <w:sz w:val="14"/>
                <w:szCs w:val="20"/>
                <w:lang w:val="fr-FR" w:eastAsia="en-US" w:bidi="ar-SA"/>
              </w:rPr>
              <w:t>Calculs de risque natifs</w:t>
            </w:r>
          </w:p>
        </w:tc>
        <w:tc>
          <w:tcPr>
            <w:tcW w:w="2493" w:type="dxa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 w:val="false"/>
                <w:color w:themeColor="text1" w:val="1E4E85"/>
                <w:kern w:val="0"/>
                <w:sz w:val="14"/>
                <w:szCs w:val="20"/>
                <w:lang w:val="fr-FR" w:eastAsia="en-US" w:bidi="ar-SA"/>
              </w:rPr>
              <w:t>Voie scientifique de référence</w:t>
            </w:r>
          </w:p>
        </w:tc>
      </w:tr>
      <w:tr>
        <w:trPr/>
        <w:tc>
          <w:tcPr>
            <w:tcW w:w="2494" w:type="dxa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 w:val="false"/>
                <w:color w:themeColor="text1" w:val="1E4E85"/>
                <w:kern w:val="0"/>
                <w:sz w:val="14"/>
                <w:szCs w:val="20"/>
                <w:lang w:val="fr-FR" w:eastAsia="en-US" w:bidi="ar-SA"/>
              </w:rPr>
              <w:t>GDAL / GeoPandas / Shapely / PyProj</w:t>
            </w:r>
          </w:p>
        </w:tc>
        <w:tc>
          <w:tcPr>
            <w:tcW w:w="2494" w:type="dxa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 w:val="false"/>
                <w:color w:themeColor="text1" w:val="1E4E85"/>
                <w:kern w:val="0"/>
                <w:sz w:val="14"/>
                <w:szCs w:val="20"/>
                <w:lang w:val="fr-FR" w:eastAsia="en-US" w:bidi="ar-SA"/>
              </w:rPr>
              <w:t>3.8.4 / 1.1.2 / 2.1.2 / 3.7.2</w:t>
            </w:r>
          </w:p>
        </w:tc>
        <w:tc>
          <w:tcPr>
            <w:tcW w:w="2494" w:type="dxa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 w:val="false"/>
                <w:color w:themeColor="text1" w:val="1E4E85"/>
                <w:kern w:val="0"/>
                <w:sz w:val="14"/>
                <w:szCs w:val="20"/>
                <w:lang w:val="fr-FR" w:eastAsia="en-US" w:bidi="ar-SA"/>
              </w:rPr>
              <w:t>Traitements géospatiaux</w:t>
            </w:r>
          </w:p>
        </w:tc>
        <w:tc>
          <w:tcPr>
            <w:tcW w:w="2493" w:type="dxa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 w:val="false"/>
                <w:color w:themeColor="text1" w:val="1E4E85"/>
                <w:kern w:val="0"/>
                <w:sz w:val="14"/>
                <w:szCs w:val="20"/>
                <w:lang w:val="fr-FR" w:eastAsia="en-US" w:bidi="ar-SA"/>
              </w:rPr>
              <w:t>Versions système/Python à aligner</w:t>
            </w:r>
          </w:p>
        </w:tc>
      </w:tr>
      <w:tr>
        <w:trPr/>
        <w:tc>
          <w:tcPr>
            <w:tcW w:w="2494" w:type="dxa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 w:val="false"/>
                <w:color w:themeColor="text1" w:val="1E4E85"/>
                <w:kern w:val="0"/>
                <w:sz w:val="14"/>
                <w:szCs w:val="20"/>
                <w:lang w:val="fr-FR" w:eastAsia="en-US" w:bidi="ar-SA"/>
              </w:rPr>
              <w:t>SQLite</w:t>
            </w:r>
          </w:p>
        </w:tc>
        <w:tc>
          <w:tcPr>
            <w:tcW w:w="2494" w:type="dxa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 w:val="false"/>
                <w:color w:themeColor="text1" w:val="1E4E85"/>
                <w:kern w:val="0"/>
                <w:sz w:val="14"/>
                <w:szCs w:val="20"/>
                <w:lang w:val="fr-FR" w:eastAsia="en-US" w:bidi="ar-SA"/>
              </w:rPr>
              <w:t>Bibliothèque Python 3.12</w:t>
            </w:r>
          </w:p>
        </w:tc>
        <w:tc>
          <w:tcPr>
            <w:tcW w:w="2494" w:type="dxa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 w:val="false"/>
                <w:color w:themeColor="text1" w:val="1E4E85"/>
                <w:kern w:val="0"/>
                <w:sz w:val="14"/>
                <w:szCs w:val="20"/>
                <w:lang w:val="fr-FR" w:eastAsia="en-US" w:bidi="ar-SA"/>
              </w:rPr>
              <w:t>Comptes, sessions, runs, audit</w:t>
            </w:r>
          </w:p>
        </w:tc>
        <w:tc>
          <w:tcPr>
            <w:tcW w:w="2493" w:type="dxa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 w:val="false"/>
                <w:color w:themeColor="text1" w:val="1E4E85"/>
                <w:kern w:val="0"/>
                <w:sz w:val="14"/>
                <w:szCs w:val="20"/>
                <w:lang w:val="fr-FR" w:eastAsia="en-US" w:bidi="ar-SA"/>
              </w:rPr>
              <w:t>/var/lib/sib-risk/sib.sqlite3, mode WAL</w:t>
            </w:r>
          </w:p>
        </w:tc>
      </w:tr>
      <w:tr>
        <w:trPr/>
        <w:tc>
          <w:tcPr>
            <w:tcW w:w="2494" w:type="dxa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 w:val="false"/>
                <w:color w:themeColor="text1" w:val="1E4E85"/>
                <w:kern w:val="0"/>
                <w:sz w:val="14"/>
                <w:szCs w:val="20"/>
                <w:lang w:val="fr-FR" w:eastAsia="en-US" w:bidi="ar-SA"/>
              </w:rPr>
              <w:t>systemd</w:t>
            </w:r>
          </w:p>
        </w:tc>
        <w:tc>
          <w:tcPr>
            <w:tcW w:w="2494" w:type="dxa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 w:val="false"/>
                <w:color w:themeColor="text1" w:val="1E4E85"/>
                <w:kern w:val="0"/>
                <w:sz w:val="14"/>
                <w:szCs w:val="20"/>
                <w:lang w:val="fr-FR" w:eastAsia="en-US" w:bidi="ar-SA"/>
              </w:rPr>
              <w:t>Ubuntu 24.04</w:t>
            </w:r>
          </w:p>
        </w:tc>
        <w:tc>
          <w:tcPr>
            <w:tcW w:w="2494" w:type="dxa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 w:val="false"/>
                <w:color w:themeColor="text1" w:val="1E4E85"/>
                <w:kern w:val="0"/>
                <w:sz w:val="14"/>
                <w:szCs w:val="20"/>
                <w:lang w:val="fr-FR" w:eastAsia="en-US" w:bidi="ar-SA"/>
              </w:rPr>
              <w:t>API et nettoyage horaire</w:t>
            </w:r>
          </w:p>
        </w:tc>
        <w:tc>
          <w:tcPr>
            <w:tcW w:w="2493" w:type="dxa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 w:val="false"/>
                <w:color w:themeColor="text1" w:val="1E4E85"/>
                <w:kern w:val="0"/>
                <w:sz w:val="14"/>
                <w:szCs w:val="20"/>
                <w:lang w:val="fr-FR" w:eastAsia="en-US" w:bidi="ar-SA"/>
              </w:rPr>
              <w:t>sib-risk-api.service ; sib-risk-cleanup.timer</w:t>
            </w:r>
          </w:p>
        </w:tc>
      </w:tr>
      <w:tr>
        <w:trPr/>
        <w:tc>
          <w:tcPr>
            <w:tcW w:w="2494" w:type="dxa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 w:val="false"/>
                <w:color w:themeColor="text1" w:val="1E4E85"/>
                <w:kern w:val="0"/>
                <w:sz w:val="14"/>
                <w:szCs w:val="20"/>
                <w:lang w:val="fr-FR" w:eastAsia="en-US" w:bidi="ar-SA"/>
              </w:rPr>
              <w:t>Données</w:t>
            </w:r>
          </w:p>
        </w:tc>
        <w:tc>
          <w:tcPr>
            <w:tcW w:w="2494" w:type="dxa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 w:val="false"/>
                <w:color w:themeColor="text1" w:val="1E4E85"/>
                <w:kern w:val="0"/>
                <w:sz w:val="14"/>
                <w:szCs w:val="20"/>
                <w:lang w:val="fr-FR" w:eastAsia="en-US" w:bidi="ar-SA"/>
              </w:rPr>
              <w:t xml:space="preserve">≈ </w:t>
            </w:r>
            <w:r>
              <w:rPr>
                <w:rFonts w:eastAsia="Arial" w:cs="Times New Roman" w:ascii="Arial" w:hAnsi="Arial"/>
                <w:b w:val="false"/>
                <w:color w:themeColor="text1" w:val="1E4E85"/>
                <w:kern w:val="0"/>
                <w:sz w:val="14"/>
                <w:szCs w:val="20"/>
                <w:lang w:val="fr-FR" w:eastAsia="en-US" w:bidi="ar-SA"/>
              </w:rPr>
              <w:t>24–25 Go utiles à migrer</w:t>
            </w:r>
          </w:p>
        </w:tc>
        <w:tc>
          <w:tcPr>
            <w:tcW w:w="2494" w:type="dxa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 w:val="false"/>
                <w:color w:themeColor="text1" w:val="1E4E85"/>
                <w:kern w:val="0"/>
                <w:sz w:val="14"/>
                <w:szCs w:val="20"/>
                <w:lang w:val="fr-FR" w:eastAsia="en-US" w:bidi="ar-SA"/>
              </w:rPr>
              <w:t>Sources et résultats</w:t>
            </w:r>
          </w:p>
        </w:tc>
        <w:tc>
          <w:tcPr>
            <w:tcW w:w="2493" w:type="dxa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 w:val="false"/>
                <w:color w:themeColor="text1" w:val="1E4E85"/>
                <w:kern w:val="0"/>
                <w:sz w:val="14"/>
                <w:szCs w:val="20"/>
                <w:lang w:val="fr-FR" w:eastAsia="en-US" w:bidi="ar-SA"/>
              </w:rPr>
              <w:t>sib-work ≈ 14 Go ; uploads ≈ 10 Go ; webroot régénérable</w:t>
            </w:r>
          </w:p>
        </w:tc>
      </w:tr>
    </w:tbl>
    <w:p>
      <w:pPr>
        <w:pStyle w:val="Heading1"/>
        <w:keepNext w:val="true"/>
        <w:keepLines/>
        <w:suppressLineNumbers w:val="0"/>
        <w:spacing w:lineRule="auto" w:line="276" w:before="480" w:after="0"/>
        <w:ind w:hanging="432" w:left="432"/>
        <w:rPr/>
      </w:pPr>
      <w:bookmarkStart w:id="39" w:name="__RefHeading___Toc4142_1450298465"/>
      <w:bookmarkStart w:id="40" w:name="_Toc180072705"/>
      <w:bookmarkStart w:id="41" w:name="_Hlk203142024"/>
      <w:bookmarkStart w:id="42" w:name="_Toc155883598"/>
      <w:bookmarkEnd w:id="39"/>
      <w:r>
        <w:rPr>
          <w:rFonts w:ascii="Arial" w:hAnsi="Arial"/>
        </w:rPr>
        <w:t>Architecture technique</w:t>
      </w:r>
      <w:bookmarkStart w:id="43" w:name="_Toc155883600"/>
      <w:bookmarkEnd w:id="42"/>
      <w:r>
        <w:rPr>
          <w:rFonts w:ascii="Arial" w:hAnsi="Arial"/>
        </w:rPr>
        <w:t xml:space="preserve"> </w:t>
      </w:r>
      <w:bookmarkEnd w:id="41"/>
      <w:r>
        <w:rPr>
          <w:rFonts w:ascii="Arial" w:hAnsi="Arial"/>
        </w:rPr>
        <w:t>de recette/pré production</w:t>
      </w:r>
      <w:bookmarkEnd w:id="40"/>
      <w:bookmarkEnd w:id="43"/>
    </w:p>
    <w:p>
      <w:pPr>
        <w:pStyle w:val="Heading2"/>
        <w:ind w:hanging="425" w:left="765"/>
        <w:rPr/>
      </w:pPr>
      <w:bookmarkStart w:id="44" w:name="__RefHeading___Toc4144_1450298465"/>
      <w:bookmarkStart w:id="45" w:name="_Toc180072706"/>
      <w:bookmarkEnd w:id="44"/>
      <w:r>
        <w:rPr>
          <w:rFonts w:ascii="Arial" w:hAnsi="Arial"/>
        </w:rPr>
        <w:t xml:space="preserve">Schéma d’architecture technique </w:t>
      </w:r>
      <w:r>
        <w:rPr>
          <w:rFonts w:ascii="Arial" w:hAnsi="Arial"/>
          <w:color w:themeColor="background1" w:themeShade="80" w:val="0677C5"/>
        </w:rPr>
        <w:t>(LeanIX)</w:t>
      </w:r>
      <w:bookmarkEnd w:id="45"/>
    </w:p>
    <w:p>
      <w:pPr>
        <w:pStyle w:val="Normal"/>
        <w:rPr>
          <w:i/>
          <w:i/>
          <w:color w:val="7030A0"/>
        </w:rPr>
      </w:pPr>
      <w:r>
        <w:rPr>
          <w:i/>
          <w:color w:val="7030A0"/>
        </w:rPr>
      </w:r>
    </w:p>
    <w:p>
      <w:pPr>
        <w:pStyle w:val="Normal"/>
        <w:spacing w:before="0" w:after="80"/>
        <w:rPr>
          <w:b/>
          <w:i/>
          <w:i/>
          <w:color w:val="7030A0"/>
        </w:rPr>
      </w:pPr>
      <w:r>
        <w:rPr>
          <w:rFonts w:ascii="Arial" w:hAnsi="Arial"/>
          <w:b w:val="false"/>
          <w:sz w:val="19"/>
        </w:rPr>
        <w:t>Aucun environnement OFB de recette/préproduction n’est documenté comme provisionné à ce jour. Le schéma représente la cible proposée ; les noms DNS, IP, capacités et outils transverses sont à compléter par l’Infrastructure.</w:t>
      </w:r>
    </w:p>
    <w:p>
      <w:pPr>
        <w:pStyle w:val="Normal"/>
        <w:spacing w:before="0" w:after="60"/>
        <w:jc w:val="center"/>
        <w:rPr/>
      </w:pPr>
      <w:r>
        <w:rPr/>
        <w:drawing>
          <wp:inline distT="0" distB="0" distL="0" distR="0">
            <wp:extent cx="5760085" cy="2446020"/>
            <wp:effectExtent l="0" t="0" r="0" b="0"/>
            <wp:docPr id="10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before="120" w:after="80"/>
        <w:rPr/>
      </w:pPr>
      <w:r>
        <w:rPr>
          <w:rFonts w:ascii="Arial" w:hAnsi="Arial"/>
          <w:b w:val="false"/>
          <w:sz w:val="19"/>
        </w:rPr>
        <w:t>Figure 2 – Architecture hors production proposée, à valider par l’Infrastructure OFB.</w:t>
      </w:r>
    </w:p>
    <w:p>
      <w:pPr>
        <w:pStyle w:val="Normal"/>
        <w:rPr/>
      </w:pPr>
      <w:r>
        <w:rPr/>
      </w:r>
    </w:p>
    <w:p>
      <w:pPr>
        <w:pStyle w:val="Heading2"/>
        <w:ind w:hanging="425" w:left="765"/>
        <w:rPr/>
      </w:pPr>
      <w:bookmarkStart w:id="46" w:name="__RefHeading___Toc4146_1450298465"/>
      <w:bookmarkStart w:id="47" w:name="_Toc180072707"/>
      <w:bookmarkEnd w:id="46"/>
      <w:r>
        <w:rPr>
          <w:rFonts w:ascii="Arial" w:hAnsi="Arial"/>
        </w:rPr>
        <w:t>Spécification par Serveurs</w:t>
      </w:r>
      <w:bookmarkEnd w:id="47"/>
    </w:p>
    <w:p>
      <w:pPr>
        <w:pStyle w:val="Normal"/>
        <w:rPr/>
      </w:pPr>
      <w:r>
        <w:rPr/>
      </w:r>
    </w:p>
    <w:p>
      <w:pPr>
        <w:pStyle w:val="Normal"/>
        <w:spacing w:before="0" w:after="80"/>
        <w:rPr>
          <w:b/>
          <w:i/>
          <w:i/>
          <w:color w:val="7030A0"/>
          <w:u w:val="single"/>
        </w:rPr>
      </w:pPr>
      <w:r>
        <w:rPr>
          <w:rFonts w:ascii="Arial" w:hAnsi="Arial"/>
          <w:b w:val="false"/>
          <w:sz w:val="19"/>
        </w:rPr>
        <w:t>Une VM Linux unique peut porter les rôles présentation, application et batch pour la phase de recette. Les sections suivantes décrivent ces rôles logiques ; elles ne signifient pas quatre serveurs distincts.</w:t>
      </w:r>
    </w:p>
    <w:p>
      <w:pPr>
        <w:pStyle w:val="Normal"/>
        <w:rPr/>
      </w:pPr>
      <w:r>
        <w:rPr/>
      </w:r>
    </w:p>
    <w:p>
      <w:pPr>
        <w:pStyle w:val="Heading3"/>
        <w:spacing w:before="0" w:after="80"/>
        <w:ind w:hanging="227" w:left="1134"/>
        <w:rPr>
          <w:color w:val="7030A0"/>
        </w:rPr>
      </w:pPr>
      <w:bookmarkStart w:id="48" w:name="__RefHeading___Toc4148_1450298465"/>
      <w:bookmarkEnd w:id="48"/>
      <w:r>
        <w:rPr>
          <w:rFonts w:ascii="Arial" w:hAnsi="Arial"/>
          <w:b w:val="false"/>
          <w:sz w:val="19"/>
        </w:rPr>
        <w:t>Serveur présentation : VM SIB Work hors production (rôle mutualisé)</w:t>
      </w:r>
    </w:p>
    <w:p>
      <w:pPr>
        <w:pStyle w:val="Normal"/>
        <w:rPr/>
      </w:pPr>
      <w:r>
        <w:rPr/>
      </w:r>
    </w:p>
    <w:p>
      <w:pPr>
        <w:pStyle w:val="Normal"/>
        <w:spacing w:before="0" w:after="80"/>
        <w:rPr>
          <w:i/>
          <w:i/>
          <w:color w:val="7030A0"/>
        </w:rPr>
      </w:pPr>
      <w:r>
        <w:rPr>
          <w:rFonts w:ascii="Arial" w:hAnsi="Arial"/>
          <w:b w:val="false"/>
          <w:sz w:val="19"/>
        </w:rPr>
        <w:t>Cible à provisionner par la DSI OFB. Nginx sert le contenu statique et reverse-proxy les routes API autorisées.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4"/>
        <w:ind w:hanging="864" w:left="1134"/>
        <w:rPr/>
      </w:pPr>
      <w:bookmarkStart w:id="49" w:name="__RefHeading___Toc4150_1450298465"/>
      <w:bookmarkStart w:id="50" w:name="_Toc180072709"/>
      <w:bookmarkEnd w:id="49"/>
      <w:r>
        <w:rPr>
          <w:rFonts w:ascii="Arial" w:hAnsi="Arial"/>
        </w:rPr>
        <w:t>Configuration matérielle</w:t>
      </w:r>
      <w:bookmarkEnd w:id="50"/>
      <w:r>
        <w:rPr>
          <w:rFonts w:ascii="Arial" w:hAnsi="Arial"/>
        </w:rPr>
        <w:t xml:space="preserve"> </w:t>
      </w:r>
    </w:p>
    <w:tbl>
      <w:tblPr>
        <w:tblW w:w="9060" w:type="dxa"/>
        <w:jc w:val="left"/>
        <w:tblInd w:w="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Look w:val="04a0" w:noHBand="0" w:noVBand="1" w:firstColumn="1" w:lastRow="0" w:lastColumn="0" w:firstRow="1"/>
      </w:tblPr>
      <w:tblGrid>
        <w:gridCol w:w="2689"/>
        <w:gridCol w:w="282"/>
        <w:gridCol w:w="6089"/>
      </w:tblGrid>
      <w:tr>
        <w:trPr/>
        <w:tc>
          <w:tcPr>
            <w:tcW w:w="2689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6"/>
              </w:rPr>
              <w:t>Processeur</w:t>
            </w:r>
          </w:p>
        </w:tc>
        <w:tc>
          <w:tcPr>
            <w:tcW w:w="282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6"/>
              </w:rPr>
              <w:t>:</w:t>
            </w:r>
          </w:p>
        </w:tc>
        <w:tc>
          <w:tcPr>
            <w:tcW w:w="6089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6"/>
              </w:rPr>
              <w:t>4 vCPU recommandés</w:t>
            </w:r>
          </w:p>
        </w:tc>
      </w:tr>
      <w:tr>
        <w:trPr/>
        <w:tc>
          <w:tcPr>
            <w:tcW w:w="2689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6"/>
              </w:rPr>
              <w:t>Espace disque</w:t>
            </w:r>
          </w:p>
        </w:tc>
        <w:tc>
          <w:tcPr>
            <w:tcW w:w="282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6"/>
              </w:rPr>
              <w:t>:</w:t>
            </w:r>
          </w:p>
        </w:tc>
        <w:tc>
          <w:tcPr>
            <w:tcW w:w="6089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6"/>
              </w:rPr>
              <w:t>120 Go minimum ; 160 Go recommandé</w:t>
            </w:r>
          </w:p>
        </w:tc>
      </w:tr>
      <w:tr>
        <w:trPr/>
        <w:tc>
          <w:tcPr>
            <w:tcW w:w="2689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6"/>
              </w:rPr>
              <w:t>Mémoire vive</w:t>
            </w:r>
          </w:p>
        </w:tc>
        <w:tc>
          <w:tcPr>
            <w:tcW w:w="282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6"/>
              </w:rPr>
              <w:t>:</w:t>
            </w:r>
          </w:p>
        </w:tc>
        <w:tc>
          <w:tcPr>
            <w:tcW w:w="6089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6"/>
              </w:rPr>
              <w:t>8 Gio minimum ; 16 Gio recommandé ; swap 8 Gio</w:t>
            </w:r>
          </w:p>
        </w:tc>
      </w:tr>
      <w:tr>
        <w:trPr/>
        <w:tc>
          <w:tcPr>
            <w:tcW w:w="2689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6"/>
              </w:rPr>
              <w:t>Système d’exploitation</w:t>
            </w:r>
          </w:p>
        </w:tc>
        <w:tc>
          <w:tcPr>
            <w:tcW w:w="282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6"/>
              </w:rPr>
              <w:t>:</w:t>
            </w:r>
          </w:p>
        </w:tc>
        <w:tc>
          <w:tcPr>
            <w:tcW w:w="6089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6"/>
              </w:rPr>
              <w:t>Ubuntu Server 24.04 LTS x86_64 ou socle OFB équivalent validé</w:t>
            </w:r>
          </w:p>
        </w:tc>
      </w:tr>
      <w:tr>
        <w:trPr/>
        <w:tc>
          <w:tcPr>
            <w:tcW w:w="2689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6"/>
              </w:rPr>
              <w:t>Adresse IP</w:t>
            </w:r>
          </w:p>
        </w:tc>
        <w:tc>
          <w:tcPr>
            <w:tcW w:w="282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6"/>
              </w:rPr>
              <w:t>:</w:t>
            </w:r>
          </w:p>
        </w:tc>
        <w:tc>
          <w:tcPr>
            <w:tcW w:w="6089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6"/>
              </w:rPr>
              <w:t>À attribuer par l’Infrastructure OFB ; DNS de recette à définir</w:t>
            </w:r>
          </w:p>
        </w:tc>
      </w:tr>
    </w:tbl>
    <w:p>
      <w:pPr>
        <w:pStyle w:val="Heading4"/>
        <w:ind w:hanging="864" w:left="1134"/>
        <w:rPr/>
      </w:pPr>
      <w:bookmarkStart w:id="51" w:name="__RefHeading___Toc4152_1450298465"/>
      <w:bookmarkStart w:id="52" w:name="_Toc180072710"/>
      <w:bookmarkEnd w:id="51"/>
      <w:r>
        <w:rPr>
          <w:rFonts w:ascii="Arial" w:hAnsi="Arial"/>
        </w:rPr>
        <w:t>Composant applicatif</w:t>
      </w:r>
      <w:bookmarkEnd w:id="52"/>
    </w:p>
    <w:p>
      <w:pPr>
        <w:pStyle w:val="BodyText"/>
        <w:spacing w:before="0" w:after="80"/>
        <w:rPr>
          <w:i/>
          <w:i/>
          <w:color w:val="7030A0"/>
        </w:rPr>
      </w:pPr>
      <w:r>
        <w:rPr>
          <w:rFonts w:ascii="Arial" w:hAnsi="Arial"/>
          <w:b w:val="false"/>
          <w:sz w:val="19"/>
        </w:rPr>
        <w:t>Nginx 1.24 ou version maintenue par l’OFB ; certificats TLS/PKI OFB ; fichiers statiques déployés dans /var/www/sib.shared.elio.dev (chemin adaptable) ; vhosts, rate limits, CSP et journalisation issus de config/nginx/.</w:t>
      </w:r>
    </w:p>
    <w:p>
      <w:pPr>
        <w:pStyle w:val="BodyText"/>
        <w:rPr>
          <w:i/>
          <w:i/>
          <w:color w:val="7030A0"/>
        </w:rPr>
      </w:pPr>
      <w:r>
        <w:rPr>
          <w:i/>
          <w:color w:val="7030A0"/>
        </w:rPr>
      </w:r>
    </w:p>
    <w:p>
      <w:pPr>
        <w:pStyle w:val="Heading4"/>
        <w:ind w:hanging="864" w:left="1134"/>
        <w:rPr/>
      </w:pPr>
      <w:bookmarkStart w:id="53" w:name="__RefHeading___Toc4154_1450298465"/>
      <w:bookmarkStart w:id="54" w:name="_Toc180072711"/>
      <w:bookmarkEnd w:id="53"/>
      <w:r>
        <w:rPr>
          <w:rFonts w:ascii="Arial" w:hAnsi="Arial"/>
        </w:rPr>
        <w:t>Spécificité</w:t>
      </w:r>
      <w:bookmarkEnd w:id="54"/>
    </w:p>
    <w:p>
      <w:pPr>
        <w:pStyle w:val="BodyText"/>
        <w:spacing w:before="0" w:after="80"/>
        <w:rPr>
          <w:i/>
          <w:i/>
          <w:color w:val="7030A0"/>
        </w:rPr>
      </w:pPr>
      <w:r>
        <w:rPr>
          <w:rFonts w:ascii="Arial" w:hAnsi="Arial"/>
          <w:b w:val="false"/>
          <w:sz w:val="19"/>
        </w:rPr>
        <w:t>HTTP redirigé vers HTTPS. Le webroot est régénérable depuis web/. Le déploiement est manuel et utilise rsync --delete ; sauvegarder/valider la source avant toute synchronisation. Les domaines de recette restent à attribuer.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3"/>
        <w:spacing w:before="0" w:after="80"/>
        <w:ind w:hanging="227" w:left="1134"/>
        <w:rPr>
          <w:color w:val="7030A0"/>
        </w:rPr>
      </w:pPr>
      <w:bookmarkStart w:id="55" w:name="__RefHeading___Toc4156_1450298465"/>
      <w:bookmarkEnd w:id="55"/>
      <w:r>
        <w:rPr>
          <w:rFonts w:ascii="Arial" w:hAnsi="Arial"/>
          <w:b w:val="false"/>
          <w:sz w:val="19"/>
        </w:rPr>
        <w:t>Serveur d’application : VM SIB Work hors production (même VM)</w:t>
      </w:r>
    </w:p>
    <w:p>
      <w:pPr>
        <w:pStyle w:val="Normal"/>
        <w:rPr/>
      </w:pPr>
      <w:r>
        <w:rPr/>
      </w:r>
    </w:p>
    <w:p>
      <w:pPr>
        <w:pStyle w:val="Normal"/>
        <w:spacing w:before="0" w:after="80"/>
        <w:rPr>
          <w:i/>
          <w:i/>
          <w:color w:val="7030A0"/>
        </w:rPr>
      </w:pPr>
      <w:r>
        <w:rPr>
          <w:rFonts w:ascii="Arial" w:hAnsi="Arial"/>
          <w:b w:val="false"/>
          <w:sz w:val="19"/>
        </w:rPr>
        <w:t>Rôle applicatif hébergé sur la même VM que la présentation sauf décision d’architecture OFB contraire.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4"/>
        <w:ind w:hanging="864" w:left="1134"/>
        <w:rPr/>
      </w:pPr>
      <w:bookmarkStart w:id="56" w:name="__RefHeading___Toc4158_1450298465"/>
      <w:bookmarkStart w:id="57" w:name="_Toc180072713"/>
      <w:bookmarkEnd w:id="56"/>
      <w:r>
        <w:rPr>
          <w:rFonts w:ascii="Arial" w:hAnsi="Arial"/>
        </w:rPr>
        <w:t>Configuration matérielle</w:t>
      </w:r>
      <w:bookmarkEnd w:id="57"/>
      <w:r>
        <w:rPr>
          <w:rFonts w:ascii="Arial" w:hAnsi="Arial"/>
        </w:rPr>
        <w:t xml:space="preserve"> </w:t>
      </w:r>
    </w:p>
    <w:tbl>
      <w:tblPr>
        <w:tblW w:w="9060" w:type="dxa"/>
        <w:jc w:val="left"/>
        <w:tblInd w:w="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Look w:val="04a0" w:noHBand="0" w:noVBand="1" w:firstColumn="1" w:lastRow="0" w:lastColumn="0" w:firstRow="1"/>
      </w:tblPr>
      <w:tblGrid>
        <w:gridCol w:w="2689"/>
        <w:gridCol w:w="282"/>
        <w:gridCol w:w="6089"/>
      </w:tblGrid>
      <w:tr>
        <w:trPr/>
        <w:tc>
          <w:tcPr>
            <w:tcW w:w="2689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6"/>
              </w:rPr>
              <w:t>Processeur</w:t>
            </w:r>
          </w:p>
        </w:tc>
        <w:tc>
          <w:tcPr>
            <w:tcW w:w="282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6"/>
              </w:rPr>
              <w:t>:</w:t>
            </w:r>
          </w:p>
        </w:tc>
        <w:tc>
          <w:tcPr>
            <w:tcW w:w="6089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6"/>
              </w:rPr>
              <w:t>4 vCPU recommandés</w:t>
            </w:r>
          </w:p>
        </w:tc>
      </w:tr>
      <w:tr>
        <w:trPr/>
        <w:tc>
          <w:tcPr>
            <w:tcW w:w="2689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6"/>
              </w:rPr>
              <w:t>Espace disque</w:t>
            </w:r>
          </w:p>
        </w:tc>
        <w:tc>
          <w:tcPr>
            <w:tcW w:w="282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6"/>
              </w:rPr>
              <w:t>:</w:t>
            </w:r>
          </w:p>
        </w:tc>
        <w:tc>
          <w:tcPr>
            <w:tcW w:w="6089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6"/>
              </w:rPr>
              <w:t>120 Go minimum ; 160 Go recommandé</w:t>
            </w:r>
          </w:p>
        </w:tc>
      </w:tr>
      <w:tr>
        <w:trPr/>
        <w:tc>
          <w:tcPr>
            <w:tcW w:w="2689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6"/>
              </w:rPr>
              <w:t>Mémoire vive</w:t>
            </w:r>
          </w:p>
        </w:tc>
        <w:tc>
          <w:tcPr>
            <w:tcW w:w="282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6"/>
              </w:rPr>
              <w:t>:</w:t>
            </w:r>
          </w:p>
        </w:tc>
        <w:tc>
          <w:tcPr>
            <w:tcW w:w="6089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6"/>
              </w:rPr>
              <w:t>8 Gio minimum ; 16 Gio recommandé ; swap 8 Gio</w:t>
            </w:r>
          </w:p>
        </w:tc>
      </w:tr>
      <w:tr>
        <w:trPr/>
        <w:tc>
          <w:tcPr>
            <w:tcW w:w="2689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6"/>
              </w:rPr>
              <w:t>Système d’exploitation</w:t>
            </w:r>
          </w:p>
        </w:tc>
        <w:tc>
          <w:tcPr>
            <w:tcW w:w="282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6"/>
              </w:rPr>
              <w:t>:</w:t>
            </w:r>
          </w:p>
        </w:tc>
        <w:tc>
          <w:tcPr>
            <w:tcW w:w="6089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6"/>
              </w:rPr>
              <w:t>Ubuntu Server 24.04 LTS x86_64 ou socle OFB équivalent validé</w:t>
            </w:r>
          </w:p>
        </w:tc>
      </w:tr>
      <w:tr>
        <w:trPr/>
        <w:tc>
          <w:tcPr>
            <w:tcW w:w="2689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6"/>
              </w:rPr>
              <w:t>Adresse IP</w:t>
            </w:r>
          </w:p>
        </w:tc>
        <w:tc>
          <w:tcPr>
            <w:tcW w:w="282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6"/>
              </w:rPr>
              <w:t>:</w:t>
            </w:r>
          </w:p>
        </w:tc>
        <w:tc>
          <w:tcPr>
            <w:tcW w:w="6089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6"/>
              </w:rPr>
              <w:t>À attribuer par l’Infrastructure OFB ; DNS de recette à définir</w:t>
            </w:r>
          </w:p>
        </w:tc>
      </w:tr>
    </w:tbl>
    <w:p>
      <w:pPr>
        <w:pStyle w:val="Heading4"/>
        <w:ind w:hanging="864" w:left="1134"/>
        <w:rPr/>
      </w:pPr>
      <w:bookmarkStart w:id="58" w:name="__RefHeading___Toc4160_1450298465"/>
      <w:bookmarkStart w:id="59" w:name="_Toc180072714"/>
      <w:bookmarkEnd w:id="58"/>
      <w:r>
        <w:rPr>
          <w:rFonts w:ascii="Arial" w:hAnsi="Arial"/>
        </w:rPr>
        <w:t>Composant applicatif</w:t>
      </w:r>
      <w:bookmarkEnd w:id="59"/>
    </w:p>
    <w:p>
      <w:pPr>
        <w:pStyle w:val="BodyText"/>
        <w:spacing w:before="0" w:after="80"/>
        <w:rPr>
          <w:i/>
          <w:i/>
          <w:color w:val="7030A0"/>
        </w:rPr>
      </w:pPr>
      <w:r>
        <w:rPr>
          <w:rFonts w:ascii="Arial" w:hAnsi="Arial"/>
          <w:b w:val="false"/>
          <w:sz w:val="19"/>
        </w:rPr>
        <w:t>Python 3.12, environnement virtuel backend/.venv, FastAPI 0.133, Uvicorn 0.41, CLIMADA 6.1, climada_petals 6.1, GDAL 3.8.4, GeoPandas 1.1.2, Shapely 2.1.2, PyProj 3.7.2 et dépendances de backend/requirements.txt. Service systemd sib-risk-api.service sur 127.0.0.1:8000.</w:t>
      </w:r>
    </w:p>
    <w:p>
      <w:pPr>
        <w:pStyle w:val="BodyText"/>
        <w:rPr>
          <w:i/>
          <w:i/>
          <w:color w:val="7030A0"/>
        </w:rPr>
      </w:pPr>
      <w:r>
        <w:rPr>
          <w:i/>
          <w:color w:val="7030A0"/>
        </w:rPr>
      </w:r>
    </w:p>
    <w:p>
      <w:pPr>
        <w:pStyle w:val="Heading4"/>
        <w:ind w:hanging="864" w:left="1134"/>
        <w:rPr/>
      </w:pPr>
      <w:bookmarkStart w:id="60" w:name="__RefHeading___Toc4162_1450298465"/>
      <w:bookmarkStart w:id="61" w:name="_Toc180072715"/>
      <w:bookmarkEnd w:id="60"/>
      <w:r>
        <w:rPr>
          <w:rFonts w:ascii="Arial" w:hAnsi="Arial"/>
        </w:rPr>
        <w:t>Spécificité</w:t>
      </w:r>
      <w:bookmarkEnd w:id="61"/>
    </w:p>
    <w:p>
      <w:pPr>
        <w:pStyle w:val="BodyText"/>
        <w:spacing w:before="0" w:after="80"/>
        <w:rPr>
          <w:i/>
          <w:i/>
          <w:color w:val="7030A0"/>
        </w:rPr>
      </w:pPr>
      <w:r>
        <w:rPr>
          <w:rFonts w:ascii="Arial" w:hAnsi="Arial"/>
          <w:b w:val="false"/>
          <w:sz w:val="19"/>
        </w:rPr>
        <w:t>Les dépendances Python GDAL doivent correspondre à la version système de GDAL. Les chemins historiques /home/ubuntu/sib-work et /home/ubuntu/uploads sont fortement présents ; conserver des liens symboliques de compatibilité ou adapter toutes les variables SIB_RISK_* de façon contrôlée.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3"/>
        <w:spacing w:before="0" w:after="80"/>
        <w:ind w:hanging="227" w:left="1134"/>
        <w:rPr>
          <w:color w:val="7030A0"/>
        </w:rPr>
      </w:pPr>
      <w:bookmarkStart w:id="62" w:name="__RefHeading___Toc4164_1450298465"/>
      <w:bookmarkEnd w:id="62"/>
      <w:r>
        <w:rPr>
          <w:rFonts w:ascii="Arial" w:hAnsi="Arial"/>
          <w:b w:val="false"/>
          <w:sz w:val="19"/>
        </w:rPr>
        <w:t>Serveur de base de données : aucun serveur dédié</w:t>
      </w:r>
    </w:p>
    <w:p>
      <w:pPr>
        <w:pStyle w:val="Normal"/>
        <w:rPr/>
      </w:pPr>
      <w:r>
        <w:rPr/>
      </w:r>
    </w:p>
    <w:p>
      <w:pPr>
        <w:pStyle w:val="Normal"/>
        <w:spacing w:before="0" w:after="80"/>
        <w:rPr>
          <w:i/>
          <w:i/>
          <w:color w:val="7030A0"/>
        </w:rPr>
      </w:pPr>
      <w:r>
        <w:rPr>
          <w:rFonts w:ascii="Arial" w:hAnsi="Arial"/>
          <w:b w:val="false"/>
          <w:sz w:val="19"/>
        </w:rPr>
        <w:t>SIB Work n’exige ni MariaDB ni PostgreSQL. Une base SQLite locale est utilisée par l’API.</w:t>
      </w:r>
    </w:p>
    <w:p>
      <w:pPr>
        <w:pStyle w:val="Normal"/>
        <w:rPr/>
      </w:pPr>
      <w:r>
        <w:rPr/>
      </w:r>
    </w:p>
    <w:p>
      <w:pPr>
        <w:pStyle w:val="Heading4"/>
        <w:ind w:hanging="864" w:left="1134"/>
        <w:rPr/>
      </w:pPr>
      <w:bookmarkStart w:id="63" w:name="__RefHeading___Toc4166_1450298465"/>
      <w:bookmarkStart w:id="64" w:name="_Toc180072717"/>
      <w:bookmarkEnd w:id="63"/>
      <w:r>
        <w:rPr>
          <w:rFonts w:ascii="Arial" w:hAnsi="Arial"/>
        </w:rPr>
        <w:t>Configuration matérielle</w:t>
      </w:r>
      <w:bookmarkEnd w:id="64"/>
      <w:r>
        <w:rPr>
          <w:rFonts w:ascii="Arial" w:hAnsi="Arial"/>
        </w:rPr>
        <w:t xml:space="preserve"> </w:t>
      </w:r>
    </w:p>
    <w:tbl>
      <w:tblPr>
        <w:tblW w:w="9060" w:type="dxa"/>
        <w:jc w:val="left"/>
        <w:tblInd w:w="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Look w:val="04a0" w:noHBand="0" w:noVBand="1" w:firstColumn="1" w:lastRow="0" w:lastColumn="0" w:firstRow="1"/>
      </w:tblPr>
      <w:tblGrid>
        <w:gridCol w:w="2689"/>
        <w:gridCol w:w="282"/>
        <w:gridCol w:w="6089"/>
      </w:tblGrid>
      <w:tr>
        <w:trPr/>
        <w:tc>
          <w:tcPr>
            <w:tcW w:w="2689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6"/>
              </w:rPr>
              <w:t>Processeur</w:t>
            </w:r>
          </w:p>
        </w:tc>
        <w:tc>
          <w:tcPr>
            <w:tcW w:w="282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6"/>
              </w:rPr>
              <w:t>:</w:t>
            </w:r>
          </w:p>
        </w:tc>
        <w:tc>
          <w:tcPr>
            <w:tcW w:w="6089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6"/>
              </w:rPr>
              <w:t>Sans objet – rôle hébergé sur la VM applicative</w:t>
            </w:r>
          </w:p>
        </w:tc>
      </w:tr>
      <w:tr>
        <w:trPr/>
        <w:tc>
          <w:tcPr>
            <w:tcW w:w="2689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6"/>
              </w:rPr>
              <w:t>Espace disque</w:t>
            </w:r>
          </w:p>
        </w:tc>
        <w:tc>
          <w:tcPr>
            <w:tcW w:w="282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6"/>
              </w:rPr>
              <w:t>:</w:t>
            </w:r>
          </w:p>
        </w:tc>
        <w:tc>
          <w:tcPr>
            <w:tcW w:w="6089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6"/>
              </w:rPr>
              <w:t>Inclus ; réserver et superviser /var/lib/sib-risk</w:t>
            </w:r>
          </w:p>
        </w:tc>
      </w:tr>
      <w:tr>
        <w:trPr/>
        <w:tc>
          <w:tcPr>
            <w:tcW w:w="2689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6"/>
              </w:rPr>
              <w:t>Mémoire vive</w:t>
            </w:r>
          </w:p>
        </w:tc>
        <w:tc>
          <w:tcPr>
            <w:tcW w:w="282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6"/>
              </w:rPr>
              <w:t>:</w:t>
            </w:r>
          </w:p>
        </w:tc>
        <w:tc>
          <w:tcPr>
            <w:tcW w:w="6089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6"/>
              </w:rPr>
              <w:t>Incluse dans le dimensionnement de la VM</w:t>
            </w:r>
          </w:p>
        </w:tc>
      </w:tr>
      <w:tr>
        <w:trPr/>
        <w:tc>
          <w:tcPr>
            <w:tcW w:w="2689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6"/>
              </w:rPr>
              <w:t>Système d’exploitation</w:t>
            </w:r>
          </w:p>
        </w:tc>
        <w:tc>
          <w:tcPr>
            <w:tcW w:w="282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6"/>
              </w:rPr>
              <w:t>:</w:t>
            </w:r>
          </w:p>
        </w:tc>
        <w:tc>
          <w:tcPr>
            <w:tcW w:w="6089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6"/>
              </w:rPr>
              <w:t>Sans objet – SQLite embarqué</w:t>
            </w:r>
          </w:p>
        </w:tc>
      </w:tr>
      <w:tr>
        <w:trPr/>
        <w:tc>
          <w:tcPr>
            <w:tcW w:w="2689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6"/>
              </w:rPr>
              <w:t>Adresse IP</w:t>
            </w:r>
          </w:p>
        </w:tc>
        <w:tc>
          <w:tcPr>
            <w:tcW w:w="282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6"/>
              </w:rPr>
              <w:t>:</w:t>
            </w:r>
          </w:p>
        </w:tc>
        <w:tc>
          <w:tcPr>
            <w:tcW w:w="6089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6"/>
              </w:rPr>
              <w:t>Aucune ; aucun port de base de données réseau</w:t>
            </w:r>
          </w:p>
        </w:tc>
      </w:tr>
    </w:tbl>
    <w:p>
      <w:pPr>
        <w:pStyle w:val="Heading4"/>
        <w:ind w:hanging="864" w:left="1134"/>
        <w:rPr/>
      </w:pPr>
      <w:bookmarkStart w:id="65" w:name="__RefHeading___Toc4168_1450298465"/>
      <w:bookmarkStart w:id="66" w:name="_Toc180072718"/>
      <w:bookmarkEnd w:id="65"/>
      <w:r>
        <w:rPr>
          <w:rFonts w:ascii="Arial" w:hAnsi="Arial"/>
        </w:rPr>
        <w:t>Composant applicatif</w:t>
      </w:r>
      <w:bookmarkEnd w:id="66"/>
    </w:p>
    <w:p>
      <w:pPr>
        <w:pStyle w:val="BodyText"/>
        <w:spacing w:before="0" w:after="80"/>
        <w:rPr>
          <w:i/>
          <w:i/>
          <w:color w:val="7030A0"/>
        </w:rPr>
      </w:pPr>
      <w:r>
        <w:rPr>
          <w:rFonts w:ascii="Arial" w:hAnsi="Arial"/>
          <w:b w:val="false"/>
          <w:sz w:val="19"/>
        </w:rPr>
        <w:t>SQLite en mode WAL, fichier /var/lib/sib-risk/sib.sqlite3. Données : utilisateurs, sessions, runs, artefacts, livraisons e-mail, journaux d’audit et compteurs de limitation. Aucun moteur de base relationnelle réseau n’est requis.</w:t>
      </w:r>
    </w:p>
    <w:p>
      <w:pPr>
        <w:pStyle w:val="BodyText"/>
        <w:rPr>
          <w:i/>
          <w:i/>
          <w:color w:val="7030A0"/>
        </w:rPr>
      </w:pPr>
      <w:r>
        <w:rPr>
          <w:i/>
          <w:color w:val="7030A0"/>
        </w:rPr>
      </w:r>
    </w:p>
    <w:p>
      <w:pPr>
        <w:pStyle w:val="Heading4"/>
        <w:ind w:hanging="864" w:left="1134"/>
        <w:rPr/>
      </w:pPr>
      <w:bookmarkStart w:id="67" w:name="__RefHeading___Toc4170_1450298465"/>
      <w:bookmarkStart w:id="68" w:name="_Toc180072719"/>
      <w:bookmarkEnd w:id="67"/>
      <w:r>
        <w:rPr>
          <w:rFonts w:ascii="Arial" w:hAnsi="Arial"/>
        </w:rPr>
        <w:t>Spécificité</w:t>
      </w:r>
      <w:bookmarkEnd w:id="68"/>
    </w:p>
    <w:p>
      <w:pPr>
        <w:pStyle w:val="BodyText"/>
        <w:spacing w:before="0" w:after="80"/>
        <w:rPr>
          <w:i/>
          <w:i/>
          <w:color w:val="7030A0"/>
        </w:rPr>
      </w:pPr>
      <w:r>
        <w:rPr>
          <w:rFonts w:ascii="Arial" w:hAnsi="Arial"/>
          <w:b w:val="false"/>
          <w:sz w:val="19"/>
        </w:rPr>
        <w:t>Le répertoire /var/lib/sib-risk doit être inscriptible par l’utilisateur applicatif et le groupe www-data, sauvegardé et supervisé. Les fichiers sqlite3, -wal et -shm forment un ensemble cohérent ; effectuer les sauvegardes selon une méthode compatible SQLite.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3"/>
        <w:spacing w:before="0" w:after="80"/>
        <w:ind w:hanging="227" w:left="1134"/>
        <w:rPr>
          <w:color w:val="7030A0"/>
        </w:rPr>
      </w:pPr>
      <w:bookmarkStart w:id="69" w:name="__RefHeading___Toc4172_1450298465"/>
      <w:bookmarkEnd w:id="69"/>
      <w:r>
        <w:rPr>
          <w:rFonts w:ascii="Arial" w:hAnsi="Arial"/>
          <w:b w:val="false"/>
          <w:sz w:val="19"/>
        </w:rPr>
        <w:t>Serveur batch : VM SIB Work hors production (même VM)</w:t>
      </w:r>
    </w:p>
    <w:p>
      <w:pPr>
        <w:pStyle w:val="Normal"/>
        <w:rPr/>
      </w:pPr>
      <w:r>
        <w:rPr/>
      </w:r>
    </w:p>
    <w:p>
      <w:pPr>
        <w:pStyle w:val="Normal"/>
        <w:spacing w:before="0" w:after="80"/>
        <w:rPr>
          <w:i/>
          <w:i/>
          <w:color w:val="7030A0"/>
        </w:rPr>
      </w:pPr>
      <w:r>
        <w:rPr>
          <w:rFonts w:ascii="Arial" w:hAnsi="Arial"/>
          <w:b w:val="false"/>
          <w:sz w:val="19"/>
        </w:rPr>
        <w:t>Les tâches périodiques légères et les scripts scientifiques manuels s’exécutent sur la VM mutualisée.</w:t>
      </w:r>
    </w:p>
    <w:p>
      <w:pPr>
        <w:pStyle w:val="Normal"/>
        <w:rPr/>
      </w:pPr>
      <w:r>
        <w:rPr/>
      </w:r>
    </w:p>
    <w:p>
      <w:pPr>
        <w:pStyle w:val="Heading4"/>
        <w:ind w:hanging="864" w:left="1134"/>
        <w:rPr/>
      </w:pPr>
      <w:bookmarkStart w:id="70" w:name="__RefHeading___Toc4174_1450298465"/>
      <w:bookmarkStart w:id="71" w:name="_Toc180072721"/>
      <w:bookmarkEnd w:id="70"/>
      <w:r>
        <w:rPr>
          <w:rFonts w:ascii="Arial" w:hAnsi="Arial"/>
        </w:rPr>
        <w:t>Configuration matérielle</w:t>
      </w:r>
      <w:bookmarkEnd w:id="71"/>
      <w:r>
        <w:rPr>
          <w:rFonts w:ascii="Arial" w:hAnsi="Arial"/>
        </w:rPr>
        <w:t xml:space="preserve"> </w:t>
      </w:r>
    </w:p>
    <w:tbl>
      <w:tblPr>
        <w:tblW w:w="9060" w:type="dxa"/>
        <w:jc w:val="left"/>
        <w:tblInd w:w="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Look w:val="04a0" w:noHBand="0" w:noVBand="1" w:firstColumn="1" w:lastRow="0" w:lastColumn="0" w:firstRow="1"/>
      </w:tblPr>
      <w:tblGrid>
        <w:gridCol w:w="2689"/>
        <w:gridCol w:w="282"/>
        <w:gridCol w:w="6089"/>
      </w:tblGrid>
      <w:tr>
        <w:trPr/>
        <w:tc>
          <w:tcPr>
            <w:tcW w:w="2689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6"/>
              </w:rPr>
              <w:t>Processeur</w:t>
            </w:r>
          </w:p>
        </w:tc>
        <w:tc>
          <w:tcPr>
            <w:tcW w:w="282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6"/>
              </w:rPr>
              <w:t>:</w:t>
            </w:r>
          </w:p>
        </w:tc>
        <w:tc>
          <w:tcPr>
            <w:tcW w:w="6089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6"/>
              </w:rPr>
              <w:t>4 vCPU recommandés</w:t>
            </w:r>
          </w:p>
        </w:tc>
      </w:tr>
      <w:tr>
        <w:trPr/>
        <w:tc>
          <w:tcPr>
            <w:tcW w:w="2689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6"/>
              </w:rPr>
              <w:t>Espace disque</w:t>
            </w:r>
          </w:p>
        </w:tc>
        <w:tc>
          <w:tcPr>
            <w:tcW w:w="282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6"/>
              </w:rPr>
              <w:t>:</w:t>
            </w:r>
          </w:p>
        </w:tc>
        <w:tc>
          <w:tcPr>
            <w:tcW w:w="6089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6"/>
              </w:rPr>
              <w:t>120 Go minimum ; 160 Go recommandé</w:t>
            </w:r>
          </w:p>
        </w:tc>
      </w:tr>
      <w:tr>
        <w:trPr/>
        <w:tc>
          <w:tcPr>
            <w:tcW w:w="2689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6"/>
              </w:rPr>
              <w:t>Mémoire vive</w:t>
            </w:r>
          </w:p>
        </w:tc>
        <w:tc>
          <w:tcPr>
            <w:tcW w:w="282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6"/>
              </w:rPr>
              <w:t>:</w:t>
            </w:r>
          </w:p>
        </w:tc>
        <w:tc>
          <w:tcPr>
            <w:tcW w:w="6089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6"/>
              </w:rPr>
              <w:t>8 Gio minimum ; 16 Gio recommandé ; swap 8 Gio</w:t>
            </w:r>
          </w:p>
        </w:tc>
      </w:tr>
      <w:tr>
        <w:trPr/>
        <w:tc>
          <w:tcPr>
            <w:tcW w:w="2689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6"/>
              </w:rPr>
              <w:t>Système d’exploitation</w:t>
            </w:r>
          </w:p>
        </w:tc>
        <w:tc>
          <w:tcPr>
            <w:tcW w:w="282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6"/>
              </w:rPr>
              <w:t>:</w:t>
            </w:r>
          </w:p>
        </w:tc>
        <w:tc>
          <w:tcPr>
            <w:tcW w:w="6089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6"/>
              </w:rPr>
              <w:t>Ubuntu Server 24.04 LTS x86_64 ou socle OFB équivalent validé</w:t>
            </w:r>
          </w:p>
        </w:tc>
      </w:tr>
      <w:tr>
        <w:trPr/>
        <w:tc>
          <w:tcPr>
            <w:tcW w:w="2689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6"/>
              </w:rPr>
              <w:t>Adresse IP</w:t>
            </w:r>
          </w:p>
        </w:tc>
        <w:tc>
          <w:tcPr>
            <w:tcW w:w="282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6"/>
              </w:rPr>
              <w:t>:</w:t>
            </w:r>
          </w:p>
        </w:tc>
        <w:tc>
          <w:tcPr>
            <w:tcW w:w="6089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6"/>
              </w:rPr>
              <w:t>À attribuer par l’Infrastructure OFB ; DNS de recette à définir</w:t>
            </w:r>
          </w:p>
        </w:tc>
      </w:tr>
    </w:tbl>
    <w:p>
      <w:pPr>
        <w:pStyle w:val="Heading4"/>
        <w:ind w:hanging="864" w:left="1134"/>
        <w:rPr/>
      </w:pPr>
      <w:bookmarkStart w:id="72" w:name="__RefHeading___Toc4176_1450298465"/>
      <w:bookmarkStart w:id="73" w:name="_Toc180072722"/>
      <w:bookmarkEnd w:id="72"/>
      <w:r>
        <w:rPr>
          <w:rFonts w:ascii="Arial" w:hAnsi="Arial"/>
        </w:rPr>
        <w:t>Composant applicatif</w:t>
      </w:r>
      <w:bookmarkEnd w:id="73"/>
    </w:p>
    <w:p>
      <w:pPr>
        <w:pStyle w:val="BodyText"/>
        <w:spacing w:before="0" w:after="80"/>
        <w:rPr>
          <w:i/>
          <w:i/>
          <w:color w:val="7030A0"/>
        </w:rPr>
      </w:pPr>
      <w:r>
        <w:rPr>
          <w:rFonts w:ascii="Arial" w:hAnsi="Arial"/>
          <w:b w:val="false"/>
          <w:sz w:val="19"/>
        </w:rPr>
        <w:t>Timer systemd sib-risk-cleanup.timer (horaire) et service oneshot associé. Scripts de publication, reconstruction frontend, analyses complètes et sensibilités sous scripts/. Aucun worker de Complete Analysis à 1 500 tracks ne doit être installé pour le site cible.</w:t>
      </w:r>
    </w:p>
    <w:p>
      <w:pPr>
        <w:pStyle w:val="BodyText"/>
        <w:rPr>
          <w:i/>
          <w:i/>
          <w:color w:val="7030A0"/>
        </w:rPr>
      </w:pPr>
      <w:r>
        <w:rPr>
          <w:i/>
          <w:color w:val="7030A0"/>
        </w:rPr>
      </w:r>
    </w:p>
    <w:p>
      <w:pPr>
        <w:pStyle w:val="Heading4"/>
        <w:ind w:hanging="864" w:left="1134"/>
        <w:rPr/>
      </w:pPr>
      <w:bookmarkStart w:id="74" w:name="__RefHeading___Toc4178_1450298465"/>
      <w:bookmarkStart w:id="75" w:name="_Toc180072723"/>
      <w:bookmarkEnd w:id="74"/>
      <w:r>
        <w:rPr>
          <w:rFonts w:ascii="Arial" w:hAnsi="Arial"/>
        </w:rPr>
        <w:t>Spécificité</w:t>
      </w:r>
      <w:bookmarkEnd w:id="75"/>
    </w:p>
    <w:p>
      <w:pPr>
        <w:pStyle w:val="BodyText"/>
        <w:spacing w:before="0" w:after="80"/>
        <w:rPr>
          <w:i/>
          <w:i/>
          <w:color w:val="7030A0"/>
        </w:rPr>
      </w:pPr>
      <w:r>
        <w:rPr>
          <w:rFonts w:ascii="Arial" w:hAnsi="Arial"/>
          <w:b w:val="false"/>
          <w:sz w:val="19"/>
        </w:rPr>
        <w:t>Les calculs scientifiques lourds sont lancés manuellement par un opérateur habilité, avec suivi des journaux et de l’espace disque. Utiliser la voie CLIMADA native par défaut et archiver les runs/manifests avant publication.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ind w:hanging="425" w:left="765"/>
        <w:rPr/>
      </w:pPr>
      <w:bookmarkStart w:id="76" w:name="__RefHeading___Toc4180_1450298465"/>
      <w:bookmarkStart w:id="77" w:name="_Toc180072724"/>
      <w:bookmarkEnd w:id="76"/>
      <w:r>
        <w:rPr>
          <w:rFonts w:ascii="Arial" w:hAnsi="Arial"/>
        </w:rPr>
        <w:t xml:space="preserve">Flux </w:t>
      </w:r>
      <w:r>
        <w:rPr>
          <w:rFonts w:cs="Calibri" w:ascii="Calibri" w:hAnsi="Calibri"/>
        </w:rPr>
        <w:t>internes</w:t>
      </w:r>
      <w:bookmarkEnd w:id="77"/>
    </w:p>
    <w:p>
      <w:pPr>
        <w:pStyle w:val="Normal"/>
        <w:spacing w:before="0" w:after="80"/>
        <w:rPr>
          <w:color w:val="7030A0"/>
        </w:rPr>
      </w:pPr>
      <w:r>
        <w:rPr>
          <w:rFonts w:ascii="Arial" w:hAnsi="Arial"/>
          <w:b w:val="false"/>
          <w:sz w:val="19"/>
        </w:rPr>
        <w:t>Flux nécessaires au fonctionnement interne de l’environnement hors production :</w:t>
      </w:r>
    </w:p>
    <w:p>
      <w:pPr>
        <w:pStyle w:val="Normal"/>
        <w:spacing w:before="0" w:after="80"/>
        <w:rPr>
          <w:i/>
          <w:i/>
          <w:color w:val="7030A0"/>
        </w:rPr>
      </w:pPr>
      <w:r>
        <w:rPr>
          <w:i/>
          <w:color w:val="7030A0"/>
        </w:rPr>
      </w:r>
    </w:p>
    <w:p>
      <w:pPr>
        <w:pStyle w:val="Normal"/>
        <w:rPr>
          <w:i/>
          <w:i/>
          <w:color w:val="7030A0"/>
        </w:rPr>
      </w:pPr>
      <w:r>
        <w:rPr>
          <w:i/>
          <w:color w:val="7030A0"/>
        </w:rPr>
      </w:r>
    </w:p>
    <w:tbl>
      <w:tblPr>
        <w:tblW w:w="8580" w:type="dxa"/>
        <w:jc w:val="left"/>
        <w:tblInd w:w="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Look w:val="04a0" w:noHBand="0" w:noVBand="1" w:firstColumn="1" w:lastRow="0" w:lastColumn="0" w:firstRow="1"/>
      </w:tblPr>
      <w:tblGrid>
        <w:gridCol w:w="1840"/>
        <w:gridCol w:w="2920"/>
        <w:gridCol w:w="2019"/>
        <w:gridCol w:w="1800"/>
      </w:tblGrid>
      <w:tr>
        <w:trPr>
          <w:tblHeader w:val="true"/>
          <w:trHeight w:val="288" w:hRule="atLeast"/>
        </w:trPr>
        <w:tc>
          <w:tcPr>
            <w:tcW w:w="1840" w:type="dxa"/>
            <w:tcBorders>
              <w:top w:val="single" w:sz="8" w:space="0" w:color="000000"/>
              <w:bottom w:val="single" w:sz="8" w:space="0" w:color="000000"/>
            </w:tcBorders>
            <w:shd w:color="4472C4" w:fill="2F5597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/>
                <w:color w:val="FFFFFF"/>
                <w:sz w:val="14"/>
              </w:rPr>
              <w:t>Type de flux</w:t>
            </w:r>
          </w:p>
        </w:tc>
        <w:tc>
          <w:tcPr>
            <w:tcW w:w="2920" w:type="dxa"/>
            <w:tcBorders>
              <w:top w:val="single" w:sz="8" w:space="0" w:color="000000"/>
              <w:bottom w:val="single" w:sz="8" w:space="0" w:color="000000"/>
            </w:tcBorders>
            <w:shd w:color="4472C4" w:fill="2F5597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/>
                <w:color w:val="FFFFFF"/>
                <w:sz w:val="14"/>
              </w:rPr>
              <w:t>Source</w:t>
            </w:r>
          </w:p>
        </w:tc>
        <w:tc>
          <w:tcPr>
            <w:tcW w:w="2019" w:type="dxa"/>
            <w:tcBorders>
              <w:top w:val="single" w:sz="8" w:space="0" w:color="000000"/>
              <w:bottom w:val="single" w:sz="8" w:space="0" w:color="000000"/>
            </w:tcBorders>
            <w:shd w:color="4472C4" w:fill="2F5597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/>
                <w:color w:val="FFFFFF"/>
                <w:sz w:val="14"/>
              </w:rPr>
              <w:t>Destination</w:t>
            </w:r>
          </w:p>
        </w:tc>
        <w:tc>
          <w:tcPr>
            <w:tcW w:w="1800" w:type="dxa"/>
            <w:tcBorders>
              <w:top w:val="single" w:sz="8" w:space="0" w:color="000000"/>
              <w:bottom w:val="single" w:sz="8" w:space="0" w:color="000000"/>
            </w:tcBorders>
            <w:shd w:color="4472C4" w:fill="2F5597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/>
                <w:color w:val="FFFFFF"/>
                <w:sz w:val="14"/>
              </w:rPr>
              <w:t>Données / fichiers</w:t>
            </w:r>
          </w:p>
        </w:tc>
      </w:tr>
      <w:tr>
        <w:trPr>
          <w:trHeight w:val="288" w:hRule="atLeast"/>
        </w:trPr>
        <w:tc>
          <w:tcPr>
            <w:tcW w:w="1840" w:type="dxa"/>
            <w:tcBorders/>
            <w:shd w:color="D9D9D9" w:fill="D9D9D9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4"/>
              </w:rPr>
              <w:t>HTTPS/TCP 443</w:t>
            </w:r>
          </w:p>
        </w:tc>
        <w:tc>
          <w:tcPr>
            <w:tcW w:w="2920" w:type="dxa"/>
            <w:tcBorders/>
            <w:shd w:color="D9D9D9" w:fill="D9D9D9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4"/>
              </w:rPr>
              <w:t>Poste utilisateur / proxy OFB</w:t>
            </w:r>
          </w:p>
        </w:tc>
        <w:tc>
          <w:tcPr>
            <w:tcW w:w="2019" w:type="dxa"/>
            <w:tcBorders/>
            <w:shd w:color="D9D9D9" w:fill="D9D9D9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4"/>
              </w:rPr>
              <w:t>Nginx SIB Work</w:t>
            </w:r>
          </w:p>
        </w:tc>
        <w:tc>
          <w:tcPr>
            <w:tcW w:w="1800" w:type="dxa"/>
            <w:tcBorders/>
            <w:shd w:color="D9D9D9" w:fill="D9D9D9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4"/>
              </w:rPr>
              <w:t>HTML, JS, CSS, JSON, GeoJSON, PNG ; appels API</w:t>
            </w:r>
          </w:p>
        </w:tc>
      </w:tr>
      <w:tr>
        <w:trPr>
          <w:trHeight w:val="288" w:hRule="atLeast"/>
        </w:trPr>
        <w:tc>
          <w:tcPr>
            <w:tcW w:w="1840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4"/>
              </w:rPr>
              <w:t>HTTP/TCP 8000 (boucle locale)</w:t>
            </w:r>
          </w:p>
        </w:tc>
        <w:tc>
          <w:tcPr>
            <w:tcW w:w="2920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4"/>
              </w:rPr>
              <w:t>Nginx</w:t>
            </w:r>
          </w:p>
        </w:tc>
        <w:tc>
          <w:tcPr>
            <w:tcW w:w="2019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4"/>
              </w:rPr>
              <w:t>FastAPI/Uvicorn 127.0.0.1</w:t>
            </w:r>
          </w:p>
        </w:tc>
        <w:tc>
          <w:tcPr>
            <w:tcW w:w="1800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4"/>
              </w:rPr>
              <w:t>JSON, CSV/XLSX/GeoJSON ; authentification et quick run</w:t>
            </w:r>
          </w:p>
        </w:tc>
      </w:tr>
      <w:tr>
        <w:trPr>
          <w:trHeight w:val="288" w:hRule="atLeast"/>
        </w:trPr>
        <w:tc>
          <w:tcPr>
            <w:tcW w:w="1840" w:type="dxa"/>
            <w:tcBorders>
              <w:bottom w:val="single" w:sz="8" w:space="0" w:color="000000"/>
            </w:tcBorders>
            <w:shd w:color="D9D9D9" w:fill="D9D9D9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4"/>
              </w:rPr>
              <w:t>Accès système de fichiers</w:t>
            </w:r>
          </w:p>
        </w:tc>
        <w:tc>
          <w:tcPr>
            <w:tcW w:w="2920" w:type="dxa"/>
            <w:tcBorders>
              <w:bottom w:val="single" w:sz="8" w:space="0" w:color="000000"/>
            </w:tcBorders>
            <w:shd w:color="D9D9D9" w:fill="D9D9D9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4"/>
              </w:rPr>
              <w:t>FastAPI / scripts</w:t>
            </w:r>
          </w:p>
        </w:tc>
        <w:tc>
          <w:tcPr>
            <w:tcW w:w="2019" w:type="dxa"/>
            <w:tcBorders>
              <w:bottom w:val="single" w:sz="8" w:space="0" w:color="000000"/>
            </w:tcBorders>
            <w:shd w:color="D9D9D9" w:fill="D9D9D9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4"/>
              </w:rPr>
              <w:t>/var/lib/sib-risk</w:t>
            </w:r>
          </w:p>
        </w:tc>
        <w:tc>
          <w:tcPr>
            <w:tcW w:w="1800" w:type="dxa"/>
            <w:tcBorders>
              <w:bottom w:val="single" w:sz="8" w:space="0" w:color="000000"/>
            </w:tcBorders>
            <w:shd w:color="D9D9D9" w:fill="D9D9D9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4"/>
              </w:rPr>
              <w:t>SQLite, jobs, résultats et artefacts</w:t>
            </w:r>
          </w:p>
        </w:tc>
      </w:tr>
      <w:tr>
        <w:trPr/>
        <w:tc>
          <w:tcPr>
            <w:tcW w:w="1840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4"/>
              </w:rPr>
              <w:t>Accès système de fichiers</w:t>
            </w:r>
          </w:p>
        </w:tc>
        <w:tc>
          <w:tcPr>
            <w:tcW w:w="2920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4"/>
              </w:rPr>
              <w:t>FastAPI / scripts CLIMADA</w:t>
            </w:r>
          </w:p>
        </w:tc>
        <w:tc>
          <w:tcPr>
            <w:tcW w:w="2019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4"/>
              </w:rPr>
              <w:t>sib-work/data et uploads</w:t>
            </w:r>
          </w:p>
        </w:tc>
        <w:tc>
          <w:tcPr>
            <w:tcW w:w="1800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4"/>
              </w:rPr>
              <w:t>HDF5, Parquet, GeoTIFF, CSV/XLSX</w:t>
            </w:r>
          </w:p>
        </w:tc>
      </w:tr>
      <w:tr>
        <w:trPr/>
        <w:tc>
          <w:tcPr>
            <w:tcW w:w="1840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4"/>
              </w:rPr>
              <w:t>rsync local manuel</w:t>
            </w:r>
          </w:p>
        </w:tc>
        <w:tc>
          <w:tcPr>
            <w:tcW w:w="2920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4"/>
              </w:rPr>
              <w:t>sib-work/web/ ou archive de run</w:t>
            </w:r>
          </w:p>
        </w:tc>
        <w:tc>
          <w:tcPr>
            <w:tcW w:w="2019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4"/>
              </w:rPr>
              <w:t>Webroot Nginx</w:t>
            </w:r>
          </w:p>
        </w:tc>
        <w:tc>
          <w:tcPr>
            <w:tcW w:w="1800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4"/>
              </w:rPr>
              <w:t>Site statique et artefacts validés</w:t>
            </w:r>
          </w:p>
        </w:tc>
      </w:tr>
    </w:tbl>
    <w:p>
      <w:pPr>
        <w:pStyle w:val="Normal"/>
        <w:rPr>
          <w:color w:val="7030A0"/>
        </w:rPr>
      </w:pPr>
      <w:r>
        <w:rPr>
          <w:color w:val="7030A0"/>
        </w:rPr>
      </w:r>
    </w:p>
    <w:p>
      <w:pPr>
        <w:pStyle w:val="Normal"/>
        <w:rPr/>
      </w:pPr>
      <w:r>
        <w:rPr/>
      </w:r>
    </w:p>
    <w:p>
      <w:pPr>
        <w:pStyle w:val="Heading2"/>
        <w:ind w:hanging="425" w:left="765"/>
        <w:rPr/>
      </w:pPr>
      <w:bookmarkStart w:id="78" w:name="__RefHeading___Toc4182_1450298465"/>
      <w:bookmarkStart w:id="79" w:name="_Toc180072725"/>
      <w:bookmarkEnd w:id="78"/>
      <w:r>
        <w:rPr>
          <w:rFonts w:ascii="Arial" w:hAnsi="Arial"/>
        </w:rPr>
        <w:t>Flux externes et sortants</w:t>
      </w:r>
      <w:bookmarkEnd w:id="79"/>
    </w:p>
    <w:p>
      <w:pPr>
        <w:pStyle w:val="Normal"/>
        <w:spacing w:before="0" w:after="80"/>
        <w:rPr>
          <w:i/>
          <w:i/>
          <w:color w:val="7030A0"/>
        </w:rPr>
      </w:pPr>
      <w:r>
        <w:rPr>
          <w:rFonts w:ascii="Arial" w:hAnsi="Arial"/>
          <w:b w:val="false"/>
          <w:sz w:val="19"/>
        </w:rPr>
        <w:t>Flux externes à valider avec les équipes réseau et sécurité. Les dépendances CDN et tuiles sont aujourd’hui chargées par le navigateur ; leur auto-hébergement est recommandé si la politique OFB l’exige.</w:t>
      </w:r>
    </w:p>
    <w:p>
      <w:pPr>
        <w:pStyle w:val="Normal"/>
        <w:spacing w:before="0" w:after="80"/>
        <w:rPr>
          <w:i/>
          <w:i/>
          <w:color w:val="7030A0"/>
        </w:rPr>
      </w:pPr>
      <w:r>
        <w:rPr>
          <w:i/>
          <w:color w:val="7030A0"/>
        </w:rPr>
      </w:r>
    </w:p>
    <w:p>
      <w:pPr>
        <w:pStyle w:val="Normal"/>
        <w:rPr>
          <w:i/>
          <w:i/>
          <w:color w:val="7030A0"/>
        </w:rPr>
      </w:pPr>
      <w:r>
        <w:rPr>
          <w:i/>
          <w:color w:val="7030A0"/>
        </w:rPr>
      </w:r>
    </w:p>
    <w:tbl>
      <w:tblPr>
        <w:tblW w:w="8580" w:type="dxa"/>
        <w:jc w:val="left"/>
        <w:tblInd w:w="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Look w:val="04a0" w:noHBand="0" w:noVBand="1" w:firstColumn="1" w:lastRow="0" w:lastColumn="0" w:firstRow="1"/>
      </w:tblPr>
      <w:tblGrid>
        <w:gridCol w:w="1840"/>
        <w:gridCol w:w="2920"/>
        <w:gridCol w:w="2019"/>
        <w:gridCol w:w="1800"/>
      </w:tblGrid>
      <w:tr>
        <w:trPr>
          <w:tblHeader w:val="true"/>
          <w:trHeight w:val="288" w:hRule="atLeast"/>
        </w:trPr>
        <w:tc>
          <w:tcPr>
            <w:tcW w:w="1840" w:type="dxa"/>
            <w:tcBorders>
              <w:top w:val="single" w:sz="8" w:space="0" w:color="000000"/>
              <w:bottom w:val="single" w:sz="8" w:space="0" w:color="000000"/>
            </w:tcBorders>
            <w:shd w:color="4472C4" w:fill="2F5597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/>
                <w:color w:val="FFFFFF"/>
                <w:sz w:val="13"/>
              </w:rPr>
              <w:t>Type de flux</w:t>
            </w:r>
          </w:p>
        </w:tc>
        <w:tc>
          <w:tcPr>
            <w:tcW w:w="2920" w:type="dxa"/>
            <w:tcBorders>
              <w:top w:val="single" w:sz="8" w:space="0" w:color="000000"/>
              <w:bottom w:val="single" w:sz="8" w:space="0" w:color="000000"/>
            </w:tcBorders>
            <w:shd w:color="4472C4" w:fill="2F5597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/>
                <w:color w:val="FFFFFF"/>
                <w:sz w:val="13"/>
              </w:rPr>
              <w:t>Source</w:t>
            </w:r>
          </w:p>
        </w:tc>
        <w:tc>
          <w:tcPr>
            <w:tcW w:w="2019" w:type="dxa"/>
            <w:tcBorders>
              <w:top w:val="single" w:sz="8" w:space="0" w:color="000000"/>
              <w:bottom w:val="single" w:sz="8" w:space="0" w:color="000000"/>
            </w:tcBorders>
            <w:shd w:color="4472C4" w:fill="2F5597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/>
                <w:color w:val="FFFFFF"/>
                <w:sz w:val="13"/>
              </w:rPr>
              <w:t>Destination</w:t>
            </w:r>
          </w:p>
        </w:tc>
        <w:tc>
          <w:tcPr>
            <w:tcW w:w="1800" w:type="dxa"/>
            <w:tcBorders>
              <w:top w:val="single" w:sz="8" w:space="0" w:color="000000"/>
              <w:bottom w:val="single" w:sz="8" w:space="0" w:color="000000"/>
            </w:tcBorders>
            <w:shd w:color="4472C4" w:fill="2F5597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/>
                <w:color w:val="FFFFFF"/>
                <w:sz w:val="13"/>
              </w:rPr>
              <w:t>Données / usage</w:t>
            </w:r>
          </w:p>
        </w:tc>
      </w:tr>
      <w:tr>
        <w:trPr>
          <w:trHeight w:val="288" w:hRule="atLeast"/>
        </w:trPr>
        <w:tc>
          <w:tcPr>
            <w:tcW w:w="1840" w:type="dxa"/>
            <w:tcBorders/>
            <w:shd w:color="D9D9D9" w:fill="D9D9D9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3"/>
              </w:rPr>
              <w:t>HTTPS/TCP 443 entrant</w:t>
            </w:r>
          </w:p>
        </w:tc>
        <w:tc>
          <w:tcPr>
            <w:tcW w:w="2920" w:type="dxa"/>
            <w:tcBorders/>
            <w:shd w:color="D9D9D9" w:fill="D9D9D9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3"/>
              </w:rPr>
              <w:t>Utilisateurs autorisés</w:t>
            </w:r>
          </w:p>
        </w:tc>
        <w:tc>
          <w:tcPr>
            <w:tcW w:w="2019" w:type="dxa"/>
            <w:tcBorders/>
            <w:shd w:color="D9D9D9" w:fill="D9D9D9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3"/>
              </w:rPr>
              <w:t>Domaine SIB OFB à définir</w:t>
            </w:r>
          </w:p>
        </w:tc>
        <w:tc>
          <w:tcPr>
            <w:tcW w:w="1800" w:type="dxa"/>
            <w:tcBorders/>
            <w:shd w:color="D9D9D9" w:fill="D9D9D9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3"/>
              </w:rPr>
              <w:t>Consultation web et API autorisée</w:t>
            </w:r>
          </w:p>
        </w:tc>
      </w:tr>
      <w:tr>
        <w:trPr>
          <w:trHeight w:val="288" w:hRule="atLeast"/>
        </w:trPr>
        <w:tc>
          <w:tcPr>
            <w:tcW w:w="1840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3"/>
              </w:rPr>
              <w:t>HTTPS/TCP 443 sortant client</w:t>
            </w:r>
          </w:p>
        </w:tc>
        <w:tc>
          <w:tcPr>
            <w:tcW w:w="2920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3"/>
              </w:rPr>
              <w:t>Navigateur utilisateur</w:t>
            </w:r>
          </w:p>
        </w:tc>
        <w:tc>
          <w:tcPr>
            <w:tcW w:w="2019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3"/>
              </w:rPr>
              <w:t>*.tile.openstreetmap.org</w:t>
            </w:r>
          </w:p>
        </w:tc>
        <w:tc>
          <w:tcPr>
            <w:tcW w:w="1800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3"/>
              </w:rPr>
              <w:t>Tuiles cartographiques ; à homologuer ou internaliser</w:t>
            </w:r>
          </w:p>
        </w:tc>
      </w:tr>
      <w:tr>
        <w:trPr>
          <w:trHeight w:val="288" w:hRule="atLeast"/>
        </w:trPr>
        <w:tc>
          <w:tcPr>
            <w:tcW w:w="1840" w:type="dxa"/>
            <w:tcBorders>
              <w:bottom w:val="single" w:sz="8" w:space="0" w:color="000000"/>
            </w:tcBorders>
            <w:shd w:color="D9D9D9" w:fill="D9D9D9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3"/>
              </w:rPr>
              <w:t>HTTPS/TCP 443 sortant client</w:t>
            </w:r>
          </w:p>
        </w:tc>
        <w:tc>
          <w:tcPr>
            <w:tcW w:w="2920" w:type="dxa"/>
            <w:tcBorders>
              <w:bottom w:val="single" w:sz="8" w:space="0" w:color="000000"/>
            </w:tcBorders>
            <w:shd w:color="D9D9D9" w:fill="D9D9D9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3"/>
              </w:rPr>
              <w:t>Navigateur utilisateur</w:t>
            </w:r>
          </w:p>
        </w:tc>
        <w:tc>
          <w:tcPr>
            <w:tcW w:w="2019" w:type="dxa"/>
            <w:tcBorders>
              <w:bottom w:val="single" w:sz="8" w:space="0" w:color="000000"/>
            </w:tcBorders>
            <w:shd w:color="D9D9D9" w:fill="D9D9D9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3"/>
              </w:rPr>
              <w:t>unpkg.com ; cdn.jsdelivr.net</w:t>
            </w:r>
          </w:p>
        </w:tc>
        <w:tc>
          <w:tcPr>
            <w:tcW w:w="1800" w:type="dxa"/>
            <w:tcBorders>
              <w:bottom w:val="single" w:sz="8" w:space="0" w:color="000000"/>
            </w:tcBorders>
            <w:shd w:color="D9D9D9" w:fill="D9D9D9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3"/>
              </w:rPr>
              <w:t>Leaflet/ECharts ; auto-hébergement recommandé</w:t>
            </w:r>
          </w:p>
        </w:tc>
      </w:tr>
      <w:tr>
        <w:trPr/>
        <w:tc>
          <w:tcPr>
            <w:tcW w:w="1840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3"/>
              </w:rPr>
              <w:t>SSH/TCP 22 ou HTTPS 443 sortant</w:t>
            </w:r>
          </w:p>
        </w:tc>
        <w:tc>
          <w:tcPr>
            <w:tcW w:w="2920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3"/>
              </w:rPr>
              <w:t>VM/admin OFB</w:t>
            </w:r>
          </w:p>
        </w:tc>
        <w:tc>
          <w:tcPr>
            <w:tcW w:w="2019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3"/>
              </w:rPr>
              <w:t>Dépôt Git OFB ou GitHub</w:t>
            </w:r>
          </w:p>
        </w:tc>
        <w:tc>
          <w:tcPr>
            <w:tcW w:w="1800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3"/>
              </w:rPr>
              <w:t>Code source ; pull/push manuels, aucun CI/CD actuel</w:t>
            </w:r>
          </w:p>
        </w:tc>
      </w:tr>
      <w:tr>
        <w:trPr/>
        <w:tc>
          <w:tcPr>
            <w:tcW w:w="1840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3"/>
              </w:rPr>
              <w:t>HTTPS/TCP 443 sortant contrôlé</w:t>
            </w:r>
          </w:p>
        </w:tc>
        <w:tc>
          <w:tcPr>
            <w:tcW w:w="2920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3"/>
              </w:rPr>
              <w:t>VM/opérateur scientifique</w:t>
            </w:r>
          </w:p>
        </w:tc>
        <w:tc>
          <w:tcPr>
            <w:tcW w:w="2019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3"/>
              </w:rPr>
              <w:t>4TU/STORM, IBTrACS et sources validées</w:t>
            </w:r>
          </w:p>
        </w:tc>
        <w:tc>
          <w:tcPr>
            <w:tcW w:w="1800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3"/>
              </w:rPr>
              <w:t>Mises à jour de jeux de données, hors chemin runtime</w:t>
            </w:r>
          </w:p>
        </w:tc>
      </w:tr>
      <w:tr>
        <w:trPr/>
        <w:tc>
          <w:tcPr>
            <w:tcW w:w="1840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3"/>
              </w:rPr>
              <w:t>HTTP 80 / HTTPS 443</w:t>
            </w:r>
          </w:p>
        </w:tc>
        <w:tc>
          <w:tcPr>
            <w:tcW w:w="2920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3"/>
              </w:rPr>
              <w:t>Autorité de certification</w:t>
            </w:r>
          </w:p>
        </w:tc>
        <w:tc>
          <w:tcPr>
            <w:tcW w:w="2019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3"/>
              </w:rPr>
              <w:t>Nginx</w:t>
            </w:r>
          </w:p>
        </w:tc>
        <w:tc>
          <w:tcPr>
            <w:tcW w:w="1800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3"/>
              </w:rPr>
              <w:t>ACME si Let's Encrypt est retenu ; sinon PKI OFB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1"/>
        <w:rPr/>
      </w:pPr>
      <w:bookmarkStart w:id="80" w:name="__RefHeading___Toc4184_1450298465"/>
      <w:bookmarkStart w:id="81" w:name="_Toc180072726"/>
      <w:bookmarkStart w:id="82" w:name="_Toc155883601"/>
      <w:bookmarkEnd w:id="80"/>
      <w:r>
        <w:rPr>
          <w:rFonts w:ascii="Arial" w:hAnsi="Arial"/>
        </w:rPr>
        <w:t>Architecture technique de production</w:t>
      </w:r>
      <w:bookmarkEnd w:id="81"/>
      <w:bookmarkEnd w:id="82"/>
    </w:p>
    <w:p>
      <w:pPr>
        <w:pStyle w:val="Heading2"/>
        <w:ind w:hanging="425" w:left="765"/>
        <w:rPr/>
      </w:pPr>
      <w:bookmarkStart w:id="83" w:name="__RefHeading___Toc4186_1450298465"/>
      <w:bookmarkStart w:id="84" w:name="_Toc180072727"/>
      <w:bookmarkEnd w:id="83"/>
      <w:r>
        <w:rPr>
          <w:rFonts w:ascii="Arial" w:hAnsi="Arial"/>
        </w:rPr>
        <w:t xml:space="preserve">Schéma d’architecture technique </w:t>
      </w:r>
      <w:r>
        <w:rPr>
          <w:rFonts w:ascii="Arial" w:hAnsi="Arial"/>
          <w:color w:themeColor="background1" w:themeShade="80" w:val="0677C5"/>
        </w:rPr>
        <w:t>(leanIX)</w:t>
      </w:r>
      <w:bookmarkEnd w:id="84"/>
    </w:p>
    <w:p>
      <w:pPr>
        <w:pStyle w:val="Normal"/>
        <w:spacing w:before="0" w:after="80"/>
        <w:rPr>
          <w:b/>
          <w:i/>
          <w:i/>
          <w:color w:val="7030A0"/>
        </w:rPr>
      </w:pPr>
      <w:r>
        <w:rPr>
          <w:rFonts w:ascii="Arial" w:hAnsi="Arial"/>
          <w:b w:val="false"/>
          <w:sz w:val="19"/>
        </w:rPr>
        <w:t>La production OFB n’est pas encore caractérisée. Le serveur source observé est vps-039bb402 (Ubuntu 24.04.4, 4 vCPU, 7,6 Gio RAM, disque racine 72 Go occupé à environ 90 %, sans swap). Cette capacité est insuffisamment margée pour les runs et archives ; la cible proposée ci-dessous doit être validée par l’Infrastructure.</w:t>
      </w:r>
    </w:p>
    <w:p>
      <w:pPr>
        <w:pStyle w:val="Normal"/>
        <w:spacing w:before="0" w:after="60"/>
        <w:jc w:val="center"/>
        <w:rPr/>
      </w:pPr>
      <w:r>
        <w:rPr/>
        <w:drawing>
          <wp:inline distT="0" distB="0" distL="0" distR="0">
            <wp:extent cx="5760085" cy="2446020"/>
            <wp:effectExtent l="0" t="0" r="0" b="0"/>
            <wp:docPr id="11" name="Pictur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3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before="120" w:after="80"/>
        <w:rPr/>
      </w:pPr>
      <w:r>
        <w:rPr>
          <w:rFonts w:ascii="Arial" w:hAnsi="Arial"/>
          <w:b w:val="false"/>
          <w:sz w:val="19"/>
        </w:rPr>
        <w:t>Figure 3 – Architecture de production proposée, à valider et reporter dans LeanIX.</w:t>
      </w:r>
    </w:p>
    <w:p>
      <w:pPr>
        <w:pStyle w:val="Normal"/>
        <w:rPr>
          <w:b/>
          <w:i/>
          <w:i/>
          <w:color w:val="7030A0"/>
        </w:rPr>
      </w:pPr>
      <w:r>
        <w:rPr>
          <w:b/>
          <w:i/>
          <w:color w:val="7030A0"/>
        </w:rPr>
      </w:r>
    </w:p>
    <w:p>
      <w:pPr>
        <w:pStyle w:val="Normal"/>
        <w:rPr>
          <w:rFonts w:ascii="Calibri" w:hAnsi="Calibri" w:cs="Calibri"/>
          <w:b/>
          <w:i/>
          <w:i/>
          <w:color w:val="7030A0"/>
        </w:rPr>
      </w:pPr>
      <w:r>
        <w:rPr>
          <w:rFonts w:cs="Calibri" w:ascii="Calibri" w:hAnsi="Calibri"/>
          <w:b/>
          <w:i/>
          <w:color w:val="7030A0"/>
        </w:rPr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Heading2"/>
        <w:ind w:hanging="425" w:left="765"/>
        <w:rPr/>
      </w:pPr>
      <w:bookmarkStart w:id="85" w:name="__RefHeading___Toc4188_1450298465"/>
      <w:bookmarkStart w:id="86" w:name="_Toc180072728"/>
      <w:bookmarkEnd w:id="85"/>
      <w:r>
        <w:rPr>
          <w:rFonts w:ascii="Arial" w:hAnsi="Arial"/>
        </w:rPr>
        <w:t>Spécification par Serveurs</w:t>
      </w:r>
      <w:bookmarkEnd w:id="86"/>
    </w:p>
    <w:p>
      <w:pPr>
        <w:pStyle w:val="Normal"/>
        <w:spacing w:before="0" w:after="80"/>
        <w:rPr>
          <w:b/>
          <w:i/>
          <w:i/>
          <w:color w:val="7030A0"/>
          <w:u w:val="single"/>
        </w:rPr>
      </w:pPr>
      <w:r>
        <w:rPr>
          <w:rFonts w:ascii="Arial" w:hAnsi="Arial"/>
          <w:b w:val="false"/>
          <w:sz w:val="19"/>
        </w:rPr>
        <w:t>Architecture proposée : une VM SIB Work mutualisée, éventuellement complétée par un volume de données séparé. Les rôles ci-dessous sont logiques et peuvent rester sur la même VM.</w:t>
      </w:r>
    </w:p>
    <w:p>
      <w:pPr>
        <w:pStyle w:val="Normal"/>
        <w:rPr/>
      </w:pPr>
      <w:r>
        <w:rPr>
          <w:rFonts w:ascii="Arial" w:hAnsi="Arial"/>
          <w:sz w:val="19"/>
        </w:rPr>
        <w:t xml:space="preserve"> </w:t>
      </w:r>
    </w:p>
    <w:p>
      <w:pPr>
        <w:pStyle w:val="Heading3"/>
        <w:spacing w:before="0" w:after="80"/>
        <w:ind w:hanging="227" w:left="1134"/>
        <w:rPr>
          <w:color w:val="7030A0"/>
        </w:rPr>
      </w:pPr>
      <w:bookmarkStart w:id="87" w:name="__RefHeading___Toc4190_1450298465"/>
      <w:bookmarkEnd w:id="87"/>
      <w:r>
        <w:rPr>
          <w:rFonts w:ascii="Arial" w:hAnsi="Arial"/>
          <w:b w:val="false"/>
          <w:sz w:val="19"/>
        </w:rPr>
        <w:t>Serveur présentation : VM SIB Work production (rôle mutualisé)</w:t>
      </w:r>
    </w:p>
    <w:p>
      <w:pPr>
        <w:pStyle w:val="Normal"/>
        <w:rPr/>
      </w:pPr>
      <w:r>
        <w:rPr/>
      </w:r>
    </w:p>
    <w:p>
      <w:pPr>
        <w:pStyle w:val="Normal"/>
        <w:spacing w:before="0" w:after="80"/>
        <w:rPr>
          <w:i/>
          <w:i/>
          <w:color w:val="7030A0"/>
        </w:rPr>
      </w:pPr>
      <w:r>
        <w:rPr>
          <w:rFonts w:ascii="Arial" w:hAnsi="Arial"/>
          <w:b w:val="false"/>
          <w:sz w:val="19"/>
        </w:rPr>
        <w:t>Cible OFB à provisionner. Le domaine public/privé définitif et l’intégration au dispositif de sécurité OFB restent à déterminer.</w:t>
      </w:r>
    </w:p>
    <w:p>
      <w:pPr>
        <w:pStyle w:val="Normal"/>
        <w:rPr/>
      </w:pPr>
      <w:r>
        <w:rPr/>
      </w:r>
    </w:p>
    <w:p>
      <w:pPr>
        <w:pStyle w:val="Heading4"/>
        <w:ind w:hanging="864" w:left="1134"/>
        <w:rPr/>
      </w:pPr>
      <w:bookmarkStart w:id="88" w:name="__RefHeading___Toc4192_1450298465"/>
      <w:bookmarkStart w:id="89" w:name="_Toc180072730"/>
      <w:bookmarkEnd w:id="88"/>
      <w:r>
        <w:rPr>
          <w:rFonts w:ascii="Arial" w:hAnsi="Arial"/>
        </w:rPr>
        <w:t>Configuration matérielle</w:t>
      </w:r>
      <w:bookmarkEnd w:id="89"/>
      <w:r>
        <w:rPr>
          <w:rFonts w:ascii="Arial" w:hAnsi="Arial"/>
        </w:rPr>
        <w:t xml:space="preserve"> </w:t>
      </w:r>
    </w:p>
    <w:tbl>
      <w:tblPr>
        <w:tblW w:w="9060" w:type="dxa"/>
        <w:jc w:val="left"/>
        <w:tblInd w:w="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Look w:val="04a0" w:noHBand="0" w:noVBand="1" w:firstColumn="1" w:lastRow="0" w:lastColumn="0" w:firstRow="1"/>
      </w:tblPr>
      <w:tblGrid>
        <w:gridCol w:w="2689"/>
        <w:gridCol w:w="282"/>
        <w:gridCol w:w="6089"/>
      </w:tblGrid>
      <w:tr>
        <w:trPr/>
        <w:tc>
          <w:tcPr>
            <w:tcW w:w="2689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6"/>
              </w:rPr>
              <w:t>Processeur</w:t>
            </w:r>
          </w:p>
        </w:tc>
        <w:tc>
          <w:tcPr>
            <w:tcW w:w="282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6"/>
              </w:rPr>
              <w:t>:</w:t>
            </w:r>
          </w:p>
        </w:tc>
        <w:tc>
          <w:tcPr>
            <w:tcW w:w="6089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6"/>
              </w:rPr>
              <w:t>4 à 8 vCPU</w:t>
            </w:r>
          </w:p>
        </w:tc>
      </w:tr>
      <w:tr>
        <w:trPr/>
        <w:tc>
          <w:tcPr>
            <w:tcW w:w="2689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6"/>
              </w:rPr>
              <w:t>Espace disque</w:t>
            </w:r>
          </w:p>
        </w:tc>
        <w:tc>
          <w:tcPr>
            <w:tcW w:w="282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6"/>
              </w:rPr>
              <w:t>:</w:t>
            </w:r>
          </w:p>
        </w:tc>
        <w:tc>
          <w:tcPr>
            <w:tcW w:w="6089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6"/>
              </w:rPr>
              <w:t>160 à 200 Go ; volume extensible recommandé</w:t>
            </w:r>
          </w:p>
        </w:tc>
      </w:tr>
      <w:tr>
        <w:trPr/>
        <w:tc>
          <w:tcPr>
            <w:tcW w:w="2689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6"/>
              </w:rPr>
              <w:t>Mémoire vive</w:t>
            </w:r>
          </w:p>
        </w:tc>
        <w:tc>
          <w:tcPr>
            <w:tcW w:w="282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6"/>
              </w:rPr>
              <w:t>:</w:t>
            </w:r>
          </w:p>
        </w:tc>
        <w:tc>
          <w:tcPr>
            <w:tcW w:w="6089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6"/>
              </w:rPr>
              <w:t>16 Gio ; swap 8 à 16 Gio</w:t>
            </w:r>
          </w:p>
        </w:tc>
      </w:tr>
      <w:tr>
        <w:trPr/>
        <w:tc>
          <w:tcPr>
            <w:tcW w:w="2689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6"/>
              </w:rPr>
              <w:t>Système d’exploitation</w:t>
            </w:r>
          </w:p>
        </w:tc>
        <w:tc>
          <w:tcPr>
            <w:tcW w:w="282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6"/>
              </w:rPr>
              <w:t>:</w:t>
            </w:r>
          </w:p>
        </w:tc>
        <w:tc>
          <w:tcPr>
            <w:tcW w:w="6089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6"/>
              </w:rPr>
              <w:t>Ubuntu Server 24.04 LTS x86_64 ou socle OFB équivalent validé</w:t>
            </w:r>
          </w:p>
        </w:tc>
      </w:tr>
      <w:tr>
        <w:trPr/>
        <w:tc>
          <w:tcPr>
            <w:tcW w:w="2689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6"/>
              </w:rPr>
              <w:t>Adresse IP</w:t>
            </w:r>
          </w:p>
        </w:tc>
        <w:tc>
          <w:tcPr>
            <w:tcW w:w="282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6"/>
              </w:rPr>
              <w:t>:</w:t>
            </w:r>
          </w:p>
        </w:tc>
        <w:tc>
          <w:tcPr>
            <w:tcW w:w="6089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6"/>
              </w:rPr>
              <w:t>À attribuer par l’Infrastructure OFB ; DNS public/privé à définir</w:t>
            </w:r>
          </w:p>
        </w:tc>
      </w:tr>
    </w:tbl>
    <w:p>
      <w:pPr>
        <w:pStyle w:val="Heading4"/>
        <w:ind w:hanging="864" w:left="1134"/>
        <w:rPr/>
      </w:pPr>
      <w:bookmarkStart w:id="90" w:name="__RefHeading___Toc4194_1450298465"/>
      <w:bookmarkStart w:id="91" w:name="_Toc180072731"/>
      <w:bookmarkEnd w:id="90"/>
      <w:r>
        <w:rPr>
          <w:rFonts w:ascii="Arial" w:hAnsi="Arial"/>
        </w:rPr>
        <w:t>Composant applicatif</w:t>
      </w:r>
      <w:bookmarkEnd w:id="91"/>
    </w:p>
    <w:p>
      <w:pPr>
        <w:pStyle w:val="BodyText"/>
        <w:spacing w:before="0" w:after="80"/>
        <w:rPr>
          <w:i/>
          <w:i/>
          <w:color w:val="7030A0"/>
        </w:rPr>
      </w:pPr>
      <w:r>
        <w:rPr>
          <w:rFonts w:ascii="Arial" w:hAnsi="Arial"/>
          <w:b w:val="false"/>
          <w:sz w:val="19"/>
        </w:rPr>
        <w:t>Nginx 1.24 ou version maintenue, TLS, contrôle d’accès, reverse proxy /api, limitation de débit, en-têtes de sécurité et site statique dans le webroot partagé.</w:t>
      </w:r>
    </w:p>
    <w:p>
      <w:pPr>
        <w:pStyle w:val="BodyText"/>
        <w:rPr>
          <w:i/>
          <w:i/>
          <w:color w:val="7030A0"/>
        </w:rPr>
      </w:pPr>
      <w:r>
        <w:rPr>
          <w:i/>
          <w:color w:val="7030A0"/>
        </w:rPr>
      </w:r>
    </w:p>
    <w:p>
      <w:pPr>
        <w:pStyle w:val="Heading4"/>
        <w:ind w:hanging="864" w:left="1134"/>
        <w:rPr/>
      </w:pPr>
      <w:bookmarkStart w:id="92" w:name="__RefHeading___Toc4196_1450298465"/>
      <w:bookmarkStart w:id="93" w:name="_Toc180072732"/>
      <w:bookmarkEnd w:id="92"/>
      <w:r>
        <w:rPr>
          <w:rFonts w:ascii="Arial" w:hAnsi="Arial"/>
        </w:rPr>
        <w:t>Spécificité</w:t>
      </w:r>
      <w:bookmarkEnd w:id="93"/>
    </w:p>
    <w:p>
      <w:pPr>
        <w:pStyle w:val="BodyText"/>
        <w:spacing w:before="0" w:after="80"/>
        <w:rPr>
          <w:i/>
          <w:i/>
          <w:color w:val="7030A0"/>
        </w:rPr>
      </w:pPr>
      <w:r>
        <w:rPr>
          <w:rFonts w:ascii="Arial" w:hAnsi="Arial"/>
          <w:b w:val="false"/>
          <w:sz w:val="19"/>
        </w:rPr>
        <w:t>Le port 8000 reste limité à la boucle locale. N’exposer que 80/443, et SSH via le dispositif d’administration OFB. Les clés TLS des domaines personnels ne doivent pas être transférées.</w:t>
      </w:r>
    </w:p>
    <w:p>
      <w:pPr>
        <w:pStyle w:val="Normal"/>
        <w:rPr/>
      </w:pPr>
      <w:r>
        <w:rPr/>
      </w:r>
    </w:p>
    <w:p>
      <w:pPr>
        <w:pStyle w:val="Heading3"/>
        <w:spacing w:before="0" w:after="80"/>
        <w:ind w:hanging="227" w:left="1134"/>
        <w:rPr>
          <w:color w:val="7030A0"/>
        </w:rPr>
      </w:pPr>
      <w:bookmarkStart w:id="94" w:name="__RefHeading___Toc4198_1450298465"/>
      <w:bookmarkEnd w:id="94"/>
      <w:r>
        <w:rPr>
          <w:rFonts w:ascii="Arial" w:hAnsi="Arial"/>
          <w:b w:val="false"/>
          <w:sz w:val="19"/>
        </w:rPr>
        <w:t>Serveur d’application : VM SIB Work production (même VM)</w:t>
      </w:r>
    </w:p>
    <w:p>
      <w:pPr>
        <w:pStyle w:val="Normal"/>
        <w:rPr/>
      </w:pPr>
      <w:r>
        <w:rPr/>
      </w:r>
    </w:p>
    <w:p>
      <w:pPr>
        <w:pStyle w:val="Normal"/>
        <w:spacing w:before="0" w:after="80"/>
        <w:rPr>
          <w:i/>
          <w:i/>
          <w:color w:val="7030A0"/>
        </w:rPr>
      </w:pPr>
      <w:r>
        <w:rPr>
          <w:rFonts w:ascii="Arial" w:hAnsi="Arial"/>
          <w:b w:val="false"/>
          <w:sz w:val="19"/>
        </w:rPr>
        <w:t>Même VM cible, sauf exigence de séparation émise par l’architecture ou la SSI OFB.</w:t>
      </w:r>
    </w:p>
    <w:p>
      <w:pPr>
        <w:pStyle w:val="Normal"/>
        <w:rPr/>
      </w:pPr>
      <w:r>
        <w:rPr/>
      </w:r>
    </w:p>
    <w:p>
      <w:pPr>
        <w:pStyle w:val="Heading4"/>
        <w:ind w:hanging="864" w:left="1134"/>
        <w:rPr/>
      </w:pPr>
      <w:bookmarkStart w:id="95" w:name="__RefHeading___Toc4200_1450298465"/>
      <w:bookmarkStart w:id="96" w:name="_Toc180072734"/>
      <w:bookmarkEnd w:id="95"/>
      <w:r>
        <w:rPr>
          <w:rFonts w:ascii="Arial" w:hAnsi="Arial"/>
        </w:rPr>
        <w:t>Configuration matérielle</w:t>
      </w:r>
      <w:bookmarkEnd w:id="96"/>
      <w:r>
        <w:rPr>
          <w:rFonts w:ascii="Arial" w:hAnsi="Arial"/>
        </w:rPr>
        <w:t xml:space="preserve"> </w:t>
      </w:r>
    </w:p>
    <w:tbl>
      <w:tblPr>
        <w:tblW w:w="9060" w:type="dxa"/>
        <w:jc w:val="left"/>
        <w:tblInd w:w="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Look w:val="04a0" w:noHBand="0" w:noVBand="1" w:firstColumn="1" w:lastRow="0" w:lastColumn="0" w:firstRow="1"/>
      </w:tblPr>
      <w:tblGrid>
        <w:gridCol w:w="2689"/>
        <w:gridCol w:w="282"/>
        <w:gridCol w:w="6089"/>
      </w:tblGrid>
      <w:tr>
        <w:trPr/>
        <w:tc>
          <w:tcPr>
            <w:tcW w:w="2689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6"/>
              </w:rPr>
              <w:t>Processeur</w:t>
            </w:r>
          </w:p>
        </w:tc>
        <w:tc>
          <w:tcPr>
            <w:tcW w:w="282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6"/>
              </w:rPr>
              <w:t>:</w:t>
            </w:r>
          </w:p>
        </w:tc>
        <w:tc>
          <w:tcPr>
            <w:tcW w:w="6089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6"/>
              </w:rPr>
              <w:t>4 à 8 vCPU</w:t>
            </w:r>
          </w:p>
        </w:tc>
      </w:tr>
      <w:tr>
        <w:trPr/>
        <w:tc>
          <w:tcPr>
            <w:tcW w:w="2689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6"/>
              </w:rPr>
              <w:t>Espace disque</w:t>
            </w:r>
          </w:p>
        </w:tc>
        <w:tc>
          <w:tcPr>
            <w:tcW w:w="282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6"/>
              </w:rPr>
              <w:t>:</w:t>
            </w:r>
          </w:p>
        </w:tc>
        <w:tc>
          <w:tcPr>
            <w:tcW w:w="6089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6"/>
              </w:rPr>
              <w:t>160 à 200 Go ; volume extensible recommandé</w:t>
            </w:r>
          </w:p>
        </w:tc>
      </w:tr>
      <w:tr>
        <w:trPr/>
        <w:tc>
          <w:tcPr>
            <w:tcW w:w="2689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6"/>
              </w:rPr>
              <w:t>Mémoire vive</w:t>
            </w:r>
          </w:p>
        </w:tc>
        <w:tc>
          <w:tcPr>
            <w:tcW w:w="282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6"/>
              </w:rPr>
              <w:t>:</w:t>
            </w:r>
          </w:p>
        </w:tc>
        <w:tc>
          <w:tcPr>
            <w:tcW w:w="6089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6"/>
              </w:rPr>
              <w:t>16 Gio ; swap 8 à 16 Gio</w:t>
            </w:r>
          </w:p>
        </w:tc>
      </w:tr>
      <w:tr>
        <w:trPr/>
        <w:tc>
          <w:tcPr>
            <w:tcW w:w="2689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6"/>
              </w:rPr>
              <w:t>Système d’exploitation</w:t>
            </w:r>
          </w:p>
        </w:tc>
        <w:tc>
          <w:tcPr>
            <w:tcW w:w="282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6"/>
              </w:rPr>
              <w:t>:</w:t>
            </w:r>
          </w:p>
        </w:tc>
        <w:tc>
          <w:tcPr>
            <w:tcW w:w="6089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6"/>
              </w:rPr>
              <w:t>Ubuntu Server 24.04 LTS x86_64 ou socle OFB équivalent validé</w:t>
            </w:r>
          </w:p>
        </w:tc>
      </w:tr>
      <w:tr>
        <w:trPr/>
        <w:tc>
          <w:tcPr>
            <w:tcW w:w="2689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6"/>
              </w:rPr>
              <w:t>Adresse IP</w:t>
            </w:r>
          </w:p>
        </w:tc>
        <w:tc>
          <w:tcPr>
            <w:tcW w:w="282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6"/>
              </w:rPr>
              <w:t>:</w:t>
            </w:r>
          </w:p>
        </w:tc>
        <w:tc>
          <w:tcPr>
            <w:tcW w:w="6089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6"/>
              </w:rPr>
              <w:t>À attribuer par l’Infrastructure OFB ; DNS public/privé à définir</w:t>
            </w:r>
          </w:p>
        </w:tc>
      </w:tr>
    </w:tbl>
    <w:p>
      <w:pPr>
        <w:pStyle w:val="Heading4"/>
        <w:ind w:hanging="864" w:left="1134"/>
        <w:rPr/>
      </w:pPr>
      <w:bookmarkStart w:id="97" w:name="__RefHeading___Toc4202_1450298465"/>
      <w:bookmarkStart w:id="98" w:name="_Toc180072735"/>
      <w:bookmarkEnd w:id="97"/>
      <w:r>
        <w:rPr>
          <w:rFonts w:ascii="Arial" w:hAnsi="Arial"/>
        </w:rPr>
        <w:t>Composant applicatif</w:t>
      </w:r>
      <w:bookmarkEnd w:id="98"/>
    </w:p>
    <w:p>
      <w:pPr>
        <w:pStyle w:val="BodyText"/>
        <w:spacing w:before="0" w:after="80"/>
        <w:rPr>
          <w:i/>
          <w:i/>
          <w:color w:val="7030A0"/>
        </w:rPr>
      </w:pPr>
      <w:r>
        <w:rPr>
          <w:rFonts w:ascii="Arial" w:hAnsi="Arial"/>
          <w:b w:val="false"/>
          <w:sz w:val="19"/>
        </w:rPr>
        <w:t>FastAPI/Uvicorn sous systemd, Python 3.12, environnement virtuel dédié et pile scientifique CLIMADA/GDAL. Stockage des jobs sous /var/lib/sib-risk/jobs et configuration via un fichier d’environnement non versionné.</w:t>
      </w:r>
    </w:p>
    <w:p>
      <w:pPr>
        <w:pStyle w:val="BodyText"/>
        <w:rPr>
          <w:i/>
          <w:i/>
          <w:color w:val="7030A0"/>
        </w:rPr>
      </w:pPr>
      <w:r>
        <w:rPr>
          <w:i/>
          <w:color w:val="7030A0"/>
        </w:rPr>
      </w:r>
    </w:p>
    <w:p>
      <w:pPr>
        <w:pStyle w:val="Heading4"/>
        <w:ind w:hanging="864" w:left="1134"/>
        <w:rPr/>
      </w:pPr>
      <w:bookmarkStart w:id="99" w:name="__RefHeading___Toc4204_1450298465"/>
      <w:bookmarkStart w:id="100" w:name="_Toc180072736"/>
      <w:bookmarkEnd w:id="99"/>
      <w:r>
        <w:rPr>
          <w:rFonts w:ascii="Arial" w:hAnsi="Arial"/>
        </w:rPr>
        <w:t>Spécificité</w:t>
      </w:r>
      <w:bookmarkEnd w:id="100"/>
    </w:p>
    <w:p>
      <w:pPr>
        <w:pStyle w:val="BodyText"/>
        <w:spacing w:before="0" w:after="80"/>
        <w:rPr>
          <w:i/>
          <w:i/>
          <w:color w:val="7030A0"/>
        </w:rPr>
      </w:pPr>
      <w:r>
        <w:rPr>
          <w:rFonts w:ascii="Arial" w:hAnsi="Arial"/>
          <w:b w:val="false"/>
          <w:sz w:val="19"/>
        </w:rPr>
        <w:t>Créer un compte de service OFB et remplacer les chemins/utilisateurs personnels. Protéger le fichier d’environnement, recréer le super-administrateur de façon idempotente et ne transférer aucun secret en clair.</w:t>
      </w:r>
    </w:p>
    <w:p>
      <w:pPr>
        <w:pStyle w:val="Normal"/>
        <w:rPr/>
      </w:pPr>
      <w:r>
        <w:rPr/>
      </w:r>
    </w:p>
    <w:p>
      <w:pPr>
        <w:pStyle w:val="Heading3"/>
        <w:spacing w:before="0" w:after="80"/>
        <w:ind w:hanging="227" w:left="1134"/>
        <w:rPr>
          <w:color w:val="7030A0"/>
        </w:rPr>
      </w:pPr>
      <w:bookmarkStart w:id="101" w:name="__RefHeading___Toc4206_1450298465"/>
      <w:bookmarkEnd w:id="101"/>
      <w:r>
        <w:rPr>
          <w:rFonts w:ascii="Arial" w:hAnsi="Arial"/>
          <w:b w:val="false"/>
          <w:sz w:val="19"/>
        </w:rPr>
        <w:t>Serveur de base de données : aucun serveur dédié</w:t>
      </w:r>
    </w:p>
    <w:p>
      <w:pPr>
        <w:pStyle w:val="Normal"/>
        <w:rPr/>
      </w:pPr>
      <w:r>
        <w:rPr/>
      </w:r>
    </w:p>
    <w:p>
      <w:pPr>
        <w:pStyle w:val="Normal"/>
        <w:spacing w:before="0" w:after="80"/>
        <w:rPr>
          <w:i/>
          <w:i/>
          <w:color w:val="7030A0"/>
        </w:rPr>
      </w:pPr>
      <w:r>
        <w:rPr>
          <w:rFonts w:ascii="Arial" w:hAnsi="Arial"/>
          <w:b w:val="false"/>
          <w:sz w:val="19"/>
        </w:rPr>
        <w:t>Base SQLite locale sur la VM applicative ; aucun flux de base de données réseau.</w:t>
      </w:r>
    </w:p>
    <w:p>
      <w:pPr>
        <w:pStyle w:val="Normal"/>
        <w:rPr/>
      </w:pPr>
      <w:r>
        <w:rPr/>
      </w:r>
    </w:p>
    <w:p>
      <w:pPr>
        <w:pStyle w:val="Heading4"/>
        <w:ind w:hanging="864" w:left="1134"/>
        <w:rPr/>
      </w:pPr>
      <w:bookmarkStart w:id="102" w:name="__RefHeading___Toc4208_1450298465"/>
      <w:bookmarkStart w:id="103" w:name="_Toc180072738"/>
      <w:bookmarkEnd w:id="102"/>
      <w:r>
        <w:rPr>
          <w:rFonts w:ascii="Arial" w:hAnsi="Arial"/>
        </w:rPr>
        <w:t>Configuration matérielle</w:t>
      </w:r>
      <w:bookmarkEnd w:id="103"/>
      <w:r>
        <w:rPr>
          <w:rFonts w:ascii="Arial" w:hAnsi="Arial"/>
        </w:rPr>
        <w:t xml:space="preserve"> </w:t>
      </w:r>
    </w:p>
    <w:tbl>
      <w:tblPr>
        <w:tblW w:w="9060" w:type="dxa"/>
        <w:jc w:val="left"/>
        <w:tblInd w:w="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Look w:val="04a0" w:noHBand="0" w:noVBand="1" w:firstColumn="1" w:lastRow="0" w:lastColumn="0" w:firstRow="1"/>
      </w:tblPr>
      <w:tblGrid>
        <w:gridCol w:w="2689"/>
        <w:gridCol w:w="282"/>
        <w:gridCol w:w="6089"/>
      </w:tblGrid>
      <w:tr>
        <w:trPr/>
        <w:tc>
          <w:tcPr>
            <w:tcW w:w="2689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6"/>
              </w:rPr>
              <w:t>Processeur</w:t>
            </w:r>
          </w:p>
        </w:tc>
        <w:tc>
          <w:tcPr>
            <w:tcW w:w="282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6"/>
              </w:rPr>
              <w:t>:</w:t>
            </w:r>
          </w:p>
        </w:tc>
        <w:tc>
          <w:tcPr>
            <w:tcW w:w="6089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6"/>
              </w:rPr>
              <w:t>Sans objet – rôle local sur la VM applicative</w:t>
            </w:r>
          </w:p>
        </w:tc>
      </w:tr>
      <w:tr>
        <w:trPr/>
        <w:tc>
          <w:tcPr>
            <w:tcW w:w="2689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6"/>
              </w:rPr>
              <w:t>Espace disque</w:t>
            </w:r>
          </w:p>
        </w:tc>
        <w:tc>
          <w:tcPr>
            <w:tcW w:w="282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6"/>
              </w:rPr>
              <w:t>:</w:t>
            </w:r>
          </w:p>
        </w:tc>
        <w:tc>
          <w:tcPr>
            <w:tcW w:w="6089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6"/>
              </w:rPr>
              <w:t>Inclus ; /var/lib/sib-risk sauvegardé et supervisé</w:t>
            </w:r>
          </w:p>
        </w:tc>
      </w:tr>
      <w:tr>
        <w:trPr/>
        <w:tc>
          <w:tcPr>
            <w:tcW w:w="2689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6"/>
              </w:rPr>
              <w:t>Mémoire vive</w:t>
            </w:r>
          </w:p>
        </w:tc>
        <w:tc>
          <w:tcPr>
            <w:tcW w:w="282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6"/>
              </w:rPr>
              <w:t>:</w:t>
            </w:r>
          </w:p>
        </w:tc>
        <w:tc>
          <w:tcPr>
            <w:tcW w:w="6089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6"/>
              </w:rPr>
              <w:t>Incluse dans la VM applicative</w:t>
            </w:r>
          </w:p>
        </w:tc>
      </w:tr>
      <w:tr>
        <w:trPr/>
        <w:tc>
          <w:tcPr>
            <w:tcW w:w="2689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6"/>
              </w:rPr>
              <w:t>Système d’exploitation</w:t>
            </w:r>
          </w:p>
        </w:tc>
        <w:tc>
          <w:tcPr>
            <w:tcW w:w="282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6"/>
              </w:rPr>
              <w:t>:</w:t>
            </w:r>
          </w:p>
        </w:tc>
        <w:tc>
          <w:tcPr>
            <w:tcW w:w="6089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6"/>
              </w:rPr>
              <w:t>Sans objet – SQLite embarqué</w:t>
            </w:r>
          </w:p>
        </w:tc>
      </w:tr>
      <w:tr>
        <w:trPr/>
        <w:tc>
          <w:tcPr>
            <w:tcW w:w="2689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6"/>
              </w:rPr>
              <w:t>Adresse IP</w:t>
            </w:r>
          </w:p>
        </w:tc>
        <w:tc>
          <w:tcPr>
            <w:tcW w:w="282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6"/>
              </w:rPr>
              <w:t>:</w:t>
            </w:r>
          </w:p>
        </w:tc>
        <w:tc>
          <w:tcPr>
            <w:tcW w:w="6089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6"/>
              </w:rPr>
              <w:t>Aucune ; pas de flux SQL réseau</w:t>
            </w:r>
          </w:p>
        </w:tc>
      </w:tr>
    </w:tbl>
    <w:p>
      <w:pPr>
        <w:pStyle w:val="Heading4"/>
        <w:ind w:hanging="864" w:left="1134"/>
        <w:rPr/>
      </w:pPr>
      <w:bookmarkStart w:id="104" w:name="__RefHeading___Toc4210_1450298465"/>
      <w:bookmarkStart w:id="105" w:name="_Toc180072739"/>
      <w:bookmarkEnd w:id="104"/>
      <w:r>
        <w:rPr>
          <w:rFonts w:ascii="Arial" w:hAnsi="Arial"/>
        </w:rPr>
        <w:t>Composant applicatif</w:t>
      </w:r>
      <w:bookmarkEnd w:id="105"/>
    </w:p>
    <w:p>
      <w:pPr>
        <w:pStyle w:val="BodyText"/>
        <w:spacing w:before="0" w:after="80"/>
        <w:rPr>
          <w:i/>
          <w:i/>
          <w:color w:val="7030A0"/>
        </w:rPr>
      </w:pPr>
      <w:r>
        <w:rPr>
          <w:rFonts w:ascii="Arial" w:hAnsi="Arial"/>
          <w:b w:val="false"/>
          <w:sz w:val="19"/>
        </w:rPr>
        <w:t>SQLite /var/lib/sib-risk/sib.sqlite3 en mode WAL, sauvegarde cohérente obligatoire. MariaDB installée sur le serveur source est hors périmètre SIB Work et ne doit pas être migrée sans besoin distinct validé.</w:t>
      </w:r>
    </w:p>
    <w:p>
      <w:pPr>
        <w:pStyle w:val="Heading4"/>
        <w:ind w:hanging="864" w:left="1134"/>
        <w:rPr/>
      </w:pPr>
      <w:bookmarkStart w:id="106" w:name="__RefHeading___Toc4212_1450298465"/>
      <w:bookmarkStart w:id="107" w:name="_Toc180072740"/>
      <w:bookmarkEnd w:id="106"/>
      <w:r>
        <w:rPr>
          <w:rFonts w:ascii="Arial" w:hAnsi="Arial"/>
        </w:rPr>
        <w:t>Spécificité</w:t>
      </w:r>
      <w:bookmarkEnd w:id="107"/>
    </w:p>
    <w:p>
      <w:pPr>
        <w:pStyle w:val="BodyText"/>
        <w:rPr/>
      </w:pPr>
      <w:r>
        <w:rPr/>
      </w:r>
    </w:p>
    <w:p>
      <w:pPr>
        <w:pStyle w:val="BodyText"/>
        <w:spacing w:before="0" w:after="80"/>
        <w:rPr>
          <w:i/>
          <w:i/>
          <w:color w:val="7030A0"/>
        </w:rPr>
      </w:pPr>
      <w:r>
        <w:rPr>
          <w:rFonts w:ascii="Arial" w:hAnsi="Arial"/>
          <w:b w:val="false"/>
          <w:sz w:val="19"/>
        </w:rPr>
        <w:t>Surveiller l’intégrité, la taille, les verrous et l’espace disque. Le bootstrap du compte super_admin est idempotent via backend/scripts/bootstrap_super_admin.py.</w:t>
      </w:r>
    </w:p>
    <w:p>
      <w:pPr>
        <w:pStyle w:val="Normal"/>
        <w:rPr/>
      </w:pPr>
      <w:r>
        <w:rPr/>
      </w:r>
    </w:p>
    <w:p>
      <w:pPr>
        <w:pStyle w:val="Heading3"/>
        <w:spacing w:before="0" w:after="80"/>
        <w:ind w:hanging="227" w:left="1134"/>
        <w:rPr>
          <w:color w:val="7030A0"/>
        </w:rPr>
      </w:pPr>
      <w:bookmarkStart w:id="108" w:name="__RefHeading___Toc4214_1450298465"/>
      <w:bookmarkEnd w:id="108"/>
      <w:r>
        <w:rPr>
          <w:rFonts w:ascii="Arial" w:hAnsi="Arial"/>
          <w:b w:val="false"/>
          <w:sz w:val="19"/>
        </w:rPr>
        <w:t>Serveur batch : VM SIB Work production (même VM)</w:t>
      </w:r>
    </w:p>
    <w:p>
      <w:pPr>
        <w:pStyle w:val="Normal"/>
        <w:rPr/>
      </w:pPr>
      <w:r>
        <w:rPr/>
      </w:r>
    </w:p>
    <w:p>
      <w:pPr>
        <w:pStyle w:val="Normal"/>
        <w:spacing w:before="0" w:after="80"/>
        <w:rPr>
          <w:i/>
          <w:i/>
          <w:color w:val="7030A0"/>
        </w:rPr>
      </w:pPr>
      <w:r>
        <w:rPr>
          <w:rFonts w:ascii="Arial" w:hAnsi="Arial"/>
          <w:b w:val="false"/>
          <w:sz w:val="19"/>
        </w:rPr>
        <w:t>Rôle de nettoyage périodique et d’exploitation scientifique manuelle sur la VM cible.</w:t>
      </w:r>
    </w:p>
    <w:p>
      <w:pPr>
        <w:pStyle w:val="Normal"/>
        <w:rPr/>
      </w:pPr>
      <w:r>
        <w:rPr/>
      </w:r>
    </w:p>
    <w:p>
      <w:pPr>
        <w:pStyle w:val="Heading4"/>
        <w:ind w:hanging="864" w:left="1134"/>
        <w:rPr/>
      </w:pPr>
      <w:bookmarkStart w:id="109" w:name="__RefHeading___Toc4216_1450298465"/>
      <w:bookmarkStart w:id="110" w:name="_Toc180072742"/>
      <w:bookmarkEnd w:id="109"/>
      <w:r>
        <w:rPr>
          <w:rFonts w:ascii="Arial" w:hAnsi="Arial"/>
        </w:rPr>
        <w:t>Configuration matérielle</w:t>
      </w:r>
      <w:bookmarkEnd w:id="110"/>
      <w:r>
        <w:rPr>
          <w:rFonts w:ascii="Arial" w:hAnsi="Arial"/>
        </w:rPr>
        <w:t xml:space="preserve"> </w:t>
      </w:r>
    </w:p>
    <w:tbl>
      <w:tblPr>
        <w:tblW w:w="9060" w:type="dxa"/>
        <w:jc w:val="left"/>
        <w:tblInd w:w="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Look w:val="04a0" w:noHBand="0" w:noVBand="1" w:firstColumn="1" w:lastRow="0" w:lastColumn="0" w:firstRow="1"/>
      </w:tblPr>
      <w:tblGrid>
        <w:gridCol w:w="2689"/>
        <w:gridCol w:w="282"/>
        <w:gridCol w:w="6089"/>
      </w:tblGrid>
      <w:tr>
        <w:trPr/>
        <w:tc>
          <w:tcPr>
            <w:tcW w:w="2689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6"/>
              </w:rPr>
              <w:t>Processeur</w:t>
            </w:r>
          </w:p>
        </w:tc>
        <w:tc>
          <w:tcPr>
            <w:tcW w:w="282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6"/>
              </w:rPr>
              <w:t>:</w:t>
            </w:r>
          </w:p>
        </w:tc>
        <w:tc>
          <w:tcPr>
            <w:tcW w:w="6089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6"/>
              </w:rPr>
              <w:t>4 à 8 vCPU</w:t>
            </w:r>
          </w:p>
        </w:tc>
      </w:tr>
      <w:tr>
        <w:trPr/>
        <w:tc>
          <w:tcPr>
            <w:tcW w:w="2689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6"/>
              </w:rPr>
              <w:t>Espace disque</w:t>
            </w:r>
          </w:p>
        </w:tc>
        <w:tc>
          <w:tcPr>
            <w:tcW w:w="282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6"/>
              </w:rPr>
              <w:t>:</w:t>
            </w:r>
          </w:p>
        </w:tc>
        <w:tc>
          <w:tcPr>
            <w:tcW w:w="6089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6"/>
              </w:rPr>
              <w:t>160 à 200 Go ; volume extensible recommandé</w:t>
            </w:r>
          </w:p>
        </w:tc>
      </w:tr>
      <w:tr>
        <w:trPr/>
        <w:tc>
          <w:tcPr>
            <w:tcW w:w="2689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6"/>
              </w:rPr>
              <w:t>Mémoire vive</w:t>
            </w:r>
          </w:p>
        </w:tc>
        <w:tc>
          <w:tcPr>
            <w:tcW w:w="282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6"/>
              </w:rPr>
              <w:t>:</w:t>
            </w:r>
          </w:p>
        </w:tc>
        <w:tc>
          <w:tcPr>
            <w:tcW w:w="6089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6"/>
              </w:rPr>
              <w:t>16 Gio ; swap 8 à 16 Gio</w:t>
            </w:r>
          </w:p>
        </w:tc>
      </w:tr>
      <w:tr>
        <w:trPr/>
        <w:tc>
          <w:tcPr>
            <w:tcW w:w="2689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6"/>
              </w:rPr>
              <w:t>Système d’exploitation</w:t>
            </w:r>
          </w:p>
        </w:tc>
        <w:tc>
          <w:tcPr>
            <w:tcW w:w="282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6"/>
              </w:rPr>
              <w:t>:</w:t>
            </w:r>
          </w:p>
        </w:tc>
        <w:tc>
          <w:tcPr>
            <w:tcW w:w="6089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6"/>
              </w:rPr>
              <w:t>Ubuntu Server 24.04 LTS x86_64 ou socle OFB équivalent validé</w:t>
            </w:r>
          </w:p>
        </w:tc>
      </w:tr>
      <w:tr>
        <w:trPr/>
        <w:tc>
          <w:tcPr>
            <w:tcW w:w="2689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6"/>
              </w:rPr>
              <w:t>Adresse IP</w:t>
            </w:r>
          </w:p>
        </w:tc>
        <w:tc>
          <w:tcPr>
            <w:tcW w:w="282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6"/>
              </w:rPr>
              <w:t>:</w:t>
            </w:r>
          </w:p>
        </w:tc>
        <w:tc>
          <w:tcPr>
            <w:tcW w:w="6089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6"/>
              </w:rPr>
              <w:t>À attribuer par l’Infrastructure OFB ; DNS public/privé à définir</w:t>
            </w:r>
          </w:p>
        </w:tc>
      </w:tr>
    </w:tbl>
    <w:p>
      <w:pPr>
        <w:pStyle w:val="Heading4"/>
        <w:ind w:hanging="864" w:left="1134"/>
        <w:rPr/>
      </w:pPr>
      <w:bookmarkStart w:id="111" w:name="__RefHeading___Toc4218_1450298465"/>
      <w:bookmarkStart w:id="112" w:name="_Toc180072743"/>
      <w:bookmarkEnd w:id="111"/>
      <w:r>
        <w:rPr>
          <w:rFonts w:ascii="Arial" w:hAnsi="Arial"/>
        </w:rPr>
        <w:t>Composant applicatif</w:t>
      </w:r>
      <w:bookmarkEnd w:id="112"/>
    </w:p>
    <w:p>
      <w:pPr>
        <w:pStyle w:val="BodyText"/>
        <w:spacing w:before="0" w:after="80"/>
        <w:rPr>
          <w:i/>
          <w:i/>
          <w:color w:val="7030A0"/>
        </w:rPr>
      </w:pPr>
      <w:r>
        <w:rPr>
          <w:rFonts w:ascii="Arial" w:hAnsi="Arial"/>
          <w:b w:val="false"/>
          <w:sz w:val="19"/>
        </w:rPr>
        <w:t>sib-risk-cleanup.timer ; outils de publication/snapshot/deploy ; scripts scientifiques. Le worker complet historique est exclu du site cible et doit rester absent ou désactivé.</w:t>
      </w:r>
    </w:p>
    <w:p>
      <w:pPr>
        <w:pStyle w:val="BodyText"/>
        <w:rPr>
          <w:i/>
          <w:i/>
          <w:color w:val="7030A0"/>
        </w:rPr>
      </w:pPr>
      <w:r>
        <w:rPr>
          <w:i/>
          <w:color w:val="7030A0"/>
        </w:rPr>
      </w:r>
    </w:p>
    <w:p>
      <w:pPr>
        <w:pStyle w:val="Heading4"/>
        <w:ind w:hanging="864" w:left="1134"/>
        <w:rPr/>
      </w:pPr>
      <w:bookmarkStart w:id="113" w:name="__RefHeading___Toc4220_1450298465"/>
      <w:bookmarkStart w:id="114" w:name="_Toc180072744"/>
      <w:bookmarkEnd w:id="113"/>
      <w:r>
        <w:rPr>
          <w:rFonts w:ascii="Arial" w:hAnsi="Arial"/>
        </w:rPr>
        <w:t>Spécificité</w:t>
      </w:r>
      <w:bookmarkEnd w:id="114"/>
    </w:p>
    <w:p>
      <w:pPr>
        <w:pStyle w:val="BodyText"/>
        <w:spacing w:before="0" w:after="80"/>
        <w:rPr>
          <w:i/>
          <w:i/>
          <w:color w:val="7030A0"/>
        </w:rPr>
      </w:pPr>
      <w:r>
        <w:rPr>
          <w:rFonts w:ascii="Arial" w:hAnsi="Arial"/>
          <w:b w:val="false"/>
          <w:sz w:val="19"/>
        </w:rPr>
        <w:t>Les runs lourds consomment fortement mémoire, CPU et disque. Dimensionnement recommandé : 4 à 8 vCPU, 16 Gio RAM, 160 à 200 Go de disque et 8 à 16 Gio de swap. Ne publier que des artefacts validés et archivés.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ind w:hanging="425" w:left="765"/>
        <w:rPr/>
      </w:pPr>
      <w:bookmarkStart w:id="115" w:name="__RefHeading___Toc4222_1450298465"/>
      <w:bookmarkStart w:id="116" w:name="_Toc180072745"/>
      <w:bookmarkEnd w:id="115"/>
      <w:r>
        <w:rPr>
          <w:rFonts w:ascii="Arial" w:hAnsi="Arial"/>
        </w:rPr>
        <w:t>Flux entre applications en production</w:t>
      </w:r>
      <w:bookmarkEnd w:id="116"/>
    </w:p>
    <w:p>
      <w:pPr>
        <w:pStyle w:val="Normal"/>
        <w:spacing w:before="0" w:after="80"/>
        <w:rPr>
          <w:color w:val="7030A0"/>
        </w:rPr>
      </w:pPr>
      <w:r>
        <w:rPr>
          <w:rFonts w:ascii="Arial" w:hAnsi="Arial"/>
          <w:b w:val="false"/>
          <w:sz w:val="19"/>
        </w:rPr>
        <w:t>Flux internes attendus en production :</w:t>
      </w:r>
    </w:p>
    <w:p>
      <w:pPr>
        <w:pStyle w:val="Normal"/>
        <w:spacing w:before="0" w:after="80"/>
        <w:rPr>
          <w:i/>
          <w:i/>
          <w:color w:val="7030A0"/>
        </w:rPr>
      </w:pPr>
      <w:r>
        <w:rPr>
          <w:i/>
          <w:color w:val="7030A0"/>
        </w:rPr>
      </w:r>
    </w:p>
    <w:p>
      <w:pPr>
        <w:pStyle w:val="Normal"/>
        <w:rPr>
          <w:i/>
          <w:i/>
          <w:color w:val="7030A0"/>
        </w:rPr>
      </w:pPr>
      <w:r>
        <w:rPr>
          <w:i/>
          <w:color w:val="7030A0"/>
        </w:rPr>
      </w:r>
    </w:p>
    <w:tbl>
      <w:tblPr>
        <w:tblW w:w="8580" w:type="dxa"/>
        <w:jc w:val="left"/>
        <w:tblInd w:w="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Look w:val="04a0" w:noHBand="0" w:noVBand="1" w:firstColumn="1" w:lastRow="0" w:lastColumn="0" w:firstRow="1"/>
      </w:tblPr>
      <w:tblGrid>
        <w:gridCol w:w="1840"/>
        <w:gridCol w:w="2920"/>
        <w:gridCol w:w="2019"/>
        <w:gridCol w:w="1800"/>
      </w:tblGrid>
      <w:tr>
        <w:trPr>
          <w:tblHeader w:val="true"/>
          <w:trHeight w:val="288" w:hRule="atLeast"/>
        </w:trPr>
        <w:tc>
          <w:tcPr>
            <w:tcW w:w="1840" w:type="dxa"/>
            <w:tcBorders>
              <w:top w:val="single" w:sz="8" w:space="0" w:color="000000"/>
              <w:bottom w:val="single" w:sz="8" w:space="0" w:color="000000"/>
            </w:tcBorders>
            <w:shd w:color="4472C4" w:fill="2F5597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/>
                <w:color w:val="FFFFFF"/>
                <w:sz w:val="14"/>
              </w:rPr>
              <w:t>Type de flux</w:t>
            </w:r>
          </w:p>
        </w:tc>
        <w:tc>
          <w:tcPr>
            <w:tcW w:w="2920" w:type="dxa"/>
            <w:tcBorders>
              <w:top w:val="single" w:sz="8" w:space="0" w:color="000000"/>
              <w:bottom w:val="single" w:sz="8" w:space="0" w:color="000000"/>
            </w:tcBorders>
            <w:shd w:color="4472C4" w:fill="2F5597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/>
                <w:color w:val="FFFFFF"/>
                <w:sz w:val="14"/>
              </w:rPr>
              <w:t>Source</w:t>
            </w:r>
          </w:p>
        </w:tc>
        <w:tc>
          <w:tcPr>
            <w:tcW w:w="2019" w:type="dxa"/>
            <w:tcBorders>
              <w:top w:val="single" w:sz="8" w:space="0" w:color="000000"/>
              <w:bottom w:val="single" w:sz="8" w:space="0" w:color="000000"/>
            </w:tcBorders>
            <w:shd w:color="4472C4" w:fill="2F5597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/>
                <w:color w:val="FFFFFF"/>
                <w:sz w:val="14"/>
              </w:rPr>
              <w:t>Destination</w:t>
            </w:r>
          </w:p>
        </w:tc>
        <w:tc>
          <w:tcPr>
            <w:tcW w:w="1800" w:type="dxa"/>
            <w:tcBorders>
              <w:top w:val="single" w:sz="8" w:space="0" w:color="000000"/>
              <w:bottom w:val="single" w:sz="8" w:space="0" w:color="000000"/>
            </w:tcBorders>
            <w:shd w:color="4472C4" w:fill="2F5597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/>
                <w:color w:val="FFFFFF"/>
                <w:sz w:val="14"/>
              </w:rPr>
              <w:t>Données / fichiers</w:t>
            </w:r>
          </w:p>
        </w:tc>
      </w:tr>
      <w:tr>
        <w:trPr>
          <w:trHeight w:val="288" w:hRule="atLeast"/>
        </w:trPr>
        <w:tc>
          <w:tcPr>
            <w:tcW w:w="1840" w:type="dxa"/>
            <w:tcBorders/>
            <w:shd w:color="D9D9D9" w:fill="D9D9D9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4"/>
              </w:rPr>
              <w:t>HTTPS/TCP 443</w:t>
            </w:r>
          </w:p>
        </w:tc>
        <w:tc>
          <w:tcPr>
            <w:tcW w:w="2920" w:type="dxa"/>
            <w:tcBorders/>
            <w:shd w:color="D9D9D9" w:fill="D9D9D9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4"/>
              </w:rPr>
              <w:t>Poste utilisateur / proxy OFB</w:t>
            </w:r>
          </w:p>
        </w:tc>
        <w:tc>
          <w:tcPr>
            <w:tcW w:w="2019" w:type="dxa"/>
            <w:tcBorders/>
            <w:shd w:color="D9D9D9" w:fill="D9D9D9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4"/>
              </w:rPr>
              <w:t>Nginx SIB Work</w:t>
            </w:r>
          </w:p>
        </w:tc>
        <w:tc>
          <w:tcPr>
            <w:tcW w:w="1800" w:type="dxa"/>
            <w:tcBorders/>
            <w:shd w:color="D9D9D9" w:fill="D9D9D9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4"/>
              </w:rPr>
              <w:t>HTML, JS, CSS, JSON, GeoJSON, PNG ; appels API</w:t>
            </w:r>
          </w:p>
        </w:tc>
      </w:tr>
      <w:tr>
        <w:trPr>
          <w:trHeight w:val="288" w:hRule="atLeast"/>
        </w:trPr>
        <w:tc>
          <w:tcPr>
            <w:tcW w:w="1840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4"/>
              </w:rPr>
              <w:t>HTTP/TCP 8000 (boucle locale)</w:t>
            </w:r>
          </w:p>
        </w:tc>
        <w:tc>
          <w:tcPr>
            <w:tcW w:w="2920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4"/>
              </w:rPr>
              <w:t>Nginx</w:t>
            </w:r>
          </w:p>
        </w:tc>
        <w:tc>
          <w:tcPr>
            <w:tcW w:w="2019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4"/>
              </w:rPr>
              <w:t>FastAPI/Uvicorn 127.0.0.1</w:t>
            </w:r>
          </w:p>
        </w:tc>
        <w:tc>
          <w:tcPr>
            <w:tcW w:w="1800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4"/>
              </w:rPr>
              <w:t>JSON, CSV/XLSX/GeoJSON ; authentification et quick run</w:t>
            </w:r>
          </w:p>
        </w:tc>
      </w:tr>
      <w:tr>
        <w:trPr>
          <w:trHeight w:val="288" w:hRule="atLeast"/>
        </w:trPr>
        <w:tc>
          <w:tcPr>
            <w:tcW w:w="1840" w:type="dxa"/>
            <w:tcBorders>
              <w:bottom w:val="single" w:sz="8" w:space="0" w:color="000000"/>
            </w:tcBorders>
            <w:shd w:color="D9D9D9" w:fill="D9D9D9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4"/>
              </w:rPr>
              <w:t>Accès système de fichiers</w:t>
            </w:r>
          </w:p>
        </w:tc>
        <w:tc>
          <w:tcPr>
            <w:tcW w:w="2920" w:type="dxa"/>
            <w:tcBorders>
              <w:bottom w:val="single" w:sz="8" w:space="0" w:color="000000"/>
            </w:tcBorders>
            <w:shd w:color="D9D9D9" w:fill="D9D9D9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4"/>
              </w:rPr>
              <w:t>FastAPI / scripts</w:t>
            </w:r>
          </w:p>
        </w:tc>
        <w:tc>
          <w:tcPr>
            <w:tcW w:w="2019" w:type="dxa"/>
            <w:tcBorders>
              <w:bottom w:val="single" w:sz="8" w:space="0" w:color="000000"/>
            </w:tcBorders>
            <w:shd w:color="D9D9D9" w:fill="D9D9D9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4"/>
              </w:rPr>
              <w:t>/var/lib/sib-risk</w:t>
            </w:r>
          </w:p>
        </w:tc>
        <w:tc>
          <w:tcPr>
            <w:tcW w:w="1800" w:type="dxa"/>
            <w:tcBorders>
              <w:bottom w:val="single" w:sz="8" w:space="0" w:color="000000"/>
            </w:tcBorders>
            <w:shd w:color="D9D9D9" w:fill="D9D9D9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4"/>
              </w:rPr>
              <w:t>SQLite, jobs, résultats et artefacts</w:t>
            </w:r>
          </w:p>
        </w:tc>
      </w:tr>
      <w:tr>
        <w:trPr/>
        <w:tc>
          <w:tcPr>
            <w:tcW w:w="1840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4"/>
              </w:rPr>
              <w:t>Accès système de fichiers</w:t>
            </w:r>
          </w:p>
        </w:tc>
        <w:tc>
          <w:tcPr>
            <w:tcW w:w="2920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4"/>
              </w:rPr>
              <w:t>FastAPI / scripts CLIMADA</w:t>
            </w:r>
          </w:p>
        </w:tc>
        <w:tc>
          <w:tcPr>
            <w:tcW w:w="2019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4"/>
              </w:rPr>
              <w:t>sib-work/data et uploads</w:t>
            </w:r>
          </w:p>
        </w:tc>
        <w:tc>
          <w:tcPr>
            <w:tcW w:w="1800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4"/>
              </w:rPr>
              <w:t>HDF5, Parquet, GeoTIFF, CSV/XLSX</w:t>
            </w:r>
          </w:p>
        </w:tc>
      </w:tr>
      <w:tr>
        <w:trPr/>
        <w:tc>
          <w:tcPr>
            <w:tcW w:w="1840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4"/>
              </w:rPr>
              <w:t>rsync local manuel</w:t>
            </w:r>
          </w:p>
        </w:tc>
        <w:tc>
          <w:tcPr>
            <w:tcW w:w="2920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4"/>
              </w:rPr>
              <w:t>sib-work/web/ ou archive de run</w:t>
            </w:r>
          </w:p>
        </w:tc>
        <w:tc>
          <w:tcPr>
            <w:tcW w:w="2019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4"/>
              </w:rPr>
              <w:t>Webroot Nginx</w:t>
            </w:r>
          </w:p>
        </w:tc>
        <w:tc>
          <w:tcPr>
            <w:tcW w:w="1800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4"/>
              </w:rPr>
              <w:t>Site statique et artefacts validés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ind w:hanging="425" w:left="765"/>
        <w:rPr/>
      </w:pPr>
      <w:bookmarkStart w:id="117" w:name="__RefHeading___Toc4224_1450298465"/>
      <w:bookmarkStart w:id="118" w:name="_Toc180072746"/>
      <w:bookmarkEnd w:id="117"/>
      <w:r>
        <w:rPr>
          <w:rFonts w:ascii="Arial" w:hAnsi="Arial"/>
        </w:rPr>
        <w:t>Flux avec l’extérieur de production</w:t>
      </w:r>
      <w:bookmarkEnd w:id="118"/>
    </w:p>
    <w:p>
      <w:pPr>
        <w:pStyle w:val="Normal"/>
        <w:spacing w:before="0" w:after="80"/>
        <w:rPr>
          <w:i/>
          <w:i/>
          <w:color w:val="7030A0"/>
        </w:rPr>
      </w:pPr>
      <w:r>
        <w:rPr>
          <w:rFonts w:ascii="Arial" w:hAnsi="Arial"/>
          <w:b w:val="false"/>
          <w:sz w:val="19"/>
        </w:rPr>
        <w:t>Flux externes de production à homologuer par la DSI/SSI :</w:t>
      </w:r>
    </w:p>
    <w:p>
      <w:pPr>
        <w:pStyle w:val="Normal"/>
        <w:spacing w:before="0" w:after="80"/>
        <w:rPr>
          <w:i/>
          <w:i/>
          <w:color w:val="7030A0"/>
        </w:rPr>
      </w:pPr>
      <w:r>
        <w:rPr>
          <w:i/>
          <w:color w:val="7030A0"/>
        </w:rPr>
      </w:r>
    </w:p>
    <w:p>
      <w:pPr>
        <w:pStyle w:val="Normal"/>
        <w:rPr>
          <w:i/>
          <w:i/>
          <w:color w:val="7030A0"/>
        </w:rPr>
      </w:pPr>
      <w:r>
        <w:rPr>
          <w:i/>
          <w:color w:val="7030A0"/>
        </w:rPr>
      </w:r>
    </w:p>
    <w:tbl>
      <w:tblPr>
        <w:tblW w:w="8580" w:type="dxa"/>
        <w:jc w:val="left"/>
        <w:tblInd w:w="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Look w:val="04a0" w:noHBand="0" w:noVBand="1" w:firstColumn="1" w:lastRow="0" w:lastColumn="0" w:firstRow="1"/>
      </w:tblPr>
      <w:tblGrid>
        <w:gridCol w:w="1840"/>
        <w:gridCol w:w="2920"/>
        <w:gridCol w:w="2019"/>
        <w:gridCol w:w="1800"/>
      </w:tblGrid>
      <w:tr>
        <w:trPr>
          <w:tblHeader w:val="true"/>
          <w:trHeight w:val="288" w:hRule="atLeast"/>
        </w:trPr>
        <w:tc>
          <w:tcPr>
            <w:tcW w:w="1840" w:type="dxa"/>
            <w:tcBorders>
              <w:top w:val="single" w:sz="8" w:space="0" w:color="000000"/>
              <w:bottom w:val="single" w:sz="8" w:space="0" w:color="000000"/>
            </w:tcBorders>
            <w:shd w:color="4472C4" w:fill="2F5597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/>
                <w:color w:val="FFFFFF"/>
                <w:sz w:val="13"/>
              </w:rPr>
              <w:t>Type de flux</w:t>
            </w:r>
          </w:p>
        </w:tc>
        <w:tc>
          <w:tcPr>
            <w:tcW w:w="2920" w:type="dxa"/>
            <w:tcBorders>
              <w:top w:val="single" w:sz="8" w:space="0" w:color="000000"/>
              <w:bottom w:val="single" w:sz="8" w:space="0" w:color="000000"/>
            </w:tcBorders>
            <w:shd w:color="4472C4" w:fill="2F5597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/>
                <w:color w:val="FFFFFF"/>
                <w:sz w:val="13"/>
              </w:rPr>
              <w:t>Source</w:t>
            </w:r>
          </w:p>
        </w:tc>
        <w:tc>
          <w:tcPr>
            <w:tcW w:w="2019" w:type="dxa"/>
            <w:tcBorders>
              <w:top w:val="single" w:sz="8" w:space="0" w:color="000000"/>
              <w:bottom w:val="single" w:sz="8" w:space="0" w:color="000000"/>
            </w:tcBorders>
            <w:shd w:color="4472C4" w:fill="2F5597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/>
                <w:color w:val="FFFFFF"/>
                <w:sz w:val="13"/>
              </w:rPr>
              <w:t>Destination</w:t>
            </w:r>
          </w:p>
        </w:tc>
        <w:tc>
          <w:tcPr>
            <w:tcW w:w="1800" w:type="dxa"/>
            <w:tcBorders>
              <w:top w:val="single" w:sz="8" w:space="0" w:color="000000"/>
              <w:bottom w:val="single" w:sz="8" w:space="0" w:color="000000"/>
            </w:tcBorders>
            <w:shd w:color="4472C4" w:fill="2F5597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/>
                <w:color w:val="FFFFFF"/>
                <w:sz w:val="13"/>
              </w:rPr>
              <w:t>Données / usage</w:t>
            </w:r>
          </w:p>
        </w:tc>
      </w:tr>
      <w:tr>
        <w:trPr>
          <w:trHeight w:val="288" w:hRule="atLeast"/>
        </w:trPr>
        <w:tc>
          <w:tcPr>
            <w:tcW w:w="1840" w:type="dxa"/>
            <w:tcBorders/>
            <w:shd w:color="D9D9D9" w:fill="D9D9D9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3"/>
              </w:rPr>
              <w:t>HTTPS/TCP 443 entrant</w:t>
            </w:r>
          </w:p>
        </w:tc>
        <w:tc>
          <w:tcPr>
            <w:tcW w:w="2920" w:type="dxa"/>
            <w:tcBorders/>
            <w:shd w:color="D9D9D9" w:fill="D9D9D9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3"/>
              </w:rPr>
              <w:t>Utilisateurs autorisés</w:t>
            </w:r>
          </w:p>
        </w:tc>
        <w:tc>
          <w:tcPr>
            <w:tcW w:w="2019" w:type="dxa"/>
            <w:tcBorders/>
            <w:shd w:color="D9D9D9" w:fill="D9D9D9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3"/>
              </w:rPr>
              <w:t>Domaine SIB OFB à définir</w:t>
            </w:r>
          </w:p>
        </w:tc>
        <w:tc>
          <w:tcPr>
            <w:tcW w:w="1800" w:type="dxa"/>
            <w:tcBorders/>
            <w:shd w:color="D9D9D9" w:fill="D9D9D9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3"/>
              </w:rPr>
              <w:t>Consultation web et API autorisée</w:t>
            </w:r>
          </w:p>
        </w:tc>
      </w:tr>
      <w:tr>
        <w:trPr>
          <w:trHeight w:val="288" w:hRule="atLeast"/>
        </w:trPr>
        <w:tc>
          <w:tcPr>
            <w:tcW w:w="1840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3"/>
              </w:rPr>
              <w:t>HTTPS/TCP 443 sortant client</w:t>
            </w:r>
          </w:p>
        </w:tc>
        <w:tc>
          <w:tcPr>
            <w:tcW w:w="2920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3"/>
              </w:rPr>
              <w:t>Navigateur utilisateur</w:t>
            </w:r>
          </w:p>
        </w:tc>
        <w:tc>
          <w:tcPr>
            <w:tcW w:w="2019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3"/>
              </w:rPr>
              <w:t>*.tile.openstreetmap.org</w:t>
            </w:r>
          </w:p>
        </w:tc>
        <w:tc>
          <w:tcPr>
            <w:tcW w:w="1800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3"/>
              </w:rPr>
              <w:t>Tuiles cartographiques ; à homologuer ou internaliser</w:t>
            </w:r>
          </w:p>
        </w:tc>
      </w:tr>
      <w:tr>
        <w:trPr>
          <w:trHeight w:val="288" w:hRule="atLeast"/>
        </w:trPr>
        <w:tc>
          <w:tcPr>
            <w:tcW w:w="1840" w:type="dxa"/>
            <w:tcBorders>
              <w:bottom w:val="single" w:sz="8" w:space="0" w:color="000000"/>
            </w:tcBorders>
            <w:shd w:color="D9D9D9" w:fill="D9D9D9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3"/>
              </w:rPr>
              <w:t>HTTPS/TCP 443 sortant client</w:t>
            </w:r>
          </w:p>
        </w:tc>
        <w:tc>
          <w:tcPr>
            <w:tcW w:w="2920" w:type="dxa"/>
            <w:tcBorders>
              <w:bottom w:val="single" w:sz="8" w:space="0" w:color="000000"/>
            </w:tcBorders>
            <w:shd w:color="D9D9D9" w:fill="D9D9D9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3"/>
              </w:rPr>
              <w:t>Navigateur utilisateur</w:t>
            </w:r>
          </w:p>
        </w:tc>
        <w:tc>
          <w:tcPr>
            <w:tcW w:w="2019" w:type="dxa"/>
            <w:tcBorders>
              <w:bottom w:val="single" w:sz="8" w:space="0" w:color="000000"/>
            </w:tcBorders>
            <w:shd w:color="D9D9D9" w:fill="D9D9D9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3"/>
              </w:rPr>
              <w:t>unpkg.com ; cdn.jsdelivr.net</w:t>
            </w:r>
          </w:p>
        </w:tc>
        <w:tc>
          <w:tcPr>
            <w:tcW w:w="1800" w:type="dxa"/>
            <w:tcBorders>
              <w:bottom w:val="single" w:sz="8" w:space="0" w:color="000000"/>
            </w:tcBorders>
            <w:shd w:color="D9D9D9" w:fill="D9D9D9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3"/>
              </w:rPr>
              <w:t>Leaflet/ECharts ; auto-hébergement recommandé</w:t>
            </w:r>
          </w:p>
        </w:tc>
      </w:tr>
      <w:tr>
        <w:trPr/>
        <w:tc>
          <w:tcPr>
            <w:tcW w:w="1840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3"/>
              </w:rPr>
              <w:t>SSH/TCP 22 ou HTTPS 443 sortant</w:t>
            </w:r>
          </w:p>
        </w:tc>
        <w:tc>
          <w:tcPr>
            <w:tcW w:w="2920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3"/>
              </w:rPr>
              <w:t>VM/admin OFB</w:t>
            </w:r>
          </w:p>
        </w:tc>
        <w:tc>
          <w:tcPr>
            <w:tcW w:w="2019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3"/>
              </w:rPr>
              <w:t>Dépôt Git OFB ou GitHub</w:t>
            </w:r>
          </w:p>
        </w:tc>
        <w:tc>
          <w:tcPr>
            <w:tcW w:w="1800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3"/>
              </w:rPr>
              <w:t>Code source ; pull/push manuels, aucun CI/CD actuel</w:t>
            </w:r>
          </w:p>
        </w:tc>
      </w:tr>
      <w:tr>
        <w:trPr/>
        <w:tc>
          <w:tcPr>
            <w:tcW w:w="1840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3"/>
              </w:rPr>
              <w:t>HTTPS/TCP 443 sortant contrôlé</w:t>
            </w:r>
          </w:p>
        </w:tc>
        <w:tc>
          <w:tcPr>
            <w:tcW w:w="2920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3"/>
              </w:rPr>
              <w:t>VM/opérateur scientifique</w:t>
            </w:r>
          </w:p>
        </w:tc>
        <w:tc>
          <w:tcPr>
            <w:tcW w:w="2019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3"/>
              </w:rPr>
              <w:t>4TU/STORM, IBTrACS et sources validées</w:t>
            </w:r>
          </w:p>
        </w:tc>
        <w:tc>
          <w:tcPr>
            <w:tcW w:w="1800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3"/>
              </w:rPr>
              <w:t>Mises à jour de jeux de données, hors chemin runtime</w:t>
            </w:r>
          </w:p>
        </w:tc>
      </w:tr>
      <w:tr>
        <w:trPr/>
        <w:tc>
          <w:tcPr>
            <w:tcW w:w="1840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3"/>
              </w:rPr>
              <w:t>HTTP 80 / HTTPS 443</w:t>
            </w:r>
          </w:p>
        </w:tc>
        <w:tc>
          <w:tcPr>
            <w:tcW w:w="2920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3"/>
              </w:rPr>
              <w:t>Autorité de certification</w:t>
            </w:r>
          </w:p>
        </w:tc>
        <w:tc>
          <w:tcPr>
            <w:tcW w:w="2019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3"/>
              </w:rPr>
              <w:t>Nginx</w:t>
            </w:r>
          </w:p>
        </w:tc>
        <w:tc>
          <w:tcPr>
            <w:tcW w:w="1800" w:type="dxa"/>
            <w:tcBorders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 w:val="false"/>
                <w:sz w:val="13"/>
              </w:rPr>
              <w:t>ACME si Let's Encrypt est retenu ; sinon PKI OFB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keepNext w:val="true"/>
        <w:keepLines/>
        <w:suppressLineNumbers w:val="0"/>
        <w:spacing w:lineRule="auto" w:line="276" w:before="480" w:after="0"/>
        <w:ind w:hanging="432" w:left="432"/>
        <w:rPr/>
      </w:pPr>
      <w:bookmarkStart w:id="119" w:name="__RefHeading___Toc4226_1450298465"/>
      <w:bookmarkStart w:id="120" w:name="_Toc180072747"/>
      <w:bookmarkEnd w:id="119"/>
      <w:r>
        <w:rPr>
          <w:rFonts w:ascii="Arial" w:hAnsi="Arial"/>
        </w:rPr>
        <w:t>Sauvegarde</w:t>
      </w:r>
      <w:bookmarkEnd w:id="120"/>
      <w:r>
        <w:rPr>
          <w:rFonts w:ascii="Arial" w:hAnsi="Arial"/>
        </w:rPr>
        <w:t xml:space="preserve"> </w:t>
      </w:r>
    </w:p>
    <w:p>
      <w:pPr>
        <w:pStyle w:val="Normal"/>
        <w:rPr/>
      </w:pPr>
      <w:r>
        <w:rPr/>
      </w:r>
    </w:p>
    <w:p>
      <w:pPr>
        <w:pStyle w:val="Normal"/>
        <w:spacing w:before="0" w:after="80"/>
        <w:rPr>
          <w:i/>
          <w:i/>
          <w:color w:val="7030A0"/>
        </w:rPr>
      </w:pPr>
      <w:r>
        <w:rPr>
          <w:rFonts w:ascii="Arial" w:hAnsi="Arial"/>
          <w:b w:val="false"/>
          <w:sz w:val="19"/>
        </w:rPr>
        <w:t>Sur le serveur source, une sauvegarde Restic quotidienne vers Backblaze B2 couvre /home/ubuntu, /data, /var/www, /etc, les crontabs et /var/backups/restic. Elle ne couvre pas explicitement /var/lib/sib-risk. Cette sauvegarde et ses identifiants sont personnels : ils ne doivent pas être repris en production OFB. La cible doit utiliser la solution de sauvegarde OFB et inclure au minimum le dépôt/worktree, uploads, outputs utiles, configuration, base SQLite et artefacts nécessaires.</w:t>
      </w:r>
    </w:p>
    <w:p>
      <w:pPr>
        <w:pStyle w:val="Normal"/>
        <w:spacing w:before="0" w:after="80"/>
        <w:rPr>
          <w:i/>
          <w:i/>
          <w:color w:val="7030A0"/>
        </w:rPr>
      </w:pPr>
      <w:r>
        <w:rPr>
          <w:rFonts w:ascii="Arial" w:hAnsi="Arial"/>
          <w:b w:val="false"/>
          <w:sz w:val="19"/>
        </w:rPr>
        <w:t>Éléments à sauvegarder : /home/ubuntu/sib-work (ou chemin OFB), /home/ubuntu/uploads (ou volume de données), /var/lib/sib-risk, configurations effectives Nginx/systemd/logrotate, webroot si une reprise à l’identique est souhaitée, manifests et archives de runs. Exclure les caches et recréer backend/.venv si la politique OFB le permet. Les certificats et secrets sont gérés par la PKI/le coffre OFB, pas par copie du serveur personnel.</w:t>
      </w:r>
    </w:p>
    <w:p>
      <w:pPr>
        <w:pStyle w:val="Normal"/>
        <w:rPr/>
      </w:pPr>
      <w:r>
        <w:rPr/>
      </w:r>
    </w:p>
    <w:p>
      <w:pPr>
        <w:pStyle w:val="Heading2"/>
        <w:ind w:hanging="425" w:left="765"/>
        <w:rPr/>
      </w:pPr>
      <w:bookmarkStart w:id="121" w:name="__RefHeading___Toc4228_1450298465"/>
      <w:bookmarkStart w:id="122" w:name="_Toc180072748"/>
      <w:bookmarkEnd w:id="121"/>
      <w:r>
        <w:rPr>
          <w:rFonts w:ascii="Arial" w:hAnsi="Arial"/>
        </w:rPr>
        <w:t>Planning des sauvegardes</w:t>
      </w:r>
      <w:bookmarkEnd w:id="122"/>
    </w:p>
    <w:p>
      <w:pPr>
        <w:pStyle w:val="Normal"/>
        <w:rPr/>
      </w:pPr>
      <w:r>
        <w:rPr/>
      </w:r>
    </w:p>
    <w:p>
      <w:pPr>
        <w:pStyle w:val="Normal"/>
        <w:spacing w:before="0" w:after="80"/>
        <w:rPr>
          <w:i/>
          <w:i/>
          <w:color w:val="7030A0"/>
        </w:rPr>
      </w:pPr>
      <w:r>
        <w:rPr>
          <w:rFonts w:ascii="Arial" w:hAnsi="Arial"/>
          <w:b w:val="false"/>
          <w:sz w:val="19"/>
        </w:rPr>
        <w:t>Planning proposé, à aligner sur la politique de sauvegarde OFB et à compléter par les RPO/RTO :</w:t>
      </w:r>
    </w:p>
    <w:tbl>
      <w:tblPr>
        <w:tblStyle w:val="Grilledutableau"/>
        <w:tblW w:w="9976" w:type="dxa"/>
        <w:jc w:val="left"/>
        <w:tblInd w:w="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Look w:val="04a0" w:noHBand="0" w:noVBand="1" w:firstColumn="1" w:lastRow="0" w:lastColumn="0" w:firstRow="1"/>
      </w:tblPr>
      <w:tblGrid>
        <w:gridCol w:w="2494"/>
        <w:gridCol w:w="2494"/>
        <w:gridCol w:w="2494"/>
        <w:gridCol w:w="2493"/>
      </w:tblGrid>
      <w:tr>
        <w:trPr>
          <w:tblHeader w:val="true"/>
        </w:trPr>
        <w:tc>
          <w:tcPr>
            <w:tcW w:w="2494" w:type="dxa"/>
            <w:tcBorders/>
            <w:shd w:fill="2F5597"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/>
                <w:color w:val="FFFFFF"/>
                <w:kern w:val="0"/>
                <w:sz w:val="14"/>
                <w:szCs w:val="20"/>
                <w:lang w:val="fr-FR" w:eastAsia="en-US" w:bidi="ar-SA"/>
              </w:rPr>
              <w:t>Fréquence</w:t>
            </w:r>
          </w:p>
        </w:tc>
        <w:tc>
          <w:tcPr>
            <w:tcW w:w="2494" w:type="dxa"/>
            <w:tcBorders/>
            <w:shd w:fill="2F5597"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/>
                <w:color w:val="FFFFFF"/>
                <w:kern w:val="0"/>
                <w:sz w:val="14"/>
                <w:szCs w:val="20"/>
                <w:lang w:val="fr-FR" w:eastAsia="en-US" w:bidi="ar-SA"/>
              </w:rPr>
              <w:t>Horaire</w:t>
            </w:r>
          </w:p>
        </w:tc>
        <w:tc>
          <w:tcPr>
            <w:tcW w:w="2494" w:type="dxa"/>
            <w:tcBorders/>
            <w:shd w:fill="2F5597"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/>
                <w:color w:val="FFFFFF"/>
                <w:kern w:val="0"/>
                <w:sz w:val="14"/>
                <w:szCs w:val="20"/>
                <w:lang w:val="fr-FR" w:eastAsia="en-US" w:bidi="ar-SA"/>
              </w:rPr>
              <w:t>Action</w:t>
            </w:r>
          </w:p>
        </w:tc>
        <w:tc>
          <w:tcPr>
            <w:tcW w:w="2493" w:type="dxa"/>
            <w:tcBorders/>
            <w:shd w:fill="2F5597"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/>
                <w:color w:val="FFFFFF"/>
                <w:kern w:val="0"/>
                <w:sz w:val="14"/>
                <w:szCs w:val="20"/>
                <w:lang w:val="fr-FR" w:eastAsia="en-US" w:bidi="ar-SA"/>
              </w:rPr>
              <w:t>Périmètre / rétention</w:t>
            </w:r>
          </w:p>
        </w:tc>
      </w:tr>
      <w:tr>
        <w:trPr/>
        <w:tc>
          <w:tcPr>
            <w:tcW w:w="2494" w:type="dxa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 w:val="false"/>
                <w:color w:themeColor="text1" w:val="1E4E85"/>
                <w:kern w:val="0"/>
                <w:sz w:val="14"/>
                <w:szCs w:val="20"/>
                <w:lang w:val="fr-FR" w:eastAsia="en-US" w:bidi="ar-SA"/>
              </w:rPr>
              <w:t>Quotidienne</w:t>
            </w:r>
          </w:p>
        </w:tc>
        <w:tc>
          <w:tcPr>
            <w:tcW w:w="2494" w:type="dxa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 w:val="false"/>
                <w:color w:themeColor="text1" w:val="1E4E85"/>
                <w:kern w:val="0"/>
                <w:sz w:val="14"/>
                <w:szCs w:val="20"/>
                <w:lang w:val="fr-FR" w:eastAsia="en-US" w:bidi="ar-SA"/>
              </w:rPr>
              <w:t>02:30 + délai aléatoire 15 min (source actuel)</w:t>
            </w:r>
          </w:p>
        </w:tc>
        <w:tc>
          <w:tcPr>
            <w:tcW w:w="2494" w:type="dxa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 w:val="false"/>
                <w:color w:themeColor="text1" w:val="1E4E85"/>
                <w:kern w:val="0"/>
                <w:sz w:val="14"/>
                <w:szCs w:val="20"/>
                <w:lang w:val="fr-FR" w:eastAsia="en-US" w:bidi="ar-SA"/>
              </w:rPr>
              <w:t>Sauvegarde incrémentale Restic</w:t>
            </w:r>
          </w:p>
        </w:tc>
        <w:tc>
          <w:tcPr>
            <w:tcW w:w="2493" w:type="dxa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 w:val="false"/>
                <w:color w:themeColor="text1" w:val="1E4E85"/>
                <w:kern w:val="0"/>
                <w:sz w:val="14"/>
                <w:szCs w:val="20"/>
                <w:lang w:val="fr-FR" w:eastAsia="en-US" w:bidi="ar-SA"/>
              </w:rPr>
              <w:t>Source : /home/ubuntu, /data, /var/www, /etc ; 30 sauvegardes quotidiennes</w:t>
            </w:r>
          </w:p>
        </w:tc>
      </w:tr>
      <w:tr>
        <w:trPr/>
        <w:tc>
          <w:tcPr>
            <w:tcW w:w="2494" w:type="dxa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 w:val="false"/>
                <w:color w:themeColor="text1" w:val="1E4E85"/>
                <w:kern w:val="0"/>
                <w:sz w:val="14"/>
                <w:szCs w:val="20"/>
                <w:lang w:val="fr-FR" w:eastAsia="en-US" w:bidi="ar-SA"/>
              </w:rPr>
              <w:t>Hebdomadaire</w:t>
            </w:r>
          </w:p>
        </w:tc>
        <w:tc>
          <w:tcPr>
            <w:tcW w:w="2494" w:type="dxa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 w:val="false"/>
                <w:color w:themeColor="text1" w:val="1E4E85"/>
                <w:kern w:val="0"/>
                <w:sz w:val="14"/>
                <w:szCs w:val="20"/>
                <w:lang w:val="fr-FR" w:eastAsia="en-US" w:bidi="ar-SA"/>
              </w:rPr>
              <w:t>Dimanche 04:30 + délai 30 min (source actuel)</w:t>
            </w:r>
          </w:p>
        </w:tc>
        <w:tc>
          <w:tcPr>
            <w:tcW w:w="2494" w:type="dxa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 w:val="false"/>
                <w:color w:themeColor="text1" w:val="1E4E85"/>
                <w:kern w:val="0"/>
                <w:sz w:val="14"/>
                <w:szCs w:val="20"/>
                <w:lang w:val="fr-FR" w:eastAsia="en-US" w:bidi="ar-SA"/>
              </w:rPr>
              <w:t>Vérification du dépôt Restic</w:t>
            </w:r>
          </w:p>
        </w:tc>
        <w:tc>
          <w:tcPr>
            <w:tcW w:w="2493" w:type="dxa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 w:val="false"/>
                <w:color w:themeColor="text1" w:val="1E4E85"/>
                <w:kern w:val="0"/>
                <w:sz w:val="14"/>
                <w:szCs w:val="20"/>
                <w:lang w:val="fr-FR" w:eastAsia="en-US" w:bidi="ar-SA"/>
              </w:rPr>
              <w:t>À remplacer par le contrôle de la solution OFB</w:t>
            </w:r>
          </w:p>
        </w:tc>
      </w:tr>
      <w:tr>
        <w:trPr/>
        <w:tc>
          <w:tcPr>
            <w:tcW w:w="2494" w:type="dxa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 w:val="false"/>
                <w:color w:themeColor="text1" w:val="1E4E85"/>
                <w:kern w:val="0"/>
                <w:sz w:val="14"/>
                <w:szCs w:val="20"/>
                <w:lang w:val="fr-FR" w:eastAsia="en-US" w:bidi="ar-SA"/>
              </w:rPr>
              <w:t>Quotidienne cible</w:t>
            </w:r>
          </w:p>
        </w:tc>
        <w:tc>
          <w:tcPr>
            <w:tcW w:w="2494" w:type="dxa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 w:val="false"/>
                <w:color w:themeColor="text1" w:val="1E4E85"/>
                <w:kern w:val="0"/>
                <w:sz w:val="14"/>
                <w:szCs w:val="20"/>
                <w:lang w:val="fr-FR" w:eastAsia="en-US" w:bidi="ar-SA"/>
              </w:rPr>
              <w:t>À définir par l’OFB</w:t>
            </w:r>
          </w:p>
        </w:tc>
        <w:tc>
          <w:tcPr>
            <w:tcW w:w="2494" w:type="dxa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 w:val="false"/>
                <w:color w:themeColor="text1" w:val="1E4E85"/>
                <w:kern w:val="0"/>
                <w:sz w:val="14"/>
                <w:szCs w:val="20"/>
                <w:lang w:val="fr-FR" w:eastAsia="en-US" w:bidi="ar-SA"/>
              </w:rPr>
              <w:t>Sauvegarde applicative cohérente</w:t>
            </w:r>
          </w:p>
        </w:tc>
        <w:tc>
          <w:tcPr>
            <w:tcW w:w="2493" w:type="dxa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 w:val="false"/>
                <w:color w:themeColor="text1" w:val="1E4E85"/>
                <w:kern w:val="0"/>
                <w:sz w:val="14"/>
                <w:szCs w:val="20"/>
                <w:lang w:val="fr-FR" w:eastAsia="en-US" w:bidi="ar-SA"/>
              </w:rPr>
              <w:t>Ajouter /var/lib/sib-risk et les volumes SIB ; RPO à valider</w:t>
            </w:r>
          </w:p>
        </w:tc>
      </w:tr>
      <w:tr>
        <w:trPr/>
        <w:tc>
          <w:tcPr>
            <w:tcW w:w="2494" w:type="dxa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 w:val="false"/>
                <w:color w:themeColor="text1" w:val="1E4E85"/>
                <w:kern w:val="0"/>
                <w:sz w:val="14"/>
                <w:szCs w:val="20"/>
                <w:lang w:val="fr-FR" w:eastAsia="en-US" w:bidi="ar-SA"/>
              </w:rPr>
              <w:t>Avant changement</w:t>
            </w:r>
          </w:p>
        </w:tc>
        <w:tc>
          <w:tcPr>
            <w:tcW w:w="2494" w:type="dxa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 w:val="false"/>
                <w:color w:themeColor="text1" w:val="1E4E85"/>
                <w:kern w:val="0"/>
                <w:sz w:val="14"/>
                <w:szCs w:val="20"/>
                <w:lang w:val="fr-FR" w:eastAsia="en-US" w:bidi="ar-SA"/>
              </w:rPr>
              <w:t>À la demande</w:t>
            </w:r>
          </w:p>
        </w:tc>
        <w:tc>
          <w:tcPr>
            <w:tcW w:w="2494" w:type="dxa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 w:val="false"/>
                <w:color w:themeColor="text1" w:val="1E4E85"/>
                <w:kern w:val="0"/>
                <w:sz w:val="14"/>
                <w:szCs w:val="20"/>
                <w:lang w:val="fr-FR" w:eastAsia="en-US" w:bidi="ar-SA"/>
              </w:rPr>
              <w:t>Snapshot/export de sécurité</w:t>
            </w:r>
          </w:p>
        </w:tc>
        <w:tc>
          <w:tcPr>
            <w:tcW w:w="2493" w:type="dxa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 w:val="false"/>
                <w:color w:themeColor="text1" w:val="1E4E85"/>
                <w:kern w:val="0"/>
                <w:sz w:val="14"/>
                <w:szCs w:val="20"/>
                <w:lang w:val="fr-FR" w:eastAsia="en-US" w:bidi="ar-SA"/>
              </w:rPr>
              <w:t>Avant déploiement, migration, mise à jour majeure ou purge</w:t>
            </w:r>
          </w:p>
        </w:tc>
      </w:tr>
      <w:tr>
        <w:trPr/>
        <w:tc>
          <w:tcPr>
            <w:tcW w:w="2494" w:type="dxa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 w:val="false"/>
                <w:color w:themeColor="text1" w:val="1E4E85"/>
                <w:kern w:val="0"/>
                <w:sz w:val="14"/>
                <w:szCs w:val="20"/>
                <w:lang w:val="fr-FR" w:eastAsia="en-US" w:bidi="ar-SA"/>
              </w:rPr>
              <w:t>Trimestrielle proposée</w:t>
            </w:r>
          </w:p>
        </w:tc>
        <w:tc>
          <w:tcPr>
            <w:tcW w:w="2494" w:type="dxa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 w:val="false"/>
                <w:color w:themeColor="text1" w:val="1E4E85"/>
                <w:kern w:val="0"/>
                <w:sz w:val="14"/>
                <w:szCs w:val="20"/>
                <w:lang w:val="fr-FR" w:eastAsia="en-US" w:bidi="ar-SA"/>
              </w:rPr>
              <w:t>Fenêtre planifiée</w:t>
            </w:r>
          </w:p>
        </w:tc>
        <w:tc>
          <w:tcPr>
            <w:tcW w:w="2494" w:type="dxa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 w:val="false"/>
                <w:color w:themeColor="text1" w:val="1E4E85"/>
                <w:kern w:val="0"/>
                <w:sz w:val="14"/>
                <w:szCs w:val="20"/>
                <w:lang w:val="fr-FR" w:eastAsia="en-US" w:bidi="ar-SA"/>
              </w:rPr>
              <w:t>Test de restauration</w:t>
            </w:r>
          </w:p>
        </w:tc>
        <w:tc>
          <w:tcPr>
            <w:tcW w:w="2493" w:type="dxa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 w:val="false"/>
                <w:color w:themeColor="text1" w:val="1E4E85"/>
                <w:kern w:val="0"/>
                <w:sz w:val="14"/>
                <w:szCs w:val="20"/>
                <w:lang w:val="fr-FR" w:eastAsia="en-US" w:bidi="ar-SA"/>
              </w:rPr>
              <w:t>Restaurer dépôt, données, SQLite, vhost et vérifier un smoke test</w:t>
            </w:r>
          </w:p>
        </w:tc>
      </w:tr>
    </w:tbl>
    <w:p>
      <w:pPr>
        <w:pStyle w:val="Normal"/>
        <w:rPr>
          <w:i/>
          <w:i/>
          <w:color w:val="7030A0"/>
        </w:rPr>
      </w:pPr>
      <w:r>
        <w:rPr>
          <w:i/>
          <w:color w:val="7030A0"/>
        </w:rPr>
      </w:r>
    </w:p>
    <w:p>
      <w:pPr>
        <w:pStyle w:val="Normal"/>
        <w:rPr/>
      </w:pPr>
      <w:r>
        <w:rPr/>
      </w:r>
    </w:p>
    <w:p>
      <w:pPr>
        <w:pStyle w:val="Heading1"/>
        <w:rPr/>
      </w:pPr>
      <w:bookmarkStart w:id="123" w:name="__RefHeading___Toc4230_1450298465"/>
      <w:bookmarkStart w:id="124" w:name="_Hlk203142144"/>
      <w:bookmarkStart w:id="125" w:name="_Toc180072749"/>
      <w:bookmarkEnd w:id="123"/>
      <w:bookmarkEnd w:id="124"/>
      <w:r>
        <w:rPr>
          <w:rFonts w:ascii="Arial" w:hAnsi="Arial"/>
        </w:rPr>
        <w:t>Traitements automatisés</w:t>
      </w:r>
      <w:bookmarkEnd w:id="125"/>
      <w:r>
        <w:rPr>
          <w:rFonts w:ascii="Arial" w:hAnsi="Arial"/>
        </w:rPr>
        <w:t xml:space="preserve"> </w:t>
      </w:r>
    </w:p>
    <w:p>
      <w:pPr>
        <w:pStyle w:val="Heading2"/>
        <w:ind w:hanging="425" w:left="765"/>
        <w:rPr/>
      </w:pPr>
      <w:bookmarkStart w:id="126" w:name="__RefHeading___Toc4232_1450298465"/>
      <w:bookmarkStart w:id="127" w:name="_Toc180072750"/>
      <w:bookmarkEnd w:id="126"/>
      <w:r>
        <w:rPr>
          <w:rFonts w:ascii="Arial" w:hAnsi="Arial"/>
        </w:rPr>
        <w:t>Exploitation</w:t>
      </w:r>
      <w:bookmarkEnd w:id="127"/>
    </w:p>
    <w:p>
      <w:pPr>
        <w:pStyle w:val="Normal"/>
        <w:spacing w:before="0" w:after="80"/>
        <w:rPr>
          <w:i/>
          <w:i/>
          <w:color w:val="7030A0"/>
        </w:rPr>
      </w:pPr>
      <w:r>
        <w:rPr>
          <w:rFonts w:ascii="Arial" w:hAnsi="Arial"/>
          <w:b w:val="false"/>
          <w:sz w:val="19"/>
        </w:rPr>
        <w:t>Traitements d’exploitation observés ou attendus :</w:t>
      </w:r>
    </w:p>
    <w:tbl>
      <w:tblPr>
        <w:tblStyle w:val="Grilledutableau"/>
        <w:tblW w:w="9976" w:type="dxa"/>
        <w:jc w:val="left"/>
        <w:tblInd w:w="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Look w:val="04a0" w:noHBand="0" w:noVBand="1" w:firstColumn="1" w:lastRow="0" w:lastColumn="0" w:firstRow="1"/>
      </w:tblPr>
      <w:tblGrid>
        <w:gridCol w:w="2494"/>
        <w:gridCol w:w="2494"/>
        <w:gridCol w:w="2494"/>
        <w:gridCol w:w="2493"/>
      </w:tblGrid>
      <w:tr>
        <w:trPr>
          <w:tblHeader w:val="true"/>
        </w:trPr>
        <w:tc>
          <w:tcPr>
            <w:tcW w:w="2494" w:type="dxa"/>
            <w:tcBorders/>
            <w:shd w:fill="2F5597"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/>
                <w:color w:val="FFFFFF"/>
                <w:kern w:val="0"/>
                <w:sz w:val="14"/>
                <w:szCs w:val="20"/>
                <w:lang w:val="fr-FR" w:eastAsia="en-US" w:bidi="ar-SA"/>
              </w:rPr>
              <w:t>Traitement</w:t>
            </w:r>
          </w:p>
        </w:tc>
        <w:tc>
          <w:tcPr>
            <w:tcW w:w="2494" w:type="dxa"/>
            <w:tcBorders/>
            <w:shd w:fill="2F5597"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/>
                <w:color w:val="FFFFFF"/>
                <w:kern w:val="0"/>
                <w:sz w:val="14"/>
                <w:szCs w:val="20"/>
                <w:lang w:val="fr-FR" w:eastAsia="en-US" w:bidi="ar-SA"/>
              </w:rPr>
              <w:t>Environnement</w:t>
            </w:r>
          </w:p>
        </w:tc>
        <w:tc>
          <w:tcPr>
            <w:tcW w:w="2494" w:type="dxa"/>
            <w:tcBorders/>
            <w:shd w:fill="2F5597"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/>
                <w:color w:val="FFFFFF"/>
                <w:kern w:val="0"/>
                <w:sz w:val="14"/>
                <w:szCs w:val="20"/>
                <w:lang w:val="fr-FR" w:eastAsia="en-US" w:bidi="ar-SA"/>
              </w:rPr>
              <w:t>Fréquence</w:t>
            </w:r>
          </w:p>
        </w:tc>
        <w:tc>
          <w:tcPr>
            <w:tcW w:w="2493" w:type="dxa"/>
            <w:tcBorders/>
            <w:shd w:fill="2F5597"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/>
                <w:color w:val="FFFFFF"/>
                <w:kern w:val="0"/>
                <w:sz w:val="14"/>
                <w:szCs w:val="20"/>
                <w:lang w:val="fr-FR" w:eastAsia="en-US" w:bidi="ar-SA"/>
              </w:rPr>
              <w:t>Action / remarque</w:t>
            </w:r>
          </w:p>
        </w:tc>
      </w:tr>
      <w:tr>
        <w:trPr/>
        <w:tc>
          <w:tcPr>
            <w:tcW w:w="2494" w:type="dxa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 w:val="false"/>
                <w:color w:themeColor="text1" w:val="1E4E85"/>
                <w:kern w:val="0"/>
                <w:sz w:val="14"/>
                <w:szCs w:val="20"/>
                <w:lang w:val="fr-FR" w:eastAsia="en-US" w:bidi="ar-SA"/>
              </w:rPr>
              <w:t>Sauvegarde Restic source</w:t>
            </w:r>
          </w:p>
        </w:tc>
        <w:tc>
          <w:tcPr>
            <w:tcW w:w="2494" w:type="dxa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 w:val="false"/>
                <w:color w:themeColor="text1" w:val="1E4E85"/>
                <w:kern w:val="0"/>
                <w:sz w:val="14"/>
                <w:szCs w:val="20"/>
                <w:lang w:val="fr-FR" w:eastAsia="en-US" w:bidi="ar-SA"/>
              </w:rPr>
              <w:t>Serveur personnel actuel</w:t>
            </w:r>
          </w:p>
        </w:tc>
        <w:tc>
          <w:tcPr>
            <w:tcW w:w="2494" w:type="dxa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 w:val="false"/>
                <w:color w:themeColor="text1" w:val="1E4E85"/>
                <w:kern w:val="0"/>
                <w:sz w:val="14"/>
                <w:szCs w:val="20"/>
                <w:lang w:val="fr-FR" w:eastAsia="en-US" w:bidi="ar-SA"/>
              </w:rPr>
              <w:t>Chaque jour à 02:30 ±15 min</w:t>
            </w:r>
          </w:p>
        </w:tc>
        <w:tc>
          <w:tcPr>
            <w:tcW w:w="2493" w:type="dxa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 w:val="false"/>
                <w:color w:themeColor="text1" w:val="1E4E85"/>
                <w:kern w:val="0"/>
                <w:sz w:val="14"/>
                <w:szCs w:val="20"/>
                <w:lang w:val="fr-FR" w:eastAsia="en-US" w:bidi="ar-SA"/>
              </w:rPr>
              <w:t>Sauvegarde Backblaze B2 ; à remplacer par la solution OFB</w:t>
            </w:r>
          </w:p>
        </w:tc>
      </w:tr>
      <w:tr>
        <w:trPr/>
        <w:tc>
          <w:tcPr>
            <w:tcW w:w="2494" w:type="dxa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 w:val="false"/>
                <w:color w:themeColor="text1" w:val="1E4E85"/>
                <w:kern w:val="0"/>
                <w:sz w:val="14"/>
                <w:szCs w:val="20"/>
                <w:lang w:val="fr-FR" w:eastAsia="en-US" w:bidi="ar-SA"/>
              </w:rPr>
              <w:t>Contrôle Restic source</w:t>
            </w:r>
          </w:p>
        </w:tc>
        <w:tc>
          <w:tcPr>
            <w:tcW w:w="2494" w:type="dxa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 w:val="false"/>
                <w:color w:themeColor="text1" w:val="1E4E85"/>
                <w:kern w:val="0"/>
                <w:sz w:val="14"/>
                <w:szCs w:val="20"/>
                <w:lang w:val="fr-FR" w:eastAsia="en-US" w:bidi="ar-SA"/>
              </w:rPr>
              <w:t>Serveur personnel actuel</w:t>
            </w:r>
          </w:p>
        </w:tc>
        <w:tc>
          <w:tcPr>
            <w:tcW w:w="2494" w:type="dxa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 w:val="false"/>
                <w:color w:themeColor="text1" w:val="1E4E85"/>
                <w:kern w:val="0"/>
                <w:sz w:val="14"/>
                <w:szCs w:val="20"/>
                <w:lang w:val="fr-FR" w:eastAsia="en-US" w:bidi="ar-SA"/>
              </w:rPr>
              <w:t>Dimanche 04:30 ±30 min</w:t>
            </w:r>
          </w:p>
        </w:tc>
        <w:tc>
          <w:tcPr>
            <w:tcW w:w="2493" w:type="dxa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 w:val="false"/>
                <w:color w:themeColor="text1" w:val="1E4E85"/>
                <w:kern w:val="0"/>
                <w:sz w:val="14"/>
                <w:szCs w:val="20"/>
                <w:lang w:val="fr-FR" w:eastAsia="en-US" w:bidi="ar-SA"/>
              </w:rPr>
              <w:t>Vérification hebdomadaire ; cible OFB à définir</w:t>
            </w:r>
          </w:p>
        </w:tc>
      </w:tr>
      <w:tr>
        <w:trPr/>
        <w:tc>
          <w:tcPr>
            <w:tcW w:w="2494" w:type="dxa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 w:val="false"/>
                <w:color w:themeColor="text1" w:val="1E4E85"/>
                <w:kern w:val="0"/>
                <w:sz w:val="14"/>
                <w:szCs w:val="20"/>
                <w:lang w:val="fr-FR" w:eastAsia="en-US" w:bidi="ar-SA"/>
              </w:rPr>
              <w:t>Certbot</w:t>
            </w:r>
          </w:p>
        </w:tc>
        <w:tc>
          <w:tcPr>
            <w:tcW w:w="2494" w:type="dxa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 w:val="false"/>
                <w:color w:themeColor="text1" w:val="1E4E85"/>
                <w:kern w:val="0"/>
                <w:sz w:val="14"/>
                <w:szCs w:val="20"/>
                <w:lang w:val="fr-FR" w:eastAsia="en-US" w:bidi="ar-SA"/>
              </w:rPr>
              <w:t>Source si Let's Encrypt</w:t>
            </w:r>
          </w:p>
        </w:tc>
        <w:tc>
          <w:tcPr>
            <w:tcW w:w="2494" w:type="dxa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 w:val="false"/>
                <w:color w:themeColor="text1" w:val="1E4E85"/>
                <w:kern w:val="0"/>
                <w:sz w:val="14"/>
                <w:szCs w:val="20"/>
                <w:lang w:val="fr-FR" w:eastAsia="en-US" w:bidi="ar-SA"/>
              </w:rPr>
              <w:t>Timer système automatique</w:t>
            </w:r>
          </w:p>
        </w:tc>
        <w:tc>
          <w:tcPr>
            <w:tcW w:w="2493" w:type="dxa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 w:val="false"/>
                <w:color w:themeColor="text1" w:val="1E4E85"/>
                <w:kern w:val="0"/>
                <w:sz w:val="14"/>
                <w:szCs w:val="20"/>
                <w:lang w:val="fr-FR" w:eastAsia="en-US" w:bidi="ar-SA"/>
              </w:rPr>
              <w:t>Renouvellement TLS ; utiliser la PKI/procédure OFB cible</w:t>
            </w:r>
          </w:p>
        </w:tc>
      </w:tr>
      <w:tr>
        <w:trPr/>
        <w:tc>
          <w:tcPr>
            <w:tcW w:w="2494" w:type="dxa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 w:val="false"/>
                <w:color w:themeColor="text1" w:val="1E4E85"/>
                <w:kern w:val="0"/>
                <w:sz w:val="14"/>
                <w:szCs w:val="20"/>
                <w:lang w:val="fr-FR" w:eastAsia="en-US" w:bidi="ar-SA"/>
              </w:rPr>
              <w:t>logrotate visu</w:t>
            </w:r>
          </w:p>
        </w:tc>
        <w:tc>
          <w:tcPr>
            <w:tcW w:w="2494" w:type="dxa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 w:val="false"/>
                <w:color w:themeColor="text1" w:val="1E4E85"/>
                <w:kern w:val="0"/>
                <w:sz w:val="14"/>
                <w:szCs w:val="20"/>
                <w:lang w:val="fr-FR" w:eastAsia="en-US" w:bidi="ar-SA"/>
              </w:rPr>
              <w:t>Source</w:t>
            </w:r>
          </w:p>
        </w:tc>
        <w:tc>
          <w:tcPr>
            <w:tcW w:w="2494" w:type="dxa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 w:val="false"/>
                <w:color w:themeColor="text1" w:val="1E4E85"/>
                <w:kern w:val="0"/>
                <w:sz w:val="14"/>
                <w:szCs w:val="20"/>
                <w:lang w:val="fr-FR" w:eastAsia="en-US" w:bidi="ar-SA"/>
              </w:rPr>
              <w:t>Quotidien</w:t>
            </w:r>
          </w:p>
        </w:tc>
        <w:tc>
          <w:tcPr>
            <w:tcW w:w="2493" w:type="dxa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 w:val="false"/>
                <w:color w:themeColor="text1" w:val="1E4E85"/>
                <w:kern w:val="0"/>
                <w:sz w:val="14"/>
                <w:szCs w:val="20"/>
                <w:lang w:val="fr-FR" w:eastAsia="en-US" w:bidi="ar-SA"/>
              </w:rPr>
              <w:t>Compression et rotation ; configuration actuelle conserve 365 rotations</w:t>
            </w:r>
          </w:p>
        </w:tc>
      </w:tr>
      <w:tr>
        <w:trPr/>
        <w:tc>
          <w:tcPr>
            <w:tcW w:w="2494" w:type="dxa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 w:val="false"/>
                <w:color w:themeColor="text1" w:val="1E4E85"/>
                <w:kern w:val="0"/>
                <w:sz w:val="14"/>
                <w:szCs w:val="20"/>
                <w:lang w:val="fr-FR" w:eastAsia="en-US" w:bidi="ar-SA"/>
              </w:rPr>
              <w:t>Déploiement web</w:t>
            </w:r>
          </w:p>
        </w:tc>
        <w:tc>
          <w:tcPr>
            <w:tcW w:w="2494" w:type="dxa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 w:val="false"/>
                <w:color w:themeColor="text1" w:val="1E4E85"/>
                <w:kern w:val="0"/>
                <w:sz w:val="14"/>
                <w:szCs w:val="20"/>
                <w:lang w:val="fr-FR" w:eastAsia="en-US" w:bidi="ar-SA"/>
              </w:rPr>
              <w:t>Recette / production</w:t>
            </w:r>
          </w:p>
        </w:tc>
        <w:tc>
          <w:tcPr>
            <w:tcW w:w="2494" w:type="dxa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 w:val="false"/>
                <w:color w:themeColor="text1" w:val="1E4E85"/>
                <w:kern w:val="0"/>
                <w:sz w:val="14"/>
                <w:szCs w:val="20"/>
                <w:lang w:val="fr-FR" w:eastAsia="en-US" w:bidi="ar-SA"/>
              </w:rPr>
              <w:t>Manuel, sur validation</w:t>
            </w:r>
          </w:p>
        </w:tc>
        <w:tc>
          <w:tcPr>
            <w:tcW w:w="2493" w:type="dxa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 w:val="false"/>
                <w:color w:themeColor="text1" w:val="1E4E85"/>
                <w:kern w:val="0"/>
                <w:sz w:val="14"/>
                <w:szCs w:val="20"/>
                <w:lang w:val="fr-FR" w:eastAsia="en-US" w:bidi="ar-SA"/>
              </w:rPr>
              <w:t>scripts/deploy_shared_web.sh ou déploiement depuis une archive de run</w:t>
            </w:r>
          </w:p>
        </w:tc>
      </w:tr>
      <w:tr>
        <w:trPr/>
        <w:tc>
          <w:tcPr>
            <w:tcW w:w="2494" w:type="dxa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 w:val="false"/>
                <w:color w:themeColor="text1" w:val="1E4E85"/>
                <w:kern w:val="0"/>
                <w:sz w:val="14"/>
                <w:szCs w:val="20"/>
                <w:lang w:val="fr-FR" w:eastAsia="en-US" w:bidi="ar-SA"/>
              </w:rPr>
              <w:t>Synchronisation Git</w:t>
            </w:r>
          </w:p>
        </w:tc>
        <w:tc>
          <w:tcPr>
            <w:tcW w:w="2494" w:type="dxa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 w:val="false"/>
                <w:color w:themeColor="text1" w:val="1E4E85"/>
                <w:kern w:val="0"/>
                <w:sz w:val="14"/>
                <w:szCs w:val="20"/>
                <w:lang w:val="fr-FR" w:eastAsia="en-US" w:bidi="ar-SA"/>
              </w:rPr>
              <w:t>Tous environnements</w:t>
            </w:r>
          </w:p>
        </w:tc>
        <w:tc>
          <w:tcPr>
            <w:tcW w:w="2494" w:type="dxa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 w:val="false"/>
                <w:color w:themeColor="text1" w:val="1E4E85"/>
                <w:kern w:val="0"/>
                <w:sz w:val="14"/>
                <w:szCs w:val="20"/>
                <w:lang w:val="fr-FR" w:eastAsia="en-US" w:bidi="ar-SA"/>
              </w:rPr>
              <w:t>Aucune</w:t>
            </w:r>
          </w:p>
        </w:tc>
        <w:tc>
          <w:tcPr>
            <w:tcW w:w="2493" w:type="dxa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 w:val="false"/>
                <w:color w:themeColor="text1" w:val="1E4E85"/>
                <w:kern w:val="0"/>
                <w:sz w:val="14"/>
                <w:szCs w:val="20"/>
                <w:lang w:val="fr-FR" w:eastAsia="en-US" w:bidi="ar-SA"/>
              </w:rPr>
              <w:t>Aucun workflow, webhook, cron ou pull automatique configuré</w:t>
            </w:r>
          </w:p>
        </w:tc>
      </w:tr>
    </w:tbl>
    <w:p>
      <w:pPr>
        <w:pStyle w:val="Normal"/>
        <w:rPr>
          <w:i/>
          <w:i/>
          <w:color w:val="7030A0"/>
        </w:rPr>
      </w:pPr>
      <w:r>
        <w:rPr>
          <w:i/>
          <w:color w:val="7030A0"/>
        </w:rPr>
      </w:r>
    </w:p>
    <w:p>
      <w:pPr>
        <w:pStyle w:val="Normal"/>
        <w:spacing w:before="0" w:after="80"/>
        <w:rPr>
          <w:i/>
          <w:i/>
          <w:color w:val="7030A0"/>
        </w:rPr>
      </w:pPr>
      <w:r>
        <w:rPr>
          <w:i/>
          <w:color w:val="7030A0"/>
        </w:rPr>
      </w:r>
    </w:p>
    <w:p>
      <w:pPr>
        <w:pStyle w:val="Normal"/>
        <w:spacing w:before="0" w:after="80"/>
        <w:rPr>
          <w:b/>
          <w:i/>
          <w:i/>
          <w:color w:val="7030A0"/>
        </w:rPr>
      </w:pPr>
      <w:r>
        <w:rPr>
          <w:b/>
          <w:i/>
          <w:color w:val="7030A0"/>
        </w:rPr>
      </w:r>
    </w:p>
    <w:p>
      <w:pPr>
        <w:pStyle w:val="Normal"/>
        <w:rPr/>
      </w:pPr>
      <w:r>
        <w:rPr/>
      </w:r>
    </w:p>
    <w:p>
      <w:pPr>
        <w:pStyle w:val="Heading2"/>
        <w:ind w:hanging="425" w:left="765"/>
        <w:rPr/>
      </w:pPr>
      <w:bookmarkStart w:id="128" w:name="__RefHeading___Toc4234_1450298465"/>
      <w:bookmarkStart w:id="129" w:name="_Toc180072751"/>
      <w:bookmarkEnd w:id="128"/>
      <w:r>
        <w:rPr>
          <w:rFonts w:ascii="Arial" w:hAnsi="Arial"/>
        </w:rPr>
        <w:t>Applicatif</w:t>
      </w:r>
      <w:bookmarkEnd w:id="129"/>
    </w:p>
    <w:p>
      <w:pPr>
        <w:pStyle w:val="Normal"/>
        <w:spacing w:before="0" w:after="80"/>
        <w:rPr>
          <w:i/>
          <w:i/>
          <w:color w:val="7030A0"/>
        </w:rPr>
      </w:pPr>
      <w:r>
        <w:rPr>
          <w:rFonts w:ascii="Arial" w:hAnsi="Arial"/>
          <w:b w:val="false"/>
          <w:sz w:val="19"/>
        </w:rPr>
        <w:t>Traitements applicatifs et statut d’automatisation :</w:t>
      </w:r>
    </w:p>
    <w:tbl>
      <w:tblPr>
        <w:tblStyle w:val="Grilledutableau"/>
        <w:tblW w:w="9976" w:type="dxa"/>
        <w:jc w:val="left"/>
        <w:tblInd w:w="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Look w:val="04a0" w:noHBand="0" w:noVBand="1" w:firstColumn="1" w:lastRow="0" w:lastColumn="0" w:firstRow="1"/>
      </w:tblPr>
      <w:tblGrid>
        <w:gridCol w:w="2494"/>
        <w:gridCol w:w="2494"/>
        <w:gridCol w:w="2494"/>
        <w:gridCol w:w="2493"/>
      </w:tblGrid>
      <w:tr>
        <w:trPr>
          <w:tblHeader w:val="true"/>
        </w:trPr>
        <w:tc>
          <w:tcPr>
            <w:tcW w:w="2494" w:type="dxa"/>
            <w:tcBorders/>
            <w:shd w:fill="2F5597"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/>
                <w:color w:val="FFFFFF"/>
                <w:kern w:val="0"/>
                <w:sz w:val="14"/>
                <w:szCs w:val="20"/>
                <w:lang w:val="fr-FR" w:eastAsia="en-US" w:bidi="ar-SA"/>
              </w:rPr>
              <w:t>Traitement</w:t>
            </w:r>
          </w:p>
        </w:tc>
        <w:tc>
          <w:tcPr>
            <w:tcW w:w="2494" w:type="dxa"/>
            <w:tcBorders/>
            <w:shd w:fill="2F5597"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/>
                <w:color w:val="FFFFFF"/>
                <w:kern w:val="0"/>
                <w:sz w:val="14"/>
                <w:szCs w:val="20"/>
                <w:lang w:val="fr-FR" w:eastAsia="en-US" w:bidi="ar-SA"/>
              </w:rPr>
              <w:t>Environnement</w:t>
            </w:r>
          </w:p>
        </w:tc>
        <w:tc>
          <w:tcPr>
            <w:tcW w:w="2494" w:type="dxa"/>
            <w:tcBorders/>
            <w:shd w:fill="2F5597"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/>
                <w:color w:val="FFFFFF"/>
                <w:kern w:val="0"/>
                <w:sz w:val="14"/>
                <w:szCs w:val="20"/>
                <w:lang w:val="fr-FR" w:eastAsia="en-US" w:bidi="ar-SA"/>
              </w:rPr>
              <w:t>Fréquence</w:t>
            </w:r>
          </w:p>
        </w:tc>
        <w:tc>
          <w:tcPr>
            <w:tcW w:w="2493" w:type="dxa"/>
            <w:tcBorders/>
            <w:shd w:fill="2F5597"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/>
                <w:color w:val="FFFFFF"/>
                <w:kern w:val="0"/>
                <w:sz w:val="14"/>
                <w:szCs w:val="20"/>
                <w:lang w:val="fr-FR" w:eastAsia="en-US" w:bidi="ar-SA"/>
              </w:rPr>
              <w:t>Action / remarque</w:t>
            </w:r>
          </w:p>
        </w:tc>
      </w:tr>
      <w:tr>
        <w:trPr/>
        <w:tc>
          <w:tcPr>
            <w:tcW w:w="2494" w:type="dxa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 w:val="false"/>
                <w:color w:themeColor="text1" w:val="1E4E85"/>
                <w:kern w:val="0"/>
                <w:sz w:val="14"/>
                <w:szCs w:val="20"/>
                <w:lang w:val="fr-FR" w:eastAsia="en-US" w:bidi="ar-SA"/>
              </w:rPr>
              <w:t>sib-risk-api.service</w:t>
            </w:r>
          </w:p>
        </w:tc>
        <w:tc>
          <w:tcPr>
            <w:tcW w:w="2494" w:type="dxa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 w:val="false"/>
                <w:color w:themeColor="text1" w:val="1E4E85"/>
                <w:kern w:val="0"/>
                <w:sz w:val="14"/>
                <w:szCs w:val="20"/>
                <w:lang w:val="fr-FR" w:eastAsia="en-US" w:bidi="ar-SA"/>
              </w:rPr>
              <w:t>Recette / production</w:t>
            </w:r>
          </w:p>
        </w:tc>
        <w:tc>
          <w:tcPr>
            <w:tcW w:w="2494" w:type="dxa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 w:val="false"/>
                <w:color w:themeColor="text1" w:val="1E4E85"/>
                <w:kern w:val="0"/>
                <w:sz w:val="14"/>
                <w:szCs w:val="20"/>
                <w:lang w:val="fr-FR" w:eastAsia="en-US" w:bidi="ar-SA"/>
              </w:rPr>
              <w:t>Continu</w:t>
            </w:r>
          </w:p>
        </w:tc>
        <w:tc>
          <w:tcPr>
            <w:tcW w:w="2493" w:type="dxa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 w:val="false"/>
                <w:color w:themeColor="text1" w:val="1E4E85"/>
                <w:kern w:val="0"/>
                <w:sz w:val="14"/>
                <w:szCs w:val="20"/>
                <w:lang w:val="fr-FR" w:eastAsia="en-US" w:bidi="ar-SA"/>
              </w:rPr>
              <w:t>API Uvicorn ; redémarrage automatique sur échec après 5 secondes</w:t>
            </w:r>
          </w:p>
        </w:tc>
      </w:tr>
      <w:tr>
        <w:trPr/>
        <w:tc>
          <w:tcPr>
            <w:tcW w:w="2494" w:type="dxa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 w:val="false"/>
                <w:color w:themeColor="text1" w:val="1E4E85"/>
                <w:kern w:val="0"/>
                <w:sz w:val="14"/>
                <w:szCs w:val="20"/>
                <w:lang w:val="fr-FR" w:eastAsia="en-US" w:bidi="ar-SA"/>
              </w:rPr>
              <w:t>sib-risk-cleanup.timer</w:t>
            </w:r>
          </w:p>
        </w:tc>
        <w:tc>
          <w:tcPr>
            <w:tcW w:w="2494" w:type="dxa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 w:val="false"/>
                <w:color w:themeColor="text1" w:val="1E4E85"/>
                <w:kern w:val="0"/>
                <w:sz w:val="14"/>
                <w:szCs w:val="20"/>
                <w:lang w:val="fr-FR" w:eastAsia="en-US" w:bidi="ar-SA"/>
              </w:rPr>
              <w:t>Recette / production</w:t>
            </w:r>
          </w:p>
        </w:tc>
        <w:tc>
          <w:tcPr>
            <w:tcW w:w="2494" w:type="dxa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 w:val="false"/>
                <w:color w:themeColor="text1" w:val="1E4E85"/>
                <w:kern w:val="0"/>
                <w:sz w:val="14"/>
                <w:szCs w:val="20"/>
                <w:lang w:val="fr-FR" w:eastAsia="en-US" w:bidi="ar-SA"/>
              </w:rPr>
              <w:t>Horaire, persistant</w:t>
            </w:r>
          </w:p>
        </w:tc>
        <w:tc>
          <w:tcPr>
            <w:tcW w:w="2493" w:type="dxa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 w:val="false"/>
                <w:color w:themeColor="text1" w:val="1E4E85"/>
                <w:kern w:val="0"/>
                <w:sz w:val="14"/>
                <w:szCs w:val="20"/>
                <w:lang w:val="fr-FR" w:eastAsia="en-US" w:bidi="ar-SA"/>
              </w:rPr>
              <w:t>Purge/réconciliation des jobs ; TTL configuré à 168 h</w:t>
            </w:r>
          </w:p>
        </w:tc>
      </w:tr>
      <w:tr>
        <w:trPr/>
        <w:tc>
          <w:tcPr>
            <w:tcW w:w="2494" w:type="dxa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 w:val="false"/>
                <w:color w:themeColor="text1" w:val="1E4E85"/>
                <w:kern w:val="0"/>
                <w:sz w:val="14"/>
                <w:szCs w:val="20"/>
                <w:lang w:val="fr-FR" w:eastAsia="en-US" w:bidi="ar-SA"/>
              </w:rPr>
              <w:t>Quick run</w:t>
            </w:r>
          </w:p>
        </w:tc>
        <w:tc>
          <w:tcPr>
            <w:tcW w:w="2494" w:type="dxa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 w:val="false"/>
                <w:color w:themeColor="text1" w:val="1E4E85"/>
                <w:kern w:val="0"/>
                <w:sz w:val="14"/>
                <w:szCs w:val="20"/>
                <w:lang w:val="fr-FR" w:eastAsia="en-US" w:bidi="ar-SA"/>
              </w:rPr>
              <w:t>Application</w:t>
            </w:r>
          </w:p>
        </w:tc>
        <w:tc>
          <w:tcPr>
            <w:tcW w:w="2494" w:type="dxa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 w:val="false"/>
                <w:color w:themeColor="text1" w:val="1E4E85"/>
                <w:kern w:val="0"/>
                <w:sz w:val="14"/>
                <w:szCs w:val="20"/>
                <w:lang w:val="fr-FR" w:eastAsia="en-US" w:bidi="ar-SA"/>
              </w:rPr>
              <w:t>À la demande utilisateur</w:t>
            </w:r>
          </w:p>
        </w:tc>
        <w:tc>
          <w:tcPr>
            <w:tcW w:w="2493" w:type="dxa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 w:val="false"/>
                <w:color w:themeColor="text1" w:val="1E4E85"/>
                <w:kern w:val="0"/>
                <w:sz w:val="14"/>
                <w:szCs w:val="20"/>
                <w:lang w:val="fr-FR" w:eastAsia="en-US" w:bidi="ar-SA"/>
              </w:rPr>
              <w:t>Maximum configuré : 10 Mo et 2 000 entités ; limitation de débit</w:t>
            </w:r>
          </w:p>
        </w:tc>
      </w:tr>
      <w:tr>
        <w:trPr/>
        <w:tc>
          <w:tcPr>
            <w:tcW w:w="2494" w:type="dxa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 w:val="false"/>
                <w:color w:themeColor="text1" w:val="1E4E85"/>
                <w:kern w:val="0"/>
                <w:sz w:val="14"/>
                <w:szCs w:val="20"/>
                <w:lang w:val="fr-FR" w:eastAsia="en-US" w:bidi="ar-SA"/>
              </w:rPr>
              <w:t>Runs CLIMADA complets</w:t>
            </w:r>
          </w:p>
        </w:tc>
        <w:tc>
          <w:tcPr>
            <w:tcW w:w="2494" w:type="dxa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 w:val="false"/>
                <w:color w:themeColor="text1" w:val="1E4E85"/>
                <w:kern w:val="0"/>
                <w:sz w:val="14"/>
                <w:szCs w:val="20"/>
                <w:lang w:val="fr-FR" w:eastAsia="en-US" w:bidi="ar-SA"/>
              </w:rPr>
              <w:t>Back-office scientifique</w:t>
            </w:r>
          </w:p>
        </w:tc>
        <w:tc>
          <w:tcPr>
            <w:tcW w:w="2494" w:type="dxa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 w:val="false"/>
                <w:color w:themeColor="text1" w:val="1E4E85"/>
                <w:kern w:val="0"/>
                <w:sz w:val="14"/>
                <w:szCs w:val="20"/>
                <w:lang w:val="fr-FR" w:eastAsia="en-US" w:bidi="ar-SA"/>
              </w:rPr>
              <w:t>Manuel</w:t>
            </w:r>
          </w:p>
        </w:tc>
        <w:tc>
          <w:tcPr>
            <w:tcW w:w="2493" w:type="dxa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 w:val="false"/>
                <w:color w:themeColor="text1" w:val="1E4E85"/>
                <w:kern w:val="0"/>
                <w:sz w:val="14"/>
                <w:szCs w:val="20"/>
                <w:lang w:val="fr-FR" w:eastAsia="en-US" w:bidi="ar-SA"/>
              </w:rPr>
              <w:t>Hors API publique ; surveillance opérateur et archivage des manifests</w:t>
            </w:r>
          </w:p>
        </w:tc>
      </w:tr>
      <w:tr>
        <w:trPr/>
        <w:tc>
          <w:tcPr>
            <w:tcW w:w="2494" w:type="dxa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 w:val="false"/>
                <w:color w:themeColor="text1" w:val="1E4E85"/>
                <w:kern w:val="0"/>
                <w:sz w:val="14"/>
                <w:szCs w:val="20"/>
                <w:lang w:val="fr-FR" w:eastAsia="en-US" w:bidi="ar-SA"/>
              </w:rPr>
              <w:t>Rebuild/snapshot/publication</w:t>
            </w:r>
          </w:p>
        </w:tc>
        <w:tc>
          <w:tcPr>
            <w:tcW w:w="2494" w:type="dxa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 w:val="false"/>
                <w:color w:themeColor="text1" w:val="1E4E85"/>
                <w:kern w:val="0"/>
                <w:sz w:val="14"/>
                <w:szCs w:val="20"/>
                <w:lang w:val="fr-FR" w:eastAsia="en-US" w:bidi="ar-SA"/>
              </w:rPr>
              <w:t>Back-office</w:t>
            </w:r>
          </w:p>
        </w:tc>
        <w:tc>
          <w:tcPr>
            <w:tcW w:w="2494" w:type="dxa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 w:val="false"/>
                <w:color w:themeColor="text1" w:val="1E4E85"/>
                <w:kern w:val="0"/>
                <w:sz w:val="14"/>
                <w:szCs w:val="20"/>
                <w:lang w:val="fr-FR" w:eastAsia="en-US" w:bidi="ar-SA"/>
              </w:rPr>
              <w:t>Manuel</w:t>
            </w:r>
          </w:p>
        </w:tc>
        <w:tc>
          <w:tcPr>
            <w:tcW w:w="2493" w:type="dxa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 w:val="false"/>
                <w:color w:themeColor="text1" w:val="1E4E85"/>
                <w:kern w:val="0"/>
                <w:sz w:val="14"/>
                <w:szCs w:val="20"/>
                <w:lang w:val="fr-FR" w:eastAsia="en-US" w:bidi="ar-SA"/>
              </w:rPr>
              <w:t>Artefacts frontend validés, snapshot de run, puis déploiement</w:t>
            </w:r>
          </w:p>
        </w:tc>
      </w:tr>
      <w:tr>
        <w:trPr/>
        <w:tc>
          <w:tcPr>
            <w:tcW w:w="2494" w:type="dxa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 w:val="false"/>
                <w:color w:themeColor="text1" w:val="1E4E85"/>
                <w:kern w:val="0"/>
                <w:sz w:val="14"/>
                <w:szCs w:val="20"/>
                <w:lang w:val="fr-FR" w:eastAsia="en-US" w:bidi="ar-SA"/>
              </w:rPr>
              <w:t>Worker Complete Analysis</w:t>
            </w:r>
          </w:p>
        </w:tc>
        <w:tc>
          <w:tcPr>
            <w:tcW w:w="2494" w:type="dxa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 w:val="false"/>
                <w:color w:themeColor="text1" w:val="1E4E85"/>
                <w:kern w:val="0"/>
                <w:sz w:val="14"/>
                <w:szCs w:val="20"/>
                <w:lang w:val="fr-FR" w:eastAsia="en-US" w:bidi="ar-SA"/>
              </w:rPr>
              <w:t>Site cible</w:t>
            </w:r>
          </w:p>
        </w:tc>
        <w:tc>
          <w:tcPr>
            <w:tcW w:w="2494" w:type="dxa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 w:val="false"/>
                <w:color w:themeColor="text1" w:val="1E4E85"/>
                <w:kern w:val="0"/>
                <w:sz w:val="14"/>
                <w:szCs w:val="20"/>
                <w:lang w:val="fr-FR" w:eastAsia="en-US" w:bidi="ar-SA"/>
              </w:rPr>
              <w:t>Non installé</w:t>
            </w:r>
          </w:p>
        </w:tc>
        <w:tc>
          <w:tcPr>
            <w:tcW w:w="2493" w:type="dxa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 w:val="false"/>
                <w:color w:themeColor="text1" w:val="1E4E85"/>
                <w:kern w:val="0"/>
                <w:sz w:val="14"/>
                <w:szCs w:val="20"/>
                <w:lang w:val="fr-FR" w:eastAsia="en-US" w:bidi="ar-SA"/>
              </w:rPr>
              <w:t>Les routes historiques POST /runs et /runs/complete sont absentes</w:t>
            </w:r>
          </w:p>
        </w:tc>
      </w:tr>
    </w:tbl>
    <w:p>
      <w:pPr>
        <w:pStyle w:val="Normal"/>
        <w:spacing w:before="0" w:after="80"/>
        <w:rPr>
          <w:i/>
          <w:i/>
          <w:color w:val="7030A0"/>
        </w:rPr>
      </w:pPr>
      <w:r>
        <w:rPr>
          <w:i/>
          <w:color w:val="7030A0"/>
        </w:rPr>
      </w:r>
    </w:p>
    <w:p>
      <w:pPr>
        <w:pStyle w:val="Normal"/>
        <w:spacing w:before="0" w:after="80"/>
        <w:rPr>
          <w:b/>
          <w:i/>
          <w:i/>
          <w:color w:val="7030A0"/>
        </w:rPr>
      </w:pPr>
      <w:r>
        <w:rPr>
          <w:b/>
          <w:i/>
          <w:color w:val="7030A0"/>
        </w:rPr>
      </w:r>
    </w:p>
    <w:p>
      <w:pPr>
        <w:pStyle w:val="Normal"/>
        <w:rPr>
          <w:i/>
          <w:i/>
          <w:color w:val="7030A0"/>
        </w:rPr>
      </w:pPr>
      <w:r>
        <w:rPr>
          <w:i/>
          <w:color w:val="7030A0"/>
        </w:rPr>
      </w:r>
      <w:bookmarkStart w:id="130" w:name="_Hlk203142144"/>
      <w:bookmarkStart w:id="131" w:name="_Hlk203142144"/>
      <w:bookmarkEnd w:id="131"/>
    </w:p>
    <w:p>
      <w:pPr>
        <w:pStyle w:val="Heading2"/>
        <w:numPr>
          <w:ilvl w:val="0"/>
          <w:numId w:val="0"/>
        </w:numPr>
        <w:ind w:hanging="0" w:left="0"/>
        <w:rPr/>
      </w:pPr>
      <w:r>
        <w:rPr/>
      </w:r>
    </w:p>
    <w:p>
      <w:pPr>
        <w:pStyle w:val="Heading1"/>
        <w:rPr/>
      </w:pPr>
      <w:bookmarkStart w:id="132" w:name="__RefHeading___Toc4236_1450298465"/>
      <w:bookmarkStart w:id="133" w:name="_Toc180072752"/>
      <w:bookmarkEnd w:id="132"/>
      <w:r>
        <w:rPr>
          <w:rFonts w:ascii="Arial" w:hAnsi="Arial"/>
        </w:rPr>
        <w:t>Procédures d’arrêt et démarrage</w:t>
      </w:r>
      <w:bookmarkEnd w:id="133"/>
    </w:p>
    <w:p>
      <w:pPr>
        <w:pStyle w:val="Heading2"/>
        <w:ind w:hanging="425" w:left="765"/>
        <w:rPr/>
      </w:pPr>
      <w:bookmarkStart w:id="134" w:name="__RefHeading___Toc4238_1450298465"/>
      <w:bookmarkStart w:id="135" w:name="_Toc180072753"/>
      <w:bookmarkEnd w:id="134"/>
      <w:r>
        <w:rPr>
          <w:rFonts w:ascii="Arial" w:hAnsi="Arial"/>
        </w:rPr>
        <w:t>Arrêt de l’application</w:t>
      </w:r>
      <w:bookmarkEnd w:id="135"/>
    </w:p>
    <w:p>
      <w:pPr>
        <w:pStyle w:val="Normal"/>
        <w:spacing w:before="0" w:after="80"/>
        <w:rPr>
          <w:i/>
          <w:i/>
          <w:color w:val="7030A0"/>
        </w:rPr>
      </w:pPr>
      <w:r>
        <w:rPr>
          <w:rFonts w:ascii="Arial" w:hAnsi="Arial"/>
          <w:b w:val="false"/>
          <w:sz w:val="19"/>
        </w:rPr>
        <w:t>1. Annoncer la maintenance et vérifier qu’aucun quick run ni calcul manuel n’est actif.</w:t>
        <w:br/>
        <w:t>2. Sur un serveur dédié, arrêter l’entrée web : sudo systemctl stop nginx. Si Nginx est mutualisé, désactiver uniquement le vhost SIB puis recharger Nginx.</w:t>
        <w:br/>
        <w:t>3. Arrêter le timer de nettoyage : sudo systemctl stop sib-risk-cleanup.timer.</w:t>
        <w:br/>
        <w:t>4. Arrêter l’API : sudo systemctl stop sib-risk-api.service.</w:t>
        <w:br/>
        <w:t>5. Vérifier : systemctl is-active sib-risk-api.service sib-risk-cleanup.timer ; contrôler qu’aucun processus SIB ne subsiste.</w:t>
        <w:br/>
        <w:t>6. Pour une maintenance de données, conserver une copie cohérente de /var/lib/sib-risk et des artefacts avant modification. Le service sib-risk-worker historique doit rester absent ou désactivé sur la cible.</w:t>
      </w:r>
    </w:p>
    <w:p>
      <w:pPr>
        <w:pStyle w:val="Normal"/>
        <w:rPr>
          <w:i/>
          <w:i/>
          <w:color w:val="7030A0"/>
        </w:rPr>
      </w:pPr>
      <w:r>
        <w:rPr>
          <w:i/>
          <w:color w:val="7030A0"/>
        </w:rPr>
      </w:r>
    </w:p>
    <w:p>
      <w:pPr>
        <w:pStyle w:val="Normal"/>
        <w:rPr>
          <w:color w:val="7030A0"/>
        </w:rPr>
      </w:pPr>
      <w:r>
        <w:rPr>
          <w:color w:val="7030A0"/>
        </w:rPr>
      </w:r>
    </w:p>
    <w:p>
      <w:pPr>
        <w:pStyle w:val="Heading2"/>
        <w:ind w:hanging="425" w:left="765"/>
        <w:rPr/>
      </w:pPr>
      <w:bookmarkStart w:id="136" w:name="__RefHeading___Toc4240_1450298465"/>
      <w:bookmarkStart w:id="137" w:name="_Toc180072754"/>
      <w:bookmarkEnd w:id="136"/>
      <w:r>
        <w:rPr>
          <w:rFonts w:ascii="Arial" w:hAnsi="Arial"/>
        </w:rPr>
        <w:t>Démarrage de l’application</w:t>
      </w:r>
      <w:bookmarkEnd w:id="137"/>
    </w:p>
    <w:p>
      <w:pPr>
        <w:pStyle w:val="Normal"/>
        <w:spacing w:before="0" w:after="80"/>
        <w:rPr>
          <w:i/>
          <w:i/>
          <w:color w:val="7030A0"/>
        </w:rPr>
      </w:pPr>
      <w:r>
        <w:rPr>
          <w:rFonts w:ascii="Arial" w:hAnsi="Arial"/>
          <w:b w:val="false"/>
          <w:sz w:val="19"/>
        </w:rPr>
        <w:t>1. Vérifier le montage des volumes, l’espace disque, les liens data/hazards et les droits sur /var/lib/sib-risk.</w:t>
        <w:br/>
        <w:t>2. Contrôler la configuration : sudo nginx -t et vérifier le fichier d’environnement SIB_RISK_* sans afficher les secrets.</w:t>
        <w:br/>
        <w:t>3. Démarrer l’API : sudo systemctl start sib-risk-api.service.</w:t>
        <w:br/>
        <w:t>4. Tester localement : curl -fsS http://127.0.0.1:8000/api/v1/health.</w:t>
        <w:br/>
        <w:t>5. Démarrer le timer : sudo systemctl start sib-risk-cleanup.timer.</w:t>
        <w:br/>
        <w:t>6. Démarrer ou recharger Nginx : sudo systemctl start nginx (ou sudo systemctl reload nginx si mutualisé).</w:t>
        <w:br/>
        <w:t>7. Tester le domaine HTTPS, l’authentification, une page de chaque territoire et un quick run de faible volume.</w:t>
        <w:br/>
        <w:t>8. Vérifier les journaux et informer les interlocuteurs de la remise en service.</w:t>
      </w:r>
    </w:p>
    <w:p>
      <w:pPr>
        <w:pStyle w:val="Heading1"/>
        <w:rPr/>
      </w:pPr>
      <w:bookmarkStart w:id="138" w:name="__RefHeading___Toc4242_1450298465"/>
      <w:bookmarkStart w:id="139" w:name="_Toc180072755"/>
      <w:bookmarkEnd w:id="138"/>
      <w:r>
        <w:rPr>
          <w:rFonts w:ascii="Arial" w:hAnsi="Arial"/>
        </w:rPr>
        <w:t>Consignes d’exploitation</w:t>
      </w:r>
      <w:bookmarkEnd w:id="139"/>
    </w:p>
    <w:p>
      <w:pPr>
        <w:pStyle w:val="Normal"/>
        <w:rPr/>
      </w:pPr>
      <w:r>
        <w:rPr/>
      </w:r>
    </w:p>
    <w:p>
      <w:pPr>
        <w:pStyle w:val="Heading2"/>
        <w:ind w:hanging="425" w:left="765"/>
        <w:rPr/>
      </w:pPr>
      <w:bookmarkStart w:id="140" w:name="__RefHeading___Toc4244_1450298465"/>
      <w:bookmarkStart w:id="141" w:name="_Toc180072756"/>
      <w:bookmarkEnd w:id="140"/>
      <w:r>
        <w:rPr>
          <w:rFonts w:ascii="Arial" w:hAnsi="Arial"/>
        </w:rPr>
        <w:t>Supervision mise en place</w:t>
      </w:r>
      <w:bookmarkEnd w:id="141"/>
    </w:p>
    <w:p>
      <w:pPr>
        <w:pStyle w:val="Normal"/>
        <w:spacing w:before="0" w:after="80"/>
        <w:rPr>
          <w:i/>
          <w:i/>
          <w:color w:val="7030A0"/>
        </w:rPr>
      </w:pPr>
      <w:r>
        <w:rPr>
          <w:rFonts w:ascii="Arial" w:hAnsi="Arial"/>
          <w:b w:val="false"/>
          <w:sz w:val="19"/>
        </w:rPr>
        <w:t>La supervision doit couvrir les composants, la capacité, la sécurité, les sauvegardes et l’intégrité des données. Seuils et destinataires sont à intégrer à l’outil OFB :</w:t>
      </w:r>
    </w:p>
    <w:tbl>
      <w:tblPr>
        <w:tblStyle w:val="Grilledutableau"/>
        <w:tblW w:w="9976" w:type="dxa"/>
        <w:jc w:val="left"/>
        <w:tblInd w:w="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Look w:val="04a0" w:noHBand="0" w:noVBand="1" w:firstColumn="1" w:lastRow="0" w:lastColumn="0" w:firstRow="1"/>
      </w:tblPr>
      <w:tblGrid>
        <w:gridCol w:w="2494"/>
        <w:gridCol w:w="2494"/>
        <w:gridCol w:w="2494"/>
        <w:gridCol w:w="2493"/>
      </w:tblGrid>
      <w:tr>
        <w:trPr>
          <w:tblHeader w:val="true"/>
        </w:trPr>
        <w:tc>
          <w:tcPr>
            <w:tcW w:w="2494" w:type="dxa"/>
            <w:tcBorders/>
            <w:shd w:fill="2F5597"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/>
                <w:color w:val="FFFFFF"/>
                <w:kern w:val="0"/>
                <w:sz w:val="13"/>
                <w:szCs w:val="20"/>
                <w:lang w:val="fr-FR" w:eastAsia="en-US" w:bidi="ar-SA"/>
              </w:rPr>
              <w:t>Élément</w:t>
            </w:r>
          </w:p>
        </w:tc>
        <w:tc>
          <w:tcPr>
            <w:tcW w:w="2494" w:type="dxa"/>
            <w:tcBorders/>
            <w:shd w:fill="2F5597"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/>
                <w:color w:val="FFFFFF"/>
                <w:kern w:val="0"/>
                <w:sz w:val="13"/>
                <w:szCs w:val="20"/>
                <w:lang w:val="fr-FR" w:eastAsia="en-US" w:bidi="ar-SA"/>
              </w:rPr>
              <w:t>Contrôle</w:t>
            </w:r>
          </w:p>
        </w:tc>
        <w:tc>
          <w:tcPr>
            <w:tcW w:w="2494" w:type="dxa"/>
            <w:tcBorders/>
            <w:shd w:fill="2F5597"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/>
                <w:color w:val="FFFFFF"/>
                <w:kern w:val="0"/>
                <w:sz w:val="13"/>
                <w:szCs w:val="20"/>
                <w:lang w:val="fr-FR" w:eastAsia="en-US" w:bidi="ar-SA"/>
              </w:rPr>
              <w:t>Seuil / fréquence proposés</w:t>
            </w:r>
          </w:p>
        </w:tc>
        <w:tc>
          <w:tcPr>
            <w:tcW w:w="2493" w:type="dxa"/>
            <w:tcBorders/>
            <w:shd w:fill="2F5597"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/>
                <w:color w:val="FFFFFF"/>
                <w:kern w:val="0"/>
                <w:sz w:val="13"/>
                <w:szCs w:val="20"/>
                <w:lang w:val="fr-FR" w:eastAsia="en-US" w:bidi="ar-SA"/>
              </w:rPr>
              <w:t>Action initiale</w:t>
            </w:r>
          </w:p>
        </w:tc>
      </w:tr>
      <w:tr>
        <w:trPr/>
        <w:tc>
          <w:tcPr>
            <w:tcW w:w="2494" w:type="dxa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 w:val="false"/>
                <w:color w:themeColor="text1" w:val="1E4E85"/>
                <w:kern w:val="0"/>
                <w:sz w:val="13"/>
                <w:szCs w:val="20"/>
                <w:lang w:val="fr-FR" w:eastAsia="en-US" w:bidi="ar-SA"/>
              </w:rPr>
              <w:t>Disponibilité web</w:t>
            </w:r>
          </w:p>
        </w:tc>
        <w:tc>
          <w:tcPr>
            <w:tcW w:w="2494" w:type="dxa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 w:val="false"/>
                <w:color w:themeColor="text1" w:val="1E4E85"/>
                <w:kern w:val="0"/>
                <w:sz w:val="13"/>
                <w:szCs w:val="20"/>
                <w:lang w:val="fr-FR" w:eastAsia="en-US" w:bidi="ar-SA"/>
              </w:rPr>
              <w:t>HTTPS et page d’accueil</w:t>
            </w:r>
          </w:p>
        </w:tc>
        <w:tc>
          <w:tcPr>
            <w:tcW w:w="2494" w:type="dxa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 w:val="false"/>
                <w:color w:themeColor="text1" w:val="1E4E85"/>
                <w:kern w:val="0"/>
                <w:sz w:val="13"/>
                <w:szCs w:val="20"/>
                <w:lang w:val="fr-FR" w:eastAsia="en-US" w:bidi="ar-SA"/>
              </w:rPr>
              <w:t>Toutes les 5 min</w:t>
            </w:r>
          </w:p>
        </w:tc>
        <w:tc>
          <w:tcPr>
            <w:tcW w:w="2493" w:type="dxa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 w:val="false"/>
                <w:color w:themeColor="text1" w:val="1E4E85"/>
                <w:kern w:val="0"/>
                <w:sz w:val="13"/>
                <w:szCs w:val="20"/>
                <w:lang w:val="fr-FR" w:eastAsia="en-US" w:bidi="ar-SA"/>
              </w:rPr>
              <w:t>Tester DNS/TLS/Nginx et code HTTP</w:t>
            </w:r>
          </w:p>
        </w:tc>
      </w:tr>
      <w:tr>
        <w:trPr/>
        <w:tc>
          <w:tcPr>
            <w:tcW w:w="2494" w:type="dxa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 w:val="false"/>
                <w:color w:themeColor="text1" w:val="1E4E85"/>
                <w:kern w:val="0"/>
                <w:sz w:val="13"/>
                <w:szCs w:val="20"/>
                <w:lang w:val="fr-FR" w:eastAsia="en-US" w:bidi="ar-SA"/>
              </w:rPr>
              <w:t>API</w:t>
            </w:r>
          </w:p>
        </w:tc>
        <w:tc>
          <w:tcPr>
            <w:tcW w:w="2494" w:type="dxa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 w:val="false"/>
                <w:color w:themeColor="text1" w:val="1E4E85"/>
                <w:kern w:val="0"/>
                <w:sz w:val="13"/>
                <w:szCs w:val="20"/>
                <w:lang w:val="fr-FR" w:eastAsia="en-US" w:bidi="ar-SA"/>
              </w:rPr>
              <w:t>GET /api/v1/health</w:t>
            </w:r>
          </w:p>
        </w:tc>
        <w:tc>
          <w:tcPr>
            <w:tcW w:w="2494" w:type="dxa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 w:val="false"/>
                <w:color w:themeColor="text1" w:val="1E4E85"/>
                <w:kern w:val="0"/>
                <w:sz w:val="13"/>
                <w:szCs w:val="20"/>
                <w:lang w:val="fr-FR" w:eastAsia="en-US" w:bidi="ar-SA"/>
              </w:rPr>
              <w:t>Toutes les 5 min</w:t>
            </w:r>
          </w:p>
        </w:tc>
        <w:tc>
          <w:tcPr>
            <w:tcW w:w="2493" w:type="dxa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 w:val="false"/>
                <w:color w:themeColor="text1" w:val="1E4E85"/>
                <w:kern w:val="0"/>
                <w:sz w:val="13"/>
                <w:szCs w:val="20"/>
                <w:lang w:val="fr-FR" w:eastAsia="en-US" w:bidi="ar-SA"/>
              </w:rPr>
              <w:t>Contrôler sib-risk-api et journalctl</w:t>
            </w:r>
          </w:p>
        </w:tc>
      </w:tr>
      <w:tr>
        <w:trPr/>
        <w:tc>
          <w:tcPr>
            <w:tcW w:w="2494" w:type="dxa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 w:val="false"/>
                <w:color w:themeColor="text1" w:val="1E4E85"/>
                <w:kern w:val="0"/>
                <w:sz w:val="13"/>
                <w:szCs w:val="20"/>
                <w:lang w:val="fr-FR" w:eastAsia="en-US" w:bidi="ar-SA"/>
              </w:rPr>
              <w:t>Services</w:t>
            </w:r>
          </w:p>
        </w:tc>
        <w:tc>
          <w:tcPr>
            <w:tcW w:w="2494" w:type="dxa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 w:val="false"/>
                <w:color w:themeColor="text1" w:val="1E4E85"/>
                <w:kern w:val="0"/>
                <w:sz w:val="13"/>
                <w:szCs w:val="20"/>
                <w:lang w:val="fr-FR" w:eastAsia="en-US" w:bidi="ar-SA"/>
              </w:rPr>
              <w:t>nginx, sib-risk-api, cleanup.timer</w:t>
            </w:r>
          </w:p>
        </w:tc>
        <w:tc>
          <w:tcPr>
            <w:tcW w:w="2494" w:type="dxa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 w:val="false"/>
                <w:color w:themeColor="text1" w:val="1E4E85"/>
                <w:kern w:val="0"/>
                <w:sz w:val="13"/>
                <w:szCs w:val="20"/>
                <w:lang w:val="fr-FR" w:eastAsia="en-US" w:bidi="ar-SA"/>
              </w:rPr>
              <w:t>État continu</w:t>
            </w:r>
          </w:p>
        </w:tc>
        <w:tc>
          <w:tcPr>
            <w:tcW w:w="2493" w:type="dxa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 w:val="false"/>
                <w:color w:themeColor="text1" w:val="1E4E85"/>
                <w:kern w:val="0"/>
                <w:sz w:val="13"/>
                <w:szCs w:val="20"/>
                <w:lang w:val="fr-FR" w:eastAsia="en-US" w:bidi="ar-SA"/>
              </w:rPr>
              <w:t>Relancer uniquement après diagnostic</w:t>
            </w:r>
          </w:p>
        </w:tc>
      </w:tr>
      <w:tr>
        <w:trPr/>
        <w:tc>
          <w:tcPr>
            <w:tcW w:w="2494" w:type="dxa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 w:val="false"/>
                <w:color w:themeColor="text1" w:val="1E4E85"/>
                <w:kern w:val="0"/>
                <w:sz w:val="13"/>
                <w:szCs w:val="20"/>
                <w:lang w:val="fr-FR" w:eastAsia="en-US" w:bidi="ar-SA"/>
              </w:rPr>
              <w:t>Disque</w:t>
            </w:r>
          </w:p>
        </w:tc>
        <w:tc>
          <w:tcPr>
            <w:tcW w:w="2494" w:type="dxa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 w:val="false"/>
                <w:color w:themeColor="text1" w:val="1E4E85"/>
                <w:kern w:val="0"/>
                <w:sz w:val="13"/>
                <w:szCs w:val="20"/>
                <w:lang w:val="fr-FR" w:eastAsia="en-US" w:bidi="ar-SA"/>
              </w:rPr>
              <w:t>/, données, outputs, jobs</w:t>
            </w:r>
          </w:p>
        </w:tc>
        <w:tc>
          <w:tcPr>
            <w:tcW w:w="2494" w:type="dxa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 w:val="false"/>
                <w:color w:themeColor="text1" w:val="1E4E85"/>
                <w:kern w:val="0"/>
                <w:sz w:val="13"/>
                <w:szCs w:val="20"/>
                <w:lang w:val="fr-FR" w:eastAsia="en-US" w:bidi="ar-SA"/>
              </w:rPr>
              <w:t>Avert. 75 %, critique 85 %, urgence 90 %</w:t>
            </w:r>
          </w:p>
        </w:tc>
        <w:tc>
          <w:tcPr>
            <w:tcW w:w="2493" w:type="dxa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 w:val="false"/>
                <w:color w:themeColor="text1" w:val="1E4E85"/>
                <w:kern w:val="0"/>
                <w:sz w:val="13"/>
                <w:szCs w:val="20"/>
                <w:lang w:val="fr-FR" w:eastAsia="en-US" w:bidi="ar-SA"/>
              </w:rPr>
              <w:t>Suspendre les runs lourds, qualifier puis archiver/purger</w:t>
            </w:r>
          </w:p>
        </w:tc>
      </w:tr>
      <w:tr>
        <w:trPr/>
        <w:tc>
          <w:tcPr>
            <w:tcW w:w="2494" w:type="dxa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 w:val="false"/>
                <w:color w:themeColor="text1" w:val="1E4E85"/>
                <w:kern w:val="0"/>
                <w:sz w:val="13"/>
                <w:szCs w:val="20"/>
                <w:lang w:val="fr-FR" w:eastAsia="en-US" w:bidi="ar-SA"/>
              </w:rPr>
              <w:t>Mémoire / CPU</w:t>
            </w:r>
          </w:p>
        </w:tc>
        <w:tc>
          <w:tcPr>
            <w:tcW w:w="2494" w:type="dxa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 w:val="false"/>
                <w:color w:themeColor="text1" w:val="1E4E85"/>
                <w:kern w:val="0"/>
                <w:sz w:val="13"/>
                <w:szCs w:val="20"/>
                <w:lang w:val="fr-FR" w:eastAsia="en-US" w:bidi="ar-SA"/>
              </w:rPr>
              <w:t>RAM, swap, load, OOM</w:t>
            </w:r>
          </w:p>
        </w:tc>
        <w:tc>
          <w:tcPr>
            <w:tcW w:w="2494" w:type="dxa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 w:val="false"/>
                <w:color w:themeColor="text1" w:val="1E4E85"/>
                <w:kern w:val="0"/>
                <w:sz w:val="13"/>
                <w:szCs w:val="20"/>
                <w:lang w:val="fr-FR" w:eastAsia="en-US" w:bidi="ar-SA"/>
              </w:rPr>
              <w:t>Avertissement soutenu &gt;80 %</w:t>
            </w:r>
          </w:p>
        </w:tc>
        <w:tc>
          <w:tcPr>
            <w:tcW w:w="2493" w:type="dxa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 w:val="false"/>
                <w:color w:themeColor="text1" w:val="1E4E85"/>
                <w:kern w:val="0"/>
                <w:sz w:val="13"/>
                <w:szCs w:val="20"/>
                <w:lang w:val="fr-FR" w:eastAsia="en-US" w:bidi="ar-SA"/>
              </w:rPr>
              <w:t>Identifier le run/processus, éviter le redémarrage aveugle</w:t>
            </w:r>
          </w:p>
        </w:tc>
      </w:tr>
      <w:tr>
        <w:trPr/>
        <w:tc>
          <w:tcPr>
            <w:tcW w:w="2494" w:type="dxa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 w:val="false"/>
                <w:color w:themeColor="text1" w:val="1E4E85"/>
                <w:kern w:val="0"/>
                <w:sz w:val="13"/>
                <w:szCs w:val="20"/>
                <w:lang w:val="fr-FR" w:eastAsia="en-US" w:bidi="ar-SA"/>
              </w:rPr>
              <w:t>Journaux</w:t>
            </w:r>
          </w:p>
        </w:tc>
        <w:tc>
          <w:tcPr>
            <w:tcW w:w="2494" w:type="dxa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 w:val="false"/>
                <w:color w:themeColor="text1" w:val="1E4E85"/>
                <w:kern w:val="0"/>
                <w:sz w:val="13"/>
                <w:szCs w:val="20"/>
                <w:lang w:val="fr-FR" w:eastAsia="en-US" w:bidi="ar-SA"/>
              </w:rPr>
              <w:t>Nginx 4xx/5xx/429 et erreurs API</w:t>
            </w:r>
          </w:p>
        </w:tc>
        <w:tc>
          <w:tcPr>
            <w:tcW w:w="2494" w:type="dxa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 w:val="false"/>
                <w:color w:themeColor="text1" w:val="1E4E85"/>
                <w:kern w:val="0"/>
                <w:sz w:val="13"/>
                <w:szCs w:val="20"/>
                <w:lang w:val="fr-FR" w:eastAsia="en-US" w:bidi="ar-SA"/>
              </w:rPr>
              <w:t>Taux anormal sur 5–15 min</w:t>
            </w:r>
          </w:p>
        </w:tc>
        <w:tc>
          <w:tcPr>
            <w:tcW w:w="2493" w:type="dxa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 w:val="false"/>
                <w:color w:themeColor="text1" w:val="1E4E85"/>
                <w:kern w:val="0"/>
                <w:sz w:val="13"/>
                <w:szCs w:val="20"/>
                <w:lang w:val="fr-FR" w:eastAsia="en-US" w:bidi="ar-SA"/>
              </w:rPr>
              <w:t>Corréler accès, journalctl et job_id</w:t>
            </w:r>
          </w:p>
        </w:tc>
      </w:tr>
      <w:tr>
        <w:trPr/>
        <w:tc>
          <w:tcPr>
            <w:tcW w:w="2494" w:type="dxa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 w:val="false"/>
                <w:color w:themeColor="text1" w:val="1E4E85"/>
                <w:kern w:val="0"/>
                <w:sz w:val="13"/>
                <w:szCs w:val="20"/>
                <w:lang w:val="fr-FR" w:eastAsia="en-US" w:bidi="ar-SA"/>
              </w:rPr>
              <w:t>TLS</w:t>
            </w:r>
          </w:p>
        </w:tc>
        <w:tc>
          <w:tcPr>
            <w:tcW w:w="2494" w:type="dxa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 w:val="false"/>
                <w:color w:themeColor="text1" w:val="1E4E85"/>
                <w:kern w:val="0"/>
                <w:sz w:val="13"/>
                <w:szCs w:val="20"/>
                <w:lang w:val="fr-FR" w:eastAsia="en-US" w:bidi="ar-SA"/>
              </w:rPr>
              <w:t>Expiration certificat</w:t>
            </w:r>
          </w:p>
        </w:tc>
        <w:tc>
          <w:tcPr>
            <w:tcW w:w="2494" w:type="dxa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 w:val="false"/>
                <w:color w:themeColor="text1" w:val="1E4E85"/>
                <w:kern w:val="0"/>
                <w:sz w:val="13"/>
                <w:szCs w:val="20"/>
                <w:lang w:val="fr-FR" w:eastAsia="en-US" w:bidi="ar-SA"/>
              </w:rPr>
              <w:t>Alerte à J-30</w:t>
            </w:r>
          </w:p>
        </w:tc>
        <w:tc>
          <w:tcPr>
            <w:tcW w:w="2493" w:type="dxa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 w:val="false"/>
                <w:color w:themeColor="text1" w:val="1E4E85"/>
                <w:kern w:val="0"/>
                <w:sz w:val="13"/>
                <w:szCs w:val="20"/>
                <w:lang w:val="fr-FR" w:eastAsia="en-US" w:bidi="ar-SA"/>
              </w:rPr>
              <w:t>Renouveler via PKI/ACME OFB</w:t>
            </w:r>
          </w:p>
        </w:tc>
      </w:tr>
      <w:tr>
        <w:trPr/>
        <w:tc>
          <w:tcPr>
            <w:tcW w:w="2494" w:type="dxa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 w:val="false"/>
                <w:color w:themeColor="text1" w:val="1E4E85"/>
                <w:kern w:val="0"/>
                <w:sz w:val="13"/>
                <w:szCs w:val="20"/>
                <w:lang w:val="fr-FR" w:eastAsia="en-US" w:bidi="ar-SA"/>
              </w:rPr>
              <w:t>Sauvegardes</w:t>
            </w:r>
          </w:p>
        </w:tc>
        <w:tc>
          <w:tcPr>
            <w:tcW w:w="2494" w:type="dxa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 w:val="false"/>
                <w:color w:themeColor="text1" w:val="1E4E85"/>
                <w:kern w:val="0"/>
                <w:sz w:val="13"/>
                <w:szCs w:val="20"/>
                <w:lang w:val="fr-FR" w:eastAsia="en-US" w:bidi="ar-SA"/>
              </w:rPr>
              <w:t>Dernière sauvegarde et contrôle</w:t>
            </w:r>
          </w:p>
        </w:tc>
        <w:tc>
          <w:tcPr>
            <w:tcW w:w="2494" w:type="dxa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 w:val="false"/>
                <w:color w:themeColor="text1" w:val="1E4E85"/>
                <w:kern w:val="0"/>
                <w:sz w:val="13"/>
                <w:szCs w:val="20"/>
                <w:lang w:val="fr-FR" w:eastAsia="en-US" w:bidi="ar-SA"/>
              </w:rPr>
              <w:t>Chaque jour / chaque semaine</w:t>
            </w:r>
          </w:p>
        </w:tc>
        <w:tc>
          <w:tcPr>
            <w:tcW w:w="2493" w:type="dxa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 w:val="false"/>
                <w:color w:themeColor="text1" w:val="1E4E85"/>
                <w:kern w:val="0"/>
                <w:sz w:val="13"/>
                <w:szCs w:val="20"/>
                <w:lang w:val="fr-FR" w:eastAsia="en-US" w:bidi="ar-SA"/>
              </w:rPr>
              <w:t>Relancer, vérifier le dépôt, tester la restauration</w:t>
            </w:r>
          </w:p>
        </w:tc>
      </w:tr>
      <w:tr>
        <w:trPr/>
        <w:tc>
          <w:tcPr>
            <w:tcW w:w="2494" w:type="dxa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 w:val="false"/>
                <w:color w:themeColor="text1" w:val="1E4E85"/>
                <w:kern w:val="0"/>
                <w:sz w:val="13"/>
                <w:szCs w:val="20"/>
                <w:lang w:val="fr-FR" w:eastAsia="en-US" w:bidi="ar-SA"/>
              </w:rPr>
              <w:t>Données</w:t>
            </w:r>
          </w:p>
        </w:tc>
        <w:tc>
          <w:tcPr>
            <w:tcW w:w="2494" w:type="dxa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 w:val="false"/>
                <w:color w:themeColor="text1" w:val="1E4E85"/>
                <w:kern w:val="0"/>
                <w:sz w:val="13"/>
                <w:szCs w:val="20"/>
                <w:lang w:val="fr-FR" w:eastAsia="en-US" w:bidi="ar-SA"/>
              </w:rPr>
              <w:t>Liens symboliques et fichiers critiques</w:t>
            </w:r>
          </w:p>
        </w:tc>
        <w:tc>
          <w:tcPr>
            <w:tcW w:w="2494" w:type="dxa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 w:val="false"/>
                <w:color w:themeColor="text1" w:val="1E4E85"/>
                <w:kern w:val="0"/>
                <w:sz w:val="13"/>
                <w:szCs w:val="20"/>
                <w:lang w:val="fr-FR" w:eastAsia="en-US" w:bidi="ar-SA"/>
              </w:rPr>
              <w:t>Au démarrage et quotidien</w:t>
            </w:r>
          </w:p>
        </w:tc>
        <w:tc>
          <w:tcPr>
            <w:tcW w:w="2493" w:type="dxa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 w:val="false"/>
                <w:color w:themeColor="text1" w:val="1E4E85"/>
                <w:kern w:val="0"/>
                <w:sz w:val="13"/>
                <w:szCs w:val="20"/>
                <w:lang w:val="fr-FR" w:eastAsia="en-US" w:bidi="ar-SA"/>
              </w:rPr>
              <w:t>Vérifier readlink -f, montages et permissions</w:t>
            </w:r>
          </w:p>
        </w:tc>
      </w:tr>
      <w:tr>
        <w:trPr/>
        <w:tc>
          <w:tcPr>
            <w:tcW w:w="2494" w:type="dxa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 w:val="false"/>
                <w:color w:themeColor="text1" w:val="1E4E85"/>
                <w:kern w:val="0"/>
                <w:sz w:val="13"/>
                <w:szCs w:val="20"/>
                <w:lang w:val="fr-FR" w:eastAsia="en-US" w:bidi="ar-SA"/>
              </w:rPr>
              <w:t>SQLite/jobs</w:t>
            </w:r>
          </w:p>
        </w:tc>
        <w:tc>
          <w:tcPr>
            <w:tcW w:w="2494" w:type="dxa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 w:val="false"/>
                <w:color w:themeColor="text1" w:val="1E4E85"/>
                <w:kern w:val="0"/>
                <w:sz w:val="13"/>
                <w:szCs w:val="20"/>
                <w:lang w:val="fr-FR" w:eastAsia="en-US" w:bidi="ar-SA"/>
              </w:rPr>
              <w:t>Taille, verrous, erreurs, purge</w:t>
            </w:r>
          </w:p>
        </w:tc>
        <w:tc>
          <w:tcPr>
            <w:tcW w:w="2494" w:type="dxa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 w:val="false"/>
                <w:color w:themeColor="text1" w:val="1E4E85"/>
                <w:kern w:val="0"/>
                <w:sz w:val="13"/>
                <w:szCs w:val="20"/>
                <w:lang w:val="fr-FR" w:eastAsia="en-US" w:bidi="ar-SA"/>
              </w:rPr>
              <w:t>Quotidien</w:t>
            </w:r>
          </w:p>
        </w:tc>
        <w:tc>
          <w:tcPr>
            <w:tcW w:w="2493" w:type="dxa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 w:val="false"/>
                <w:color w:themeColor="text1" w:val="1E4E85"/>
                <w:kern w:val="0"/>
                <w:sz w:val="13"/>
                <w:szCs w:val="20"/>
                <w:lang w:val="fr-FR" w:eastAsia="en-US" w:bidi="ar-SA"/>
              </w:rPr>
              <w:t>Sauvegarder avant réparation ; contrôler le timer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ind w:hanging="425" w:left="765"/>
        <w:rPr/>
      </w:pPr>
      <w:bookmarkStart w:id="142" w:name="__RefHeading___Toc4246_1450298465"/>
      <w:bookmarkStart w:id="143" w:name="_Toc180072757"/>
      <w:bookmarkEnd w:id="142"/>
      <w:r>
        <w:rPr>
          <w:rFonts w:ascii="Arial" w:hAnsi="Arial"/>
        </w:rPr>
        <w:t>Consignes d’exploitation</w:t>
      </w:r>
      <w:bookmarkEnd w:id="143"/>
    </w:p>
    <w:p>
      <w:pPr>
        <w:pStyle w:val="Normal"/>
        <w:rPr/>
      </w:pPr>
      <w:r>
        <w:rPr/>
      </w:r>
    </w:p>
    <w:p>
      <w:pPr>
        <w:pStyle w:val="Normal"/>
        <w:spacing w:before="0" w:after="80"/>
        <w:rPr>
          <w:i/>
          <w:i/>
          <w:color w:val="7030A0"/>
        </w:rPr>
      </w:pPr>
      <w:r>
        <w:rPr>
          <w:rFonts w:ascii="Arial" w:hAnsi="Arial"/>
          <w:b w:val="false"/>
          <w:sz w:val="19"/>
        </w:rPr>
        <w:t>Toute alerte doit être horodatée, qualifiée et consignée. Ne supprimer ni artefact scientifique ni données utilisateur sans validation et sauvegarde. Les premières actions sont détaillées ci-dessous ; en cas d’échec, escalader vers le référent Infrastructure puis les contacts projet.</w:t>
      </w:r>
    </w:p>
    <w:tbl>
      <w:tblPr>
        <w:tblStyle w:val="Grilledutableau"/>
        <w:tblW w:w="9979" w:type="dxa"/>
        <w:jc w:val="left"/>
        <w:tblInd w:w="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Look w:val="04a0" w:noHBand="0" w:noVBand="1" w:firstColumn="1" w:lastRow="0" w:lastColumn="0" w:firstRow="1"/>
      </w:tblPr>
      <w:tblGrid>
        <w:gridCol w:w="3326"/>
        <w:gridCol w:w="3326"/>
        <w:gridCol w:w="3327"/>
      </w:tblGrid>
      <w:tr>
        <w:trPr>
          <w:tblHeader w:val="true"/>
        </w:trPr>
        <w:tc>
          <w:tcPr>
            <w:tcW w:w="3326" w:type="dxa"/>
            <w:tcBorders/>
            <w:shd w:fill="2F5597"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/>
                <w:color w:val="FFFFFF"/>
                <w:kern w:val="0"/>
                <w:sz w:val="13"/>
                <w:szCs w:val="20"/>
                <w:lang w:val="fr-FR" w:eastAsia="en-US" w:bidi="ar-SA"/>
              </w:rPr>
              <w:t>Alerte</w:t>
            </w:r>
          </w:p>
        </w:tc>
        <w:tc>
          <w:tcPr>
            <w:tcW w:w="3326" w:type="dxa"/>
            <w:tcBorders/>
            <w:shd w:fill="2F5597"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/>
                <w:color w:val="FFFFFF"/>
                <w:kern w:val="0"/>
                <w:sz w:val="13"/>
                <w:szCs w:val="20"/>
                <w:lang w:val="fr-FR" w:eastAsia="en-US" w:bidi="ar-SA"/>
              </w:rPr>
              <w:t>Diagnostic</w:t>
            </w:r>
          </w:p>
        </w:tc>
        <w:tc>
          <w:tcPr>
            <w:tcW w:w="3327" w:type="dxa"/>
            <w:tcBorders/>
            <w:shd w:fill="2F5597"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/>
                <w:color w:val="FFFFFF"/>
                <w:kern w:val="0"/>
                <w:sz w:val="13"/>
                <w:szCs w:val="20"/>
                <w:lang w:val="fr-FR" w:eastAsia="en-US" w:bidi="ar-SA"/>
              </w:rPr>
              <w:t>Consigne</w:t>
            </w:r>
          </w:p>
        </w:tc>
      </w:tr>
      <w:tr>
        <w:trPr/>
        <w:tc>
          <w:tcPr>
            <w:tcW w:w="3326" w:type="dxa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 w:val="false"/>
                <w:color w:themeColor="text1" w:val="1E4E85"/>
                <w:kern w:val="0"/>
                <w:sz w:val="13"/>
                <w:szCs w:val="20"/>
                <w:lang w:val="fr-FR" w:eastAsia="en-US" w:bidi="ar-SA"/>
              </w:rPr>
              <w:t>API indisponible</w:t>
            </w:r>
          </w:p>
        </w:tc>
        <w:tc>
          <w:tcPr>
            <w:tcW w:w="3326" w:type="dxa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 w:val="false"/>
                <w:color w:themeColor="text1" w:val="1E4E85"/>
                <w:kern w:val="0"/>
                <w:sz w:val="13"/>
                <w:szCs w:val="20"/>
                <w:lang w:val="fr-FR" w:eastAsia="en-US" w:bidi="ar-SA"/>
              </w:rPr>
              <w:t>systemctl status sib-risk-api ; journalctl -u sib-risk-api</w:t>
            </w:r>
          </w:p>
        </w:tc>
        <w:tc>
          <w:tcPr>
            <w:tcW w:w="3327" w:type="dxa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 w:val="false"/>
                <w:color w:themeColor="text1" w:val="1E4E85"/>
                <w:kern w:val="0"/>
                <w:sz w:val="13"/>
                <w:szCs w:val="20"/>
                <w:lang w:val="fr-FR" w:eastAsia="en-US" w:bidi="ar-SA"/>
              </w:rPr>
              <w:t>Corriger configuration/droits/données, puis redémarrer et tester /health</w:t>
            </w:r>
          </w:p>
        </w:tc>
      </w:tr>
      <w:tr>
        <w:trPr/>
        <w:tc>
          <w:tcPr>
            <w:tcW w:w="3326" w:type="dxa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 w:val="false"/>
                <w:color w:themeColor="text1" w:val="1E4E85"/>
                <w:kern w:val="0"/>
                <w:sz w:val="13"/>
                <w:szCs w:val="20"/>
                <w:lang w:val="fr-FR" w:eastAsia="en-US" w:bidi="ar-SA"/>
              </w:rPr>
              <w:t>Erreur Nginx / 5xx</w:t>
            </w:r>
          </w:p>
        </w:tc>
        <w:tc>
          <w:tcPr>
            <w:tcW w:w="3326" w:type="dxa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 w:val="false"/>
                <w:color w:themeColor="text1" w:val="1E4E85"/>
                <w:kern w:val="0"/>
                <w:sz w:val="13"/>
                <w:szCs w:val="20"/>
                <w:lang w:val="fr-FR" w:eastAsia="en-US" w:bidi="ar-SA"/>
              </w:rPr>
              <w:t>sudo nginx -t ; journaux Nginx ; état API</w:t>
            </w:r>
          </w:p>
        </w:tc>
        <w:tc>
          <w:tcPr>
            <w:tcW w:w="3327" w:type="dxa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 w:val="false"/>
                <w:color w:themeColor="text1" w:val="1E4E85"/>
                <w:kern w:val="0"/>
                <w:sz w:val="13"/>
                <w:szCs w:val="20"/>
                <w:lang w:val="fr-FR" w:eastAsia="en-US" w:bidi="ar-SA"/>
              </w:rPr>
              <w:t>Ne recharger qu’après un nginx -t réussi ; vérifier le proxy 127.0.0.1:8000</w:t>
            </w:r>
          </w:p>
        </w:tc>
      </w:tr>
      <w:tr>
        <w:trPr/>
        <w:tc>
          <w:tcPr>
            <w:tcW w:w="3326" w:type="dxa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 w:val="false"/>
                <w:color w:themeColor="text1" w:val="1E4E85"/>
                <w:kern w:val="0"/>
                <w:sz w:val="13"/>
                <w:szCs w:val="20"/>
                <w:lang w:val="fr-FR" w:eastAsia="en-US" w:bidi="ar-SA"/>
              </w:rPr>
              <w:t>Disque plein</w:t>
            </w:r>
          </w:p>
        </w:tc>
        <w:tc>
          <w:tcPr>
            <w:tcW w:w="3326" w:type="dxa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 w:val="false"/>
                <w:color w:themeColor="text1" w:val="1E4E85"/>
                <w:kern w:val="0"/>
                <w:sz w:val="13"/>
                <w:szCs w:val="20"/>
                <w:lang w:val="fr-FR" w:eastAsia="en-US" w:bidi="ar-SA"/>
              </w:rPr>
              <w:t>df -h ; du ciblé sur outputs, logs, jobs</w:t>
            </w:r>
          </w:p>
        </w:tc>
        <w:tc>
          <w:tcPr>
            <w:tcW w:w="3327" w:type="dxa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 w:val="false"/>
                <w:color w:themeColor="text1" w:val="1E4E85"/>
                <w:kern w:val="0"/>
                <w:sz w:val="13"/>
                <w:szCs w:val="20"/>
                <w:lang w:val="fr-FR" w:eastAsia="en-US" w:bidi="ar-SA"/>
              </w:rPr>
              <w:t>Arrêter les runs lourds ; sauvegarder ; appliquer une purge validée et traçable</w:t>
            </w:r>
          </w:p>
        </w:tc>
      </w:tr>
      <w:tr>
        <w:trPr/>
        <w:tc>
          <w:tcPr>
            <w:tcW w:w="3326" w:type="dxa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 w:val="false"/>
                <w:color w:themeColor="text1" w:val="1E4E85"/>
                <w:kern w:val="0"/>
                <w:sz w:val="13"/>
                <w:szCs w:val="20"/>
                <w:lang w:val="fr-FR" w:eastAsia="en-US" w:bidi="ar-SA"/>
              </w:rPr>
              <w:t>Donnée/hazard absent</w:t>
            </w:r>
          </w:p>
        </w:tc>
        <w:tc>
          <w:tcPr>
            <w:tcW w:w="3326" w:type="dxa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 w:val="false"/>
                <w:color w:themeColor="text1" w:val="1E4E85"/>
                <w:kern w:val="0"/>
                <w:sz w:val="13"/>
                <w:szCs w:val="20"/>
                <w:lang w:val="fr-FR" w:eastAsia="en-US" w:bidi="ar-SA"/>
              </w:rPr>
              <w:t>Montages, permissions et readlink -f data/hazards/*</w:t>
            </w:r>
          </w:p>
        </w:tc>
        <w:tc>
          <w:tcPr>
            <w:tcW w:w="3327" w:type="dxa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 w:val="false"/>
                <w:color w:themeColor="text1" w:val="1E4E85"/>
                <w:kern w:val="0"/>
                <w:sz w:val="13"/>
                <w:szCs w:val="20"/>
                <w:lang w:val="fr-FR" w:eastAsia="en-US" w:bidi="ar-SA"/>
              </w:rPr>
              <w:t>Restaurer uploads ou liens ; ne pas activer un fallback scientifique non validé</w:t>
            </w:r>
          </w:p>
        </w:tc>
      </w:tr>
      <w:tr>
        <w:trPr/>
        <w:tc>
          <w:tcPr>
            <w:tcW w:w="3326" w:type="dxa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 w:val="false"/>
                <w:color w:themeColor="text1" w:val="1E4E85"/>
                <w:kern w:val="0"/>
                <w:sz w:val="13"/>
                <w:szCs w:val="20"/>
                <w:lang w:val="fr-FR" w:eastAsia="en-US" w:bidi="ar-SA"/>
              </w:rPr>
              <w:t>SQLite verrouillée/corrompue</w:t>
            </w:r>
          </w:p>
        </w:tc>
        <w:tc>
          <w:tcPr>
            <w:tcW w:w="3326" w:type="dxa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 w:val="false"/>
                <w:color w:themeColor="text1" w:val="1E4E85"/>
                <w:kern w:val="0"/>
                <w:sz w:val="13"/>
                <w:szCs w:val="20"/>
                <w:lang w:val="fr-FR" w:eastAsia="en-US" w:bidi="ar-SA"/>
              </w:rPr>
              <w:t>Journaux API, fichiers sqlite3/-wal/-shm, espace disque</w:t>
            </w:r>
          </w:p>
        </w:tc>
        <w:tc>
          <w:tcPr>
            <w:tcW w:w="3327" w:type="dxa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 w:val="false"/>
                <w:color w:themeColor="text1" w:val="1E4E85"/>
                <w:kern w:val="0"/>
                <w:sz w:val="13"/>
                <w:szCs w:val="20"/>
                <w:lang w:val="fr-FR" w:eastAsia="en-US" w:bidi="ar-SA"/>
              </w:rPr>
              <w:t>Arrêter l’API, faire une copie cohérente, restaurer ou réparer selon procédure validée</w:t>
            </w:r>
          </w:p>
        </w:tc>
      </w:tr>
      <w:tr>
        <w:trPr/>
        <w:tc>
          <w:tcPr>
            <w:tcW w:w="3326" w:type="dxa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 w:val="false"/>
                <w:color w:themeColor="text1" w:val="1E4E85"/>
                <w:kern w:val="0"/>
                <w:sz w:val="13"/>
                <w:szCs w:val="20"/>
                <w:lang w:val="fr-FR" w:eastAsia="en-US" w:bidi="ar-SA"/>
              </w:rPr>
              <w:t>Sauvegarde en échec</w:t>
            </w:r>
          </w:p>
        </w:tc>
        <w:tc>
          <w:tcPr>
            <w:tcW w:w="3326" w:type="dxa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 w:val="false"/>
                <w:color w:themeColor="text1" w:val="1E4E85"/>
                <w:kern w:val="0"/>
                <w:sz w:val="13"/>
                <w:szCs w:val="20"/>
                <w:lang w:val="fr-FR" w:eastAsia="en-US" w:bidi="ar-SA"/>
              </w:rPr>
              <w:t>Résultat du timer/service et accès au dépôt</w:t>
            </w:r>
          </w:p>
        </w:tc>
        <w:tc>
          <w:tcPr>
            <w:tcW w:w="3327" w:type="dxa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 w:val="false"/>
                <w:color w:themeColor="text1" w:val="1E4E85"/>
                <w:kern w:val="0"/>
                <w:sz w:val="13"/>
                <w:szCs w:val="20"/>
                <w:lang w:val="fr-FR" w:eastAsia="en-US" w:bidi="ar-SA"/>
              </w:rPr>
              <w:t>Corriger la cause, relancer, contrôler le snapshot et notifier l’exploitation</w:t>
            </w:r>
          </w:p>
        </w:tc>
      </w:tr>
      <w:tr>
        <w:trPr/>
        <w:tc>
          <w:tcPr>
            <w:tcW w:w="3326" w:type="dxa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 w:val="false"/>
                <w:color w:themeColor="text1" w:val="1E4E85"/>
                <w:kern w:val="0"/>
                <w:sz w:val="13"/>
                <w:szCs w:val="20"/>
                <w:lang w:val="fr-FR" w:eastAsia="en-US" w:bidi="ar-SA"/>
              </w:rPr>
              <w:t>Certificat proche expiration</w:t>
            </w:r>
          </w:p>
        </w:tc>
        <w:tc>
          <w:tcPr>
            <w:tcW w:w="3326" w:type="dxa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 w:val="false"/>
                <w:color w:themeColor="text1" w:val="1E4E85"/>
                <w:kern w:val="0"/>
                <w:sz w:val="13"/>
                <w:szCs w:val="20"/>
                <w:lang w:val="fr-FR" w:eastAsia="en-US" w:bidi="ar-SA"/>
              </w:rPr>
              <w:t>Chaîne TLS, date, timer/PKI</w:t>
            </w:r>
          </w:p>
        </w:tc>
        <w:tc>
          <w:tcPr>
            <w:tcW w:w="3327" w:type="dxa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 w:val="false"/>
                <w:color w:themeColor="text1" w:val="1E4E85"/>
                <w:kern w:val="0"/>
                <w:sz w:val="13"/>
                <w:szCs w:val="20"/>
                <w:lang w:val="fr-FR" w:eastAsia="en-US" w:bidi="ar-SA"/>
              </w:rPr>
              <w:t>Renouveler puis tester HTTPS et le vhost</w:t>
            </w:r>
          </w:p>
        </w:tc>
      </w:tr>
      <w:tr>
        <w:trPr/>
        <w:tc>
          <w:tcPr>
            <w:tcW w:w="3326" w:type="dxa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 w:val="false"/>
                <w:color w:themeColor="text1" w:val="1E4E85"/>
                <w:kern w:val="0"/>
                <w:sz w:val="13"/>
                <w:szCs w:val="20"/>
                <w:lang w:val="fr-FR" w:eastAsia="en-US" w:bidi="ar-SA"/>
              </w:rPr>
              <w:t>Incident sécurité</w:t>
            </w:r>
          </w:p>
        </w:tc>
        <w:tc>
          <w:tcPr>
            <w:tcW w:w="3326" w:type="dxa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 w:val="false"/>
                <w:color w:themeColor="text1" w:val="1E4E85"/>
                <w:kern w:val="0"/>
                <w:sz w:val="13"/>
                <w:szCs w:val="20"/>
                <w:lang w:val="fr-FR" w:eastAsia="en-US" w:bidi="ar-SA"/>
              </w:rPr>
              <w:t>Journaux auth/audit/Nginx, comptes et sessions</w:t>
            </w:r>
          </w:p>
        </w:tc>
        <w:tc>
          <w:tcPr>
            <w:tcW w:w="3327" w:type="dxa"/>
            <w:tcBorders/>
            <w:vAlign w:val="center"/>
          </w:tcPr>
          <w:p>
            <w:pPr>
              <w:pStyle w:val="Normal"/>
              <w:spacing w:before="0" w:after="0"/>
              <w:jc w:val="left"/>
              <w:rPr>
                <w:rFonts w:eastAsia="Arial" w:cs="Times New Roman"/>
                <w:color w:themeColor="text1" w:val="1E4E85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Arial" w:cs="Times New Roman" w:ascii="Arial" w:hAnsi="Arial"/>
                <w:b w:val="false"/>
                <w:color w:themeColor="text1" w:val="1E4E85"/>
                <w:kern w:val="0"/>
                <w:sz w:val="13"/>
                <w:szCs w:val="20"/>
                <w:lang w:val="fr-FR" w:eastAsia="en-US" w:bidi="ar-SA"/>
              </w:rPr>
              <w:t>Isoler si nécessaire, révoquer comptes/sessions, alerter SSI, conserver les preuves</w:t>
            </w:r>
          </w:p>
        </w:tc>
      </w:tr>
    </w:tbl>
    <w:p>
      <w:pPr>
        <w:pStyle w:val="Normal"/>
        <w:spacing w:before="0" w:after="80"/>
        <w:rPr>
          <w:i/>
          <w:i/>
          <w:color w:val="7030A0"/>
        </w:rPr>
      </w:pPr>
      <w:r>
        <w:rPr>
          <w:i/>
          <w:color w:val="7030A0"/>
        </w:rPr>
      </w:r>
    </w:p>
    <w:sectPr>
      <w:headerReference w:type="default" r:id="rId11"/>
      <w:headerReference w:type="first" r:id="rId12"/>
      <w:footerReference w:type="default" r:id="rId13"/>
      <w:footerReference w:type="first" r:id="rId14"/>
      <w:type w:val="nextPage"/>
      <w:pgSz w:w="11906" w:h="16838"/>
      <w:pgMar w:left="964" w:right="964" w:gutter="0" w:header="0" w:top="1134" w:footer="2268" w:bottom="2325"/>
      <w:pgNumType w:fmt="decimal"/>
      <w:formProt w:val="false"/>
      <w:textDirection w:val="lrTb"/>
      <w:docGrid w:type="default" w:linePitch="600" w:charSpace="4915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Marianne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Times New Roman">
    <w:charset w:val="01"/>
    <w:family w:val="roman"/>
    <w:pitch w:val="variable"/>
  </w:font>
  <w:font w:name="Montserrat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Symbol">
    <w:charset w:val="02"/>
    <w:family w:val="auto"/>
    <w:pitch w:val="default"/>
  </w:font>
  <w:font w:name="Wingdings 3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depucestriangles"/>
      <w:numPr>
        <w:ilvl w:val="0"/>
        <w:numId w:val="0"/>
      </w:numPr>
      <w:spacing w:before="0" w:after="120"/>
      <w:ind w:hanging="0" w:left="0"/>
      <w:rPr/>
    </w:pPr>
    <w:r>
      <w:rPr/>
      <mc:AlternateContent>
        <mc:Choice Requires="wps">
          <w:drawing>
            <wp:anchor behindDoc="1" distT="0" distB="8255" distL="0" distR="8890" simplePos="0" locked="0" layoutInCell="1" allowOverlap="1" relativeHeight="18" wp14:anchorId="190D34D1">
              <wp:simplePos x="0" y="0"/>
              <wp:positionH relativeFrom="column">
                <wp:posOffset>0</wp:posOffset>
              </wp:positionH>
              <wp:positionV relativeFrom="bottomMargin">
                <wp:posOffset>0</wp:posOffset>
              </wp:positionV>
              <wp:extent cx="2905125" cy="467995"/>
              <wp:effectExtent l="635" t="635" r="0" b="0"/>
              <wp:wrapNone/>
              <wp:docPr id="4" name="Forme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05200" cy="4680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ind w:right="680"/>
                            <w:jc w:val="right"/>
                            <w:rPr/>
                          </w:pPr>
                          <w:r>
                            <w:rPr>
                              <w:b/>
                              <w:bCs/>
                              <w:color w:val="063D77"/>
                              <w:sz w:val="16"/>
                              <w:szCs w:val="16"/>
                            </w:rPr>
                            <w:t>Office français de la biodiversité</w:t>
                          </w:r>
                        </w:p>
                        <w:p>
                          <w:pPr>
                            <w:pStyle w:val="FrameContents"/>
                            <w:ind w:right="680"/>
                            <w:jc w:val="right"/>
                            <w:rPr/>
                          </w:pPr>
                          <w:r>
                            <w:rPr>
                              <w:color w:val="063D77"/>
                              <w:sz w:val="16"/>
                              <w:szCs w:val="16"/>
                            </w:rPr>
                            <w:t>Pôle de Montpellier  Immeuble Tabella - ZAC de l’aéroport 125 Impasse Adam Smith - 34470 Pérols</w:t>
                          </w:r>
                        </w:p>
                        <w:p>
                          <w:pPr>
                            <w:pStyle w:val="FrameContents"/>
                            <w:ind w:right="680"/>
                            <w:jc w:val="right"/>
                            <w:rPr/>
                          </w:pPr>
                          <w:r>
                            <w:rPr>
                              <w:color w:val="063D77"/>
                              <w:sz w:val="16"/>
                              <w:szCs w:val="16"/>
                            </w:rPr>
                            <w:t>www.ofb.gouv.fr</w:t>
                          </w:r>
                        </w:p>
                      </w:txbxContent>
                    </wps:txbx>
                    <wps:bodyPr lIns="0" rIns="0" t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Forme1" path="m0,0l-2147483645,0l-2147483645,-2147483646l0,-2147483646xe" stroked="f" o:allowincell="f" style="position:absolute;margin-left:260.8pt;margin-top:788.15pt;width:228.7pt;height:36.8pt;mso-wrap-style:square;v-text-anchor:top" wp14:anchorId="190D34D1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ind w:right="680"/>
                      <w:jc w:val="right"/>
                      <w:rPr/>
                    </w:pPr>
                    <w:r>
                      <w:rPr>
                        <w:b/>
                        <w:bCs/>
                        <w:color w:val="063D77"/>
                        <w:sz w:val="16"/>
                        <w:szCs w:val="16"/>
                      </w:rPr>
                      <w:t>Office français de la biodiversité</w:t>
                    </w:r>
                  </w:p>
                  <w:p>
                    <w:pPr>
                      <w:pStyle w:val="FrameContents"/>
                      <w:ind w:right="680"/>
                      <w:jc w:val="right"/>
                      <w:rPr/>
                    </w:pPr>
                    <w:r>
                      <w:rPr>
                        <w:color w:val="063D77"/>
                        <w:sz w:val="16"/>
                        <w:szCs w:val="16"/>
                      </w:rPr>
                      <w:t>Pôle de Montpellier  Immeuble Tabella - ZAC de l’aéroport 125 Impasse Adam Smith - 34470 Pérols</w:t>
                    </w:r>
                  </w:p>
                  <w:p>
                    <w:pPr>
                      <w:pStyle w:val="FrameContents"/>
                      <w:ind w:right="680"/>
                      <w:jc w:val="right"/>
                      <w:rPr/>
                    </w:pPr>
                    <w:r>
                      <w:rPr>
                        <w:color w:val="063D77"/>
                        <w:sz w:val="16"/>
                        <w:szCs w:val="16"/>
                      </w:rPr>
                      <w:t>www.ofb.gouv.fr</w:t>
                    </w:r>
                  </w:p>
                </w:txbxContent>
              </v:textbox>
              <w10:wrap type="none"/>
            </v:rect>
          </w:pict>
        </mc:Fallback>
      </mc:AlternateContent>
      <w:drawing>
        <wp:anchor behindDoc="1" distT="0" distB="0" distL="0" distR="0" simplePos="0" locked="0" layoutInCell="1" allowOverlap="1" relativeHeight="0">
          <wp:simplePos x="0" y="0"/>
          <wp:positionH relativeFrom="margin">
            <wp:posOffset>3468370</wp:posOffset>
          </wp:positionH>
          <wp:positionV relativeFrom="margin">
            <wp:posOffset>5485130</wp:posOffset>
          </wp:positionV>
          <wp:extent cx="3482340" cy="3761105"/>
          <wp:effectExtent l="0" t="0" r="0" b="0"/>
          <wp:wrapNone/>
          <wp:docPr id="5" name="Image 15" descr="bas C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15" descr="bas CP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3482340" cy="3761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52" wp14:anchorId="2A34D2B5">
              <wp:simplePos x="0" y="0"/>
              <wp:positionH relativeFrom="margin">
                <wp:posOffset>0</wp:posOffset>
              </wp:positionH>
              <wp:positionV relativeFrom="bottomMargin">
                <wp:posOffset>0</wp:posOffset>
              </wp:positionV>
              <wp:extent cx="1983740" cy="107950"/>
              <wp:effectExtent l="0" t="0" r="0" b="0"/>
              <wp:wrapNone/>
              <wp:docPr id="6" name="Cadre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983600" cy="1080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Index1"/>
                            <w:jc w:val="center"/>
                            <w:rPr>
                              <w:bCs/>
                              <w:color w:themeColor="text1" w:val="1E4E85"/>
                              <w:sz w:val="16"/>
                              <w:szCs w:val="16"/>
                            </w:rPr>
                          </w:pPr>
                          <w:r>
                            <w:rPr>
                              <w:bCs/>
                              <w:color w:themeColor="text1" w:val="1E4E85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  <w:szCs w:val="16"/>
                              <w:bCs/>
                              <w:color w:themeColor="text1" w:val="1E4E85"/>
                            </w:rPr>
                            <w:instrText xml:space="preserve"> PAGE </w:instrText>
                          </w:r>
                          <w:r>
                            <w:rPr>
                              <w:sz w:val="16"/>
                              <w:szCs w:val="16"/>
                              <w:bCs/>
                              <w:color w:themeColor="text1" w:val="1E4E85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  <w:szCs w:val="16"/>
                              <w:bCs/>
                              <w:color w:themeColor="text1" w:val="1E4E85"/>
                            </w:rPr>
                            <w:t>0</w:t>
                          </w:r>
                          <w:r>
                            <w:rPr>
                              <w:sz w:val="16"/>
                              <w:szCs w:val="16"/>
                              <w:bCs/>
                              <w:color w:themeColor="text1" w:val="1E4E85"/>
                            </w:rPr>
                            <w:fldChar w:fldCharType="end"/>
                          </w:r>
                          <w:r>
                            <w:rPr>
                              <w:bCs/>
                              <w:color w:themeColor="text1" w:val="1E4E85"/>
                              <w:sz w:val="16"/>
                              <w:szCs w:val="16"/>
                            </w:rPr>
                            <w:t>/</w:t>
                          </w:r>
                          <w:r>
                            <w:rPr>
                              <w:bCs/>
                              <w:color w:themeColor="text1" w:val="1E4E85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  <w:szCs w:val="16"/>
                              <w:bCs/>
                              <w:color w:themeColor="text1" w:val="1E4E85"/>
                            </w:rPr>
                            <w:instrText xml:space="preserve"> NUMPAGES </w:instrText>
                          </w:r>
                          <w:r>
                            <w:rPr>
                              <w:sz w:val="16"/>
                              <w:szCs w:val="16"/>
                              <w:bCs/>
                              <w:color w:themeColor="text1" w:val="1E4E85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  <w:szCs w:val="16"/>
                              <w:bCs/>
                              <w:color w:themeColor="text1" w:val="1E4E85"/>
                            </w:rPr>
                            <w:t>17</w:t>
                          </w:r>
                          <w:r>
                            <w:rPr>
                              <w:sz w:val="16"/>
                              <w:szCs w:val="16"/>
                              <w:bCs/>
                              <w:color w:themeColor="text1" w:val="1E4E85"/>
                            </w:rPr>
                            <w:fldChar w:fldCharType="end"/>
                          </w:r>
                        </w:p>
                      </w:txbxContent>
                    </wps:txbx>
                    <wps:bodyPr lIns="54000" rIns="5400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Cadre1" path="m0,0l-2147483645,0l-2147483645,-2147483646l0,-2147483646xe" fillcolor="white" stroked="f" o:allowincell="f" style="position:absolute;margin-left:171.45pt;margin-top:67.6pt;width:156.15pt;height:8.45pt;mso-wrap-style:square;v-text-anchor:top;mso-position-horizontal-relative:margin" wp14:anchorId="2A34D2B5">
              <v:fill o:detectmouseclick="t" type="solid" color2="black" opacity="0"/>
              <v:stroke color="#3465a4" joinstyle="round" endcap="flat"/>
              <v:textbox>
                <w:txbxContent>
                  <w:p>
                    <w:pPr>
                      <w:pStyle w:val="Index1"/>
                      <w:jc w:val="center"/>
                      <w:rPr>
                        <w:bCs/>
                        <w:color w:themeColor="text1" w:val="1E4E85"/>
                        <w:sz w:val="16"/>
                        <w:szCs w:val="16"/>
                      </w:rPr>
                    </w:pPr>
                    <w:r>
                      <w:rPr>
                        <w:bCs/>
                        <w:color w:themeColor="text1" w:val="1E4E85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sz w:val="16"/>
                        <w:szCs w:val="16"/>
                        <w:bCs/>
                        <w:color w:themeColor="text1" w:val="1E4E85"/>
                      </w:rPr>
                      <w:instrText xml:space="preserve"> PAGE </w:instrText>
                    </w:r>
                    <w:r>
                      <w:rPr>
                        <w:sz w:val="16"/>
                        <w:szCs w:val="16"/>
                        <w:bCs/>
                        <w:color w:themeColor="text1" w:val="1E4E85"/>
                      </w:rPr>
                      <w:fldChar w:fldCharType="separate"/>
                    </w:r>
                    <w:r>
                      <w:rPr>
                        <w:sz w:val="16"/>
                        <w:szCs w:val="16"/>
                        <w:bCs/>
                        <w:color w:themeColor="text1" w:val="1E4E85"/>
                      </w:rPr>
                      <w:t>0</w:t>
                    </w:r>
                    <w:r>
                      <w:rPr>
                        <w:sz w:val="16"/>
                        <w:szCs w:val="16"/>
                        <w:bCs/>
                        <w:color w:themeColor="text1" w:val="1E4E85"/>
                      </w:rPr>
                      <w:fldChar w:fldCharType="end"/>
                    </w:r>
                    <w:r>
                      <w:rPr>
                        <w:bCs/>
                        <w:color w:themeColor="text1" w:val="1E4E85"/>
                        <w:sz w:val="16"/>
                        <w:szCs w:val="16"/>
                      </w:rPr>
                      <w:t>/</w:t>
                    </w:r>
                    <w:r>
                      <w:rPr>
                        <w:bCs/>
                        <w:color w:themeColor="text1" w:val="1E4E85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sz w:val="16"/>
                        <w:szCs w:val="16"/>
                        <w:bCs/>
                        <w:color w:themeColor="text1" w:val="1E4E85"/>
                      </w:rPr>
                      <w:instrText xml:space="preserve"> NUMPAGES </w:instrText>
                    </w:r>
                    <w:r>
                      <w:rPr>
                        <w:sz w:val="16"/>
                        <w:szCs w:val="16"/>
                        <w:bCs/>
                        <w:color w:themeColor="text1" w:val="1E4E85"/>
                      </w:rPr>
                      <w:fldChar w:fldCharType="separate"/>
                    </w:r>
                    <w:r>
                      <w:rPr>
                        <w:sz w:val="16"/>
                        <w:szCs w:val="16"/>
                        <w:bCs/>
                        <w:color w:themeColor="text1" w:val="1E4E85"/>
                      </w:rPr>
                      <w:t>17</w:t>
                    </w:r>
                    <w:r>
                      <w:rPr>
                        <w:sz w:val="16"/>
                        <w:szCs w:val="16"/>
                        <w:bCs/>
                        <w:color w:themeColor="text1" w:val="1E4E85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53" wp14:anchorId="36338623">
              <wp:simplePos x="0" y="0"/>
              <wp:positionH relativeFrom="margin">
                <wp:posOffset>0</wp:posOffset>
              </wp:positionH>
              <wp:positionV relativeFrom="margin">
                <wp:posOffset>0</wp:posOffset>
              </wp:positionV>
              <wp:extent cx="1896745" cy="985520"/>
              <wp:effectExtent l="0" t="0" r="0" b="0"/>
              <wp:wrapNone/>
              <wp:docPr id="7" name="adresse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96840" cy="9856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192"/>
                            <w:rPr>
                              <w:b/>
                              <w:bCs/>
                              <w:color w:themeColor="text1" w:val="1E4E85"/>
                              <w:sz w:val="16"/>
                              <w:szCs w:val="21"/>
                            </w:rPr>
                          </w:pPr>
                          <w:r>
                            <w:rPr>
                              <w:b/>
                              <w:bCs/>
                              <w:color w:themeColor="text1" w:val="1E4E85"/>
                              <w:sz w:val="16"/>
                              <w:szCs w:val="21"/>
                            </w:rPr>
                            <w:t>Office français de la biodiversité</w:t>
                          </w:r>
                        </w:p>
                        <w:p>
                          <w:pPr>
                            <w:pStyle w:val="FrameContents"/>
                            <w:spacing w:lineRule="exact" w:line="192"/>
                            <w:rPr>
                              <w:color w:themeColor="text1" w:val="1E4E85"/>
                              <w:sz w:val="16"/>
                              <w:szCs w:val="21"/>
                            </w:rPr>
                          </w:pPr>
                          <w:r>
                            <w:rPr>
                              <w:color w:themeColor="text1" w:val="1E4E85"/>
                              <w:sz w:val="16"/>
                              <w:szCs w:val="21"/>
                            </w:rPr>
                            <w:t>Site de Vincennes</w:t>
                          </w:r>
                        </w:p>
                        <w:p>
                          <w:pPr>
                            <w:pStyle w:val="FrameContents"/>
                            <w:spacing w:lineRule="exact" w:line="192"/>
                            <w:rPr>
                              <w:color w:themeColor="text1" w:val="1E4E85"/>
                              <w:sz w:val="16"/>
                              <w:szCs w:val="21"/>
                              <w:lang w:val="en-US"/>
                            </w:rPr>
                          </w:pPr>
                          <w:r>
                            <w:rPr>
                              <w:color w:themeColor="text1" w:val="1E4E85"/>
                              <w:sz w:val="16"/>
                              <w:szCs w:val="21"/>
                              <w:lang w:val="en-US"/>
                            </w:rPr>
                            <w:t>«</w:t>
                          </w:r>
                          <w:r>
                            <w:rPr>
                              <w:rFonts w:cs="Cambria" w:ascii="Cambria" w:hAnsi="Cambria"/>
                              <w:color w:themeColor="text1" w:val="1E4E85"/>
                              <w:sz w:val="16"/>
                              <w:szCs w:val="21"/>
                              <w:lang w:val="en-US"/>
                            </w:rPr>
                            <w:t> </w:t>
                          </w:r>
                          <w:r>
                            <w:rPr>
                              <w:color w:themeColor="text1" w:val="1E4E85"/>
                              <w:sz w:val="16"/>
                              <w:szCs w:val="21"/>
                              <w:lang w:val="en-US"/>
                            </w:rPr>
                            <w:t>Le Nadar</w:t>
                          </w:r>
                          <w:r>
                            <w:rPr>
                              <w:rFonts w:cs="Cambria" w:ascii="Cambria" w:hAnsi="Cambria"/>
                              <w:color w:themeColor="text1" w:val="1E4E85"/>
                              <w:sz w:val="16"/>
                              <w:szCs w:val="21"/>
                              <w:lang w:val="en-US"/>
                            </w:rPr>
                            <w:t> </w:t>
                          </w:r>
                          <w:r>
                            <w:rPr>
                              <w:color w:themeColor="text1" w:val="1E4E85"/>
                              <w:sz w:val="16"/>
                              <w:szCs w:val="21"/>
                              <w:lang w:val="en-US"/>
                            </w:rPr>
                            <w:t>», hall C</w:t>
                          </w:r>
                        </w:p>
                        <w:p>
                          <w:pPr>
                            <w:pStyle w:val="FrameContents"/>
                            <w:spacing w:lineRule="exact" w:line="192"/>
                            <w:rPr>
                              <w:color w:themeColor="text1" w:val="1E4E85"/>
                              <w:sz w:val="16"/>
                              <w:szCs w:val="21"/>
                              <w:lang w:val="en-US"/>
                            </w:rPr>
                          </w:pPr>
                          <w:r>
                            <w:rPr>
                              <w:color w:themeColor="text1" w:val="1E4E85"/>
                              <w:sz w:val="16"/>
                              <w:szCs w:val="21"/>
                              <w:lang w:val="en-US"/>
                            </w:rPr>
                            <w:t>5 square Félix Nadar</w:t>
                          </w:r>
                        </w:p>
                        <w:p>
                          <w:pPr>
                            <w:pStyle w:val="FrameContents"/>
                            <w:spacing w:lineRule="exact" w:line="192"/>
                            <w:rPr>
                              <w:color w:themeColor="text1" w:val="1E4E85"/>
                              <w:sz w:val="16"/>
                              <w:szCs w:val="21"/>
                            </w:rPr>
                          </w:pPr>
                          <w:r>
                            <w:rPr>
                              <w:color w:themeColor="text1" w:val="1E4E85"/>
                              <w:sz w:val="16"/>
                              <w:szCs w:val="21"/>
                            </w:rPr>
                            <w:t>94300 Vincennes</w:t>
                          </w:r>
                        </w:p>
                        <w:p>
                          <w:pPr>
                            <w:pStyle w:val="FrameContents"/>
                            <w:spacing w:lineRule="exact" w:line="192"/>
                            <w:rPr>
                              <w:color w:themeColor="text1" w:val="1E4E85"/>
                              <w:sz w:val="16"/>
                              <w:szCs w:val="21"/>
                            </w:rPr>
                          </w:pPr>
                          <w:r>
                            <w:rPr>
                              <w:color w:themeColor="text1" w:val="1E4E85"/>
                              <w:sz w:val="16"/>
                              <w:szCs w:val="21"/>
                            </w:rPr>
                            <w:t>www.ofb.gouv.fr</w:t>
                          </w:r>
                        </w:p>
                      </w:txbxContent>
                    </wps:txbx>
                    <wps:bodyPr lIns="0" rIns="0" tIns="0" bIns="0" anchor="b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adresse" path="m0,0l-2147483645,0l-2147483645,-2147483646l0,-2147483646xe" stroked="f" o:allowincell="f" style="position:absolute;margin-left:-0.1pt;margin-top:602.1pt;width:149.3pt;height:77.55pt;mso-wrap-style:square;v-text-anchor:bottom;mso-position-horizontal-relative:margin;mso-position-vertical-relative:margin" wp14:anchorId="36338623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192"/>
                      <w:rPr>
                        <w:b/>
                        <w:bCs/>
                        <w:color w:themeColor="text1" w:val="1E4E85"/>
                        <w:sz w:val="16"/>
                        <w:szCs w:val="21"/>
                      </w:rPr>
                    </w:pPr>
                    <w:r>
                      <w:rPr>
                        <w:b/>
                        <w:bCs/>
                        <w:color w:themeColor="text1" w:val="1E4E85"/>
                        <w:sz w:val="16"/>
                        <w:szCs w:val="21"/>
                      </w:rPr>
                      <w:t>Office français de la biodiversité</w:t>
                    </w:r>
                  </w:p>
                  <w:p>
                    <w:pPr>
                      <w:pStyle w:val="FrameContents"/>
                      <w:spacing w:lineRule="exact" w:line="192"/>
                      <w:rPr>
                        <w:color w:themeColor="text1" w:val="1E4E85"/>
                        <w:sz w:val="16"/>
                        <w:szCs w:val="21"/>
                      </w:rPr>
                    </w:pPr>
                    <w:r>
                      <w:rPr>
                        <w:color w:themeColor="text1" w:val="1E4E85"/>
                        <w:sz w:val="16"/>
                        <w:szCs w:val="21"/>
                      </w:rPr>
                      <w:t>Site de Vincennes</w:t>
                    </w:r>
                  </w:p>
                  <w:p>
                    <w:pPr>
                      <w:pStyle w:val="FrameContents"/>
                      <w:spacing w:lineRule="exact" w:line="192"/>
                      <w:rPr>
                        <w:color w:themeColor="text1" w:val="1E4E85"/>
                        <w:sz w:val="16"/>
                        <w:szCs w:val="21"/>
                        <w:lang w:val="en-US"/>
                      </w:rPr>
                    </w:pPr>
                    <w:r>
                      <w:rPr>
                        <w:color w:themeColor="text1" w:val="1E4E85"/>
                        <w:sz w:val="16"/>
                        <w:szCs w:val="21"/>
                        <w:lang w:val="en-US"/>
                      </w:rPr>
                      <w:t>«</w:t>
                    </w:r>
                    <w:r>
                      <w:rPr>
                        <w:rFonts w:cs="Cambria" w:ascii="Cambria" w:hAnsi="Cambria"/>
                        <w:color w:themeColor="text1" w:val="1E4E85"/>
                        <w:sz w:val="16"/>
                        <w:szCs w:val="21"/>
                        <w:lang w:val="en-US"/>
                      </w:rPr>
                      <w:t> </w:t>
                    </w:r>
                    <w:r>
                      <w:rPr>
                        <w:color w:themeColor="text1" w:val="1E4E85"/>
                        <w:sz w:val="16"/>
                        <w:szCs w:val="21"/>
                        <w:lang w:val="en-US"/>
                      </w:rPr>
                      <w:t>Le Nadar</w:t>
                    </w:r>
                    <w:r>
                      <w:rPr>
                        <w:rFonts w:cs="Cambria" w:ascii="Cambria" w:hAnsi="Cambria"/>
                        <w:color w:themeColor="text1" w:val="1E4E85"/>
                        <w:sz w:val="16"/>
                        <w:szCs w:val="21"/>
                        <w:lang w:val="en-US"/>
                      </w:rPr>
                      <w:t> </w:t>
                    </w:r>
                    <w:r>
                      <w:rPr>
                        <w:color w:themeColor="text1" w:val="1E4E85"/>
                        <w:sz w:val="16"/>
                        <w:szCs w:val="21"/>
                        <w:lang w:val="en-US"/>
                      </w:rPr>
                      <w:t>», hall C</w:t>
                    </w:r>
                  </w:p>
                  <w:p>
                    <w:pPr>
                      <w:pStyle w:val="FrameContents"/>
                      <w:spacing w:lineRule="exact" w:line="192"/>
                      <w:rPr>
                        <w:color w:themeColor="text1" w:val="1E4E85"/>
                        <w:sz w:val="16"/>
                        <w:szCs w:val="21"/>
                        <w:lang w:val="en-US"/>
                      </w:rPr>
                    </w:pPr>
                    <w:r>
                      <w:rPr>
                        <w:color w:themeColor="text1" w:val="1E4E85"/>
                        <w:sz w:val="16"/>
                        <w:szCs w:val="21"/>
                        <w:lang w:val="en-US"/>
                      </w:rPr>
                      <w:t>5 square Félix Nadar</w:t>
                    </w:r>
                  </w:p>
                  <w:p>
                    <w:pPr>
                      <w:pStyle w:val="FrameContents"/>
                      <w:spacing w:lineRule="exact" w:line="192"/>
                      <w:rPr>
                        <w:color w:themeColor="text1" w:val="1E4E85"/>
                        <w:sz w:val="16"/>
                        <w:szCs w:val="21"/>
                      </w:rPr>
                    </w:pPr>
                    <w:r>
                      <w:rPr>
                        <w:color w:themeColor="text1" w:val="1E4E85"/>
                        <w:sz w:val="16"/>
                        <w:szCs w:val="21"/>
                      </w:rPr>
                      <w:t>94300 Vincennes</w:t>
                    </w:r>
                  </w:p>
                  <w:p>
                    <w:pPr>
                      <w:pStyle w:val="FrameContents"/>
                      <w:spacing w:lineRule="exact" w:line="192"/>
                      <w:rPr>
                        <w:color w:themeColor="text1" w:val="1E4E85"/>
                        <w:sz w:val="16"/>
                        <w:szCs w:val="21"/>
                      </w:rPr>
                    </w:pPr>
                    <w:r>
                      <w:rPr>
                        <w:color w:themeColor="text1" w:val="1E4E85"/>
                        <w:sz w:val="16"/>
                        <w:szCs w:val="21"/>
                      </w:rPr>
                      <w:t>www.ofb.gouv.fr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1" allowOverlap="1" relativeHeight="87" wp14:anchorId="3E1D721A">
              <wp:simplePos x="0" y="0"/>
              <wp:positionH relativeFrom="column">
                <wp:posOffset>0</wp:posOffset>
              </wp:positionH>
              <wp:positionV relativeFrom="paragraph">
                <wp:posOffset>635</wp:posOffset>
              </wp:positionV>
              <wp:extent cx="2905760" cy="467360"/>
              <wp:effectExtent l="0" t="0" r="0" b="0"/>
              <wp:wrapNone/>
              <wp:docPr id="8" name="Forme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05920" cy="4672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ind w:right="680"/>
                            <w:jc w:val="right"/>
                            <w:rPr/>
                          </w:pPr>
                          <w:r>
                            <w:rPr>
                              <w:b/>
                              <w:bCs/>
                              <w:color w:val="063D77"/>
                              <w:sz w:val="16"/>
                              <w:szCs w:val="16"/>
                            </w:rPr>
                            <w:t>Office français de la biodiversité</w:t>
                          </w:r>
                        </w:p>
                        <w:p>
                          <w:pPr>
                            <w:pStyle w:val="FrameContents"/>
                            <w:ind w:right="680"/>
                            <w:jc w:val="right"/>
                            <w:rPr/>
                          </w:pPr>
                          <w:r>
                            <w:rPr>
                              <w:color w:val="063D77"/>
                              <w:sz w:val="16"/>
                              <w:szCs w:val="16"/>
                            </w:rPr>
                            <w:t>Pôle de Montpellier  Immeuble Tabella - ZAC de l’aéroport 125 Impasse Adam Smith - 34470 Pérols</w:t>
                          </w:r>
                        </w:p>
                        <w:p>
                          <w:pPr>
                            <w:pStyle w:val="FrameContents"/>
                            <w:ind w:right="680"/>
                            <w:jc w:val="right"/>
                            <w:rPr/>
                          </w:pPr>
                          <w:r>
                            <w:rPr>
                              <w:color w:val="063D77"/>
                              <w:sz w:val="16"/>
                              <w:szCs w:val="16"/>
                            </w:rPr>
                            <w:t>www.ofb.gouv.fr</w:t>
                          </w:r>
                        </w:p>
                      </w:txbxContent>
                    </wps:txbx>
                    <wps:bodyPr lIns="0" rIns="0" t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Forme1" path="m0,0l-2147483645,0l-2147483645,-2147483646l0,-2147483646xe" stroked="f" o:allowincell="f" style="position:absolute;margin-left:318.9pt;margin-top:797.8pt;width:228.75pt;height:36.75pt;mso-wrap-style:square;v-text-anchor:top" wp14:anchorId="3E1D721A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ind w:right="680"/>
                      <w:jc w:val="right"/>
                      <w:rPr/>
                    </w:pPr>
                    <w:r>
                      <w:rPr>
                        <w:b/>
                        <w:bCs/>
                        <w:color w:val="063D77"/>
                        <w:sz w:val="16"/>
                        <w:szCs w:val="16"/>
                      </w:rPr>
                      <w:t>Office français de la biodiversité</w:t>
                    </w:r>
                  </w:p>
                  <w:p>
                    <w:pPr>
                      <w:pStyle w:val="FrameContents"/>
                      <w:ind w:right="680"/>
                      <w:jc w:val="right"/>
                      <w:rPr/>
                    </w:pPr>
                    <w:r>
                      <w:rPr>
                        <w:color w:val="063D77"/>
                        <w:sz w:val="16"/>
                        <w:szCs w:val="16"/>
                      </w:rPr>
                      <w:t>Pôle de Montpellier  Immeuble Tabella - ZAC de l’aéroport 125 Impasse Adam Smith - 34470 Pérols</w:t>
                    </w:r>
                  </w:p>
                  <w:p>
                    <w:pPr>
                      <w:pStyle w:val="FrameContents"/>
                      <w:ind w:right="680"/>
                      <w:jc w:val="right"/>
                      <w:rPr/>
                    </w:pPr>
                    <w:r>
                      <w:rPr>
                        <w:color w:val="063D77"/>
                        <w:sz w:val="16"/>
                        <w:szCs w:val="16"/>
                      </w:rPr>
                      <w:t>www.ofb.gouv.fr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80"/>
      <w:rPr/>
    </w:pPr>
    <w:r>
      <w:rPr>
        <w:rFonts w:ascii="Arial" w:hAnsi="Arial"/>
        <w:b w:val="false"/>
        <w:sz w:val="16"/>
      </w:rPr>
      <w:t>Statut : À valider</w:t>
    </w:r>
  </w:p>
  <w:p>
    <w:pPr>
      <w:pStyle w:val="Normal"/>
      <w:spacing w:before="0" w:after="80"/>
      <w:rPr/>
    </w:pPr>
    <w:r>
      <w:rPr>
        <w:rFonts w:ascii="Arial" w:hAnsi="Arial"/>
        <w:b w:val="false"/>
        <w:sz w:val="16"/>
      </w:rPr>
      <w:t>Diffusion : Interne</w:t>
    </w:r>
  </w:p>
  <w:p>
    <w:pPr>
      <w:pStyle w:val="Footer"/>
      <w:spacing w:before="0" w:after="80"/>
      <w:rPr/>
    </w:pPr>
    <w:r>
      <w:rPr>
        <w:rFonts w:ascii="Arial" w:hAnsi="Arial"/>
        <w:b w:val="false"/>
        <w:sz w:val="16"/>
      </w:rPr>
      <w:t>Version : 0.1</w: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819"/>
        <w:tab w:val="clear" w:pos="9638"/>
        <w:tab w:val="center" w:pos="4535" w:leader="none"/>
        <w:tab w:val="left" w:pos="7828" w:leader="none"/>
      </w:tabs>
      <w:rPr/>
    </w:pPr>
    <w:r>
      <w:drawing>
        <wp:anchor behindDoc="1" distT="0" distB="0" distL="0" distR="0" simplePos="0" locked="0" layoutInCell="0" allowOverlap="1" relativeHeight="17">
          <wp:simplePos x="0" y="0"/>
          <wp:positionH relativeFrom="margin">
            <wp:posOffset>3462020</wp:posOffset>
          </wp:positionH>
          <wp:positionV relativeFrom="margin">
            <wp:posOffset>6205855</wp:posOffset>
          </wp:positionV>
          <wp:extent cx="3482340" cy="3761105"/>
          <wp:effectExtent l="0" t="0" r="0" b="0"/>
          <wp:wrapNone/>
          <wp:docPr id="12" name="Image 19" descr="bas C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age 19" descr="bas CP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46229" t="0" r="0" b="0"/>
                  <a:stretch>
                    <a:fillRect/>
                  </a:stretch>
                </pic:blipFill>
                <pic:spPr bwMode="auto">
                  <a:xfrm>
                    <a:off x="0" y="0"/>
                    <a:ext cx="3482340" cy="3761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50" wp14:anchorId="1697A122">
              <wp:simplePos x="0" y="0"/>
              <wp:positionH relativeFrom="margin">
                <wp:posOffset>2172335</wp:posOffset>
              </wp:positionH>
              <wp:positionV relativeFrom="bottomMargin">
                <wp:posOffset>862330</wp:posOffset>
              </wp:positionV>
              <wp:extent cx="1983740" cy="107950"/>
              <wp:effectExtent l="0" t="0" r="0" b="0"/>
              <wp:wrapNone/>
              <wp:docPr id="13" name="Cadre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983600" cy="1080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udetableau"/>
                            <w:jc w:val="center"/>
                            <w:rPr>
                              <w:bCs/>
                              <w:color w:themeColor="text1" w:val="1E4E85"/>
                              <w:sz w:val="16"/>
                              <w:szCs w:val="16"/>
                            </w:rPr>
                          </w:pPr>
                          <w:r>
                            <w:rPr>
                              <w:bCs/>
                              <w:color w:themeColor="text1" w:val="1E4E85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  <w:szCs w:val="16"/>
                              <w:bCs/>
                              <w:color w:themeColor="text1" w:val="1E4E85"/>
                            </w:rPr>
                            <w:instrText xml:space="preserve"> PAGE </w:instrText>
                          </w:r>
                          <w:r>
                            <w:rPr>
                              <w:sz w:val="16"/>
                              <w:szCs w:val="16"/>
                              <w:bCs/>
                              <w:color w:themeColor="text1" w:val="1E4E85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  <w:szCs w:val="16"/>
                              <w:bCs/>
                              <w:color w:themeColor="text1" w:val="1E4E85"/>
                            </w:rPr>
                            <w:t>17</w:t>
                          </w:r>
                          <w:r>
                            <w:rPr>
                              <w:sz w:val="16"/>
                              <w:szCs w:val="16"/>
                              <w:bCs/>
                              <w:color w:themeColor="text1" w:val="1E4E85"/>
                            </w:rPr>
                            <w:fldChar w:fldCharType="end"/>
                          </w:r>
                          <w:r>
                            <w:rPr>
                              <w:bCs/>
                              <w:color w:themeColor="text1" w:val="1E4E85"/>
                              <w:sz w:val="16"/>
                              <w:szCs w:val="16"/>
                            </w:rPr>
                            <w:t>/</w:t>
                          </w:r>
                          <w:r>
                            <w:rPr>
                              <w:bCs/>
                              <w:color w:themeColor="text1" w:val="1E4E85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  <w:szCs w:val="16"/>
                              <w:bCs/>
                              <w:color w:themeColor="text1" w:val="1E4E85"/>
                            </w:rPr>
                            <w:instrText xml:space="preserve"> NUMPAGES </w:instrText>
                          </w:r>
                          <w:r>
                            <w:rPr>
                              <w:sz w:val="16"/>
                              <w:szCs w:val="16"/>
                              <w:bCs/>
                              <w:color w:themeColor="text1" w:val="1E4E85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  <w:szCs w:val="16"/>
                              <w:bCs/>
                              <w:color w:themeColor="text1" w:val="1E4E85"/>
                            </w:rPr>
                            <w:t>17</w:t>
                          </w:r>
                          <w:r>
                            <w:rPr>
                              <w:sz w:val="16"/>
                              <w:szCs w:val="16"/>
                              <w:bCs/>
                              <w:color w:themeColor="text1" w:val="1E4E85"/>
                            </w:rPr>
                            <w:fldChar w:fldCharType="end"/>
                          </w:r>
                        </w:p>
                      </w:txbxContent>
                    </wps:txbx>
                    <wps:bodyPr lIns="54000" rIns="5400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Cadre1" path="m0,0l-2147483645,0l-2147483645,-2147483646l0,-2147483646xe" fillcolor="white" stroked="f" o:allowincell="f" style="position:absolute;margin-left:171.05pt;margin-top:67.9pt;width:156.15pt;height:8.45pt;mso-wrap-style:square;v-text-anchor:top;mso-position-horizontal-relative:margin" wp14:anchorId="1697A122">
              <v:fill o:detectmouseclick="t" type="solid" color2="black" opacity="0"/>
              <v:stroke color="#3465a4" joinstyle="round" endcap="flat"/>
              <v:textbox>
                <w:txbxContent>
                  <w:p>
                    <w:pPr>
                      <w:pStyle w:val="Contenudetableau"/>
                      <w:jc w:val="center"/>
                      <w:rPr>
                        <w:bCs/>
                        <w:color w:themeColor="text1" w:val="1E4E85"/>
                        <w:sz w:val="16"/>
                        <w:szCs w:val="16"/>
                      </w:rPr>
                    </w:pPr>
                    <w:r>
                      <w:rPr>
                        <w:bCs/>
                        <w:color w:themeColor="text1" w:val="1E4E85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sz w:val="16"/>
                        <w:szCs w:val="16"/>
                        <w:bCs/>
                        <w:color w:themeColor="text1" w:val="1E4E85"/>
                      </w:rPr>
                      <w:instrText xml:space="preserve"> PAGE </w:instrText>
                    </w:r>
                    <w:r>
                      <w:rPr>
                        <w:sz w:val="16"/>
                        <w:szCs w:val="16"/>
                        <w:bCs/>
                        <w:color w:themeColor="text1" w:val="1E4E85"/>
                      </w:rPr>
                      <w:fldChar w:fldCharType="separate"/>
                    </w:r>
                    <w:r>
                      <w:rPr>
                        <w:sz w:val="16"/>
                        <w:szCs w:val="16"/>
                        <w:bCs/>
                        <w:color w:themeColor="text1" w:val="1E4E85"/>
                      </w:rPr>
                      <w:t>17</w:t>
                    </w:r>
                    <w:r>
                      <w:rPr>
                        <w:sz w:val="16"/>
                        <w:szCs w:val="16"/>
                        <w:bCs/>
                        <w:color w:themeColor="text1" w:val="1E4E85"/>
                      </w:rPr>
                      <w:fldChar w:fldCharType="end"/>
                    </w:r>
                    <w:r>
                      <w:rPr>
                        <w:bCs/>
                        <w:color w:themeColor="text1" w:val="1E4E85"/>
                        <w:sz w:val="16"/>
                        <w:szCs w:val="16"/>
                      </w:rPr>
                      <w:t>/</w:t>
                    </w:r>
                    <w:r>
                      <w:rPr>
                        <w:bCs/>
                        <w:color w:themeColor="text1" w:val="1E4E85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sz w:val="16"/>
                        <w:szCs w:val="16"/>
                        <w:bCs/>
                        <w:color w:themeColor="text1" w:val="1E4E85"/>
                      </w:rPr>
                      <w:instrText xml:space="preserve"> NUMPAGES </w:instrText>
                    </w:r>
                    <w:r>
                      <w:rPr>
                        <w:sz w:val="16"/>
                        <w:szCs w:val="16"/>
                        <w:bCs/>
                        <w:color w:themeColor="text1" w:val="1E4E85"/>
                      </w:rPr>
                      <w:fldChar w:fldCharType="separate"/>
                    </w:r>
                    <w:r>
                      <w:rPr>
                        <w:sz w:val="16"/>
                        <w:szCs w:val="16"/>
                        <w:bCs/>
                        <w:color w:themeColor="text1" w:val="1E4E85"/>
                      </w:rPr>
                      <w:t>17</w:t>
                    </w:r>
                    <w:r>
                      <w:rPr>
                        <w:sz w:val="16"/>
                        <w:szCs w:val="16"/>
                        <w:bCs/>
                        <w:color w:themeColor="text1" w:val="1E4E85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84" wp14:anchorId="6686D275">
              <wp:simplePos x="0" y="0"/>
              <wp:positionH relativeFrom="margin">
                <wp:posOffset>-635</wp:posOffset>
              </wp:positionH>
              <wp:positionV relativeFrom="margin">
                <wp:posOffset>8366760</wp:posOffset>
              </wp:positionV>
              <wp:extent cx="1896745" cy="985520"/>
              <wp:effectExtent l="0" t="0" r="0" b="0"/>
              <wp:wrapNone/>
              <wp:docPr id="14" name="adresse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96840" cy="9856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192"/>
                            <w:rPr>
                              <w:b/>
                              <w:bCs/>
                              <w:color w:themeColor="text1" w:val="1E4E85"/>
                              <w:sz w:val="16"/>
                              <w:szCs w:val="21"/>
                            </w:rPr>
                          </w:pPr>
                          <w:r>
                            <w:rPr>
                              <w:b/>
                              <w:bCs/>
                              <w:color w:themeColor="text1" w:val="1E4E85"/>
                              <w:sz w:val="16"/>
                              <w:szCs w:val="21"/>
                            </w:rPr>
                            <w:t>Office français de la biodiversité</w:t>
                          </w:r>
                        </w:p>
                        <w:p>
                          <w:pPr>
                            <w:pStyle w:val="FrameContents"/>
                            <w:spacing w:lineRule="exact" w:line="192"/>
                            <w:rPr>
                              <w:color w:themeColor="text1" w:val="1E4E85"/>
                              <w:sz w:val="16"/>
                              <w:szCs w:val="21"/>
                            </w:rPr>
                          </w:pPr>
                          <w:r>
                            <w:rPr>
                              <w:color w:themeColor="text1" w:val="1E4E85"/>
                              <w:sz w:val="16"/>
                              <w:szCs w:val="21"/>
                            </w:rPr>
                            <w:t>Site de Vincennes</w:t>
                          </w:r>
                        </w:p>
                        <w:p>
                          <w:pPr>
                            <w:pStyle w:val="FrameContents"/>
                            <w:spacing w:lineRule="exact" w:line="192"/>
                            <w:rPr>
                              <w:color w:themeColor="text1" w:val="1E4E85"/>
                              <w:sz w:val="16"/>
                              <w:szCs w:val="21"/>
                              <w:lang w:val="en-US"/>
                            </w:rPr>
                          </w:pPr>
                          <w:r>
                            <w:rPr>
                              <w:color w:themeColor="text1" w:val="1E4E85"/>
                              <w:sz w:val="16"/>
                              <w:szCs w:val="21"/>
                              <w:lang w:val="en-US"/>
                            </w:rPr>
                            <w:t>«</w:t>
                          </w:r>
                          <w:r>
                            <w:rPr>
                              <w:rFonts w:cs="Cambria" w:ascii="Cambria" w:hAnsi="Cambria"/>
                              <w:color w:themeColor="text1" w:val="1E4E85"/>
                              <w:sz w:val="16"/>
                              <w:szCs w:val="21"/>
                              <w:lang w:val="en-US"/>
                            </w:rPr>
                            <w:t> </w:t>
                          </w:r>
                          <w:r>
                            <w:rPr>
                              <w:color w:themeColor="text1" w:val="1E4E85"/>
                              <w:sz w:val="16"/>
                              <w:szCs w:val="21"/>
                              <w:lang w:val="en-US"/>
                            </w:rPr>
                            <w:t>Le Nadar</w:t>
                          </w:r>
                          <w:r>
                            <w:rPr>
                              <w:rFonts w:cs="Cambria" w:ascii="Cambria" w:hAnsi="Cambria"/>
                              <w:color w:themeColor="text1" w:val="1E4E85"/>
                              <w:sz w:val="16"/>
                              <w:szCs w:val="21"/>
                              <w:lang w:val="en-US"/>
                            </w:rPr>
                            <w:t> </w:t>
                          </w:r>
                          <w:r>
                            <w:rPr>
                              <w:color w:themeColor="text1" w:val="1E4E85"/>
                              <w:sz w:val="16"/>
                              <w:szCs w:val="21"/>
                              <w:lang w:val="en-US"/>
                            </w:rPr>
                            <w:t>», hall C</w:t>
                          </w:r>
                        </w:p>
                        <w:p>
                          <w:pPr>
                            <w:pStyle w:val="FrameContents"/>
                            <w:spacing w:lineRule="exact" w:line="192"/>
                            <w:rPr>
                              <w:color w:themeColor="text1" w:val="1E4E85"/>
                              <w:sz w:val="16"/>
                              <w:szCs w:val="21"/>
                              <w:lang w:val="en-US"/>
                            </w:rPr>
                          </w:pPr>
                          <w:r>
                            <w:rPr>
                              <w:color w:themeColor="text1" w:val="1E4E85"/>
                              <w:sz w:val="16"/>
                              <w:szCs w:val="21"/>
                              <w:lang w:val="en-US"/>
                            </w:rPr>
                            <w:t>5 square Félix Nadar</w:t>
                          </w:r>
                        </w:p>
                        <w:p>
                          <w:pPr>
                            <w:pStyle w:val="FrameContents"/>
                            <w:spacing w:lineRule="exact" w:line="192"/>
                            <w:rPr>
                              <w:color w:themeColor="text1" w:val="1E4E85"/>
                              <w:sz w:val="16"/>
                              <w:szCs w:val="21"/>
                            </w:rPr>
                          </w:pPr>
                          <w:r>
                            <w:rPr>
                              <w:color w:themeColor="text1" w:val="1E4E85"/>
                              <w:sz w:val="16"/>
                              <w:szCs w:val="21"/>
                            </w:rPr>
                            <w:t>94300 Vincennes</w:t>
                          </w:r>
                        </w:p>
                        <w:p>
                          <w:pPr>
                            <w:pStyle w:val="FrameContents"/>
                            <w:spacing w:lineRule="exact" w:line="192"/>
                            <w:rPr>
                              <w:color w:themeColor="text1" w:val="1E4E85"/>
                              <w:sz w:val="16"/>
                              <w:szCs w:val="21"/>
                              <w:lang w:val="en-US"/>
                            </w:rPr>
                          </w:pPr>
                          <w:r>
                            <w:rPr>
                              <w:color w:themeColor="text1" w:val="1E4E85"/>
                              <w:sz w:val="16"/>
                              <w:szCs w:val="21"/>
                              <w:lang w:val="en-US"/>
                            </w:rPr>
                            <w:t>www.ofb.gouv.fr</w:t>
                          </w:r>
                        </w:p>
                      </w:txbxContent>
                    </wps:txbx>
                    <wps:bodyPr lIns="0" rIns="0" tIns="0" bIns="0" anchor="b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adresse" path="m0,0l-2147483645,0l-2147483645,-2147483646l0,-2147483646xe" stroked="f" o:allowincell="f" style="position:absolute;margin-left:-0.05pt;margin-top:658.8pt;width:149.3pt;height:77.55pt;mso-wrap-style:square;v-text-anchor:bottom;mso-position-horizontal-relative:margin;mso-position-vertical-relative:margin" wp14:anchorId="6686D275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192"/>
                      <w:rPr>
                        <w:b/>
                        <w:bCs/>
                        <w:color w:themeColor="text1" w:val="1E4E85"/>
                        <w:sz w:val="16"/>
                        <w:szCs w:val="21"/>
                      </w:rPr>
                    </w:pPr>
                    <w:r>
                      <w:rPr>
                        <w:b/>
                        <w:bCs/>
                        <w:color w:themeColor="text1" w:val="1E4E85"/>
                        <w:sz w:val="16"/>
                        <w:szCs w:val="21"/>
                      </w:rPr>
                      <w:t>Office français de la biodiversité</w:t>
                    </w:r>
                  </w:p>
                  <w:p>
                    <w:pPr>
                      <w:pStyle w:val="FrameContents"/>
                      <w:spacing w:lineRule="exact" w:line="192"/>
                      <w:rPr>
                        <w:color w:themeColor="text1" w:val="1E4E85"/>
                        <w:sz w:val="16"/>
                        <w:szCs w:val="21"/>
                      </w:rPr>
                    </w:pPr>
                    <w:r>
                      <w:rPr>
                        <w:color w:themeColor="text1" w:val="1E4E85"/>
                        <w:sz w:val="16"/>
                        <w:szCs w:val="21"/>
                      </w:rPr>
                      <w:t>Site de Vincennes</w:t>
                    </w:r>
                  </w:p>
                  <w:p>
                    <w:pPr>
                      <w:pStyle w:val="FrameContents"/>
                      <w:spacing w:lineRule="exact" w:line="192"/>
                      <w:rPr>
                        <w:color w:themeColor="text1" w:val="1E4E85"/>
                        <w:sz w:val="16"/>
                        <w:szCs w:val="21"/>
                        <w:lang w:val="en-US"/>
                      </w:rPr>
                    </w:pPr>
                    <w:r>
                      <w:rPr>
                        <w:color w:themeColor="text1" w:val="1E4E85"/>
                        <w:sz w:val="16"/>
                        <w:szCs w:val="21"/>
                        <w:lang w:val="en-US"/>
                      </w:rPr>
                      <w:t>«</w:t>
                    </w:r>
                    <w:r>
                      <w:rPr>
                        <w:rFonts w:cs="Cambria" w:ascii="Cambria" w:hAnsi="Cambria"/>
                        <w:color w:themeColor="text1" w:val="1E4E85"/>
                        <w:sz w:val="16"/>
                        <w:szCs w:val="21"/>
                        <w:lang w:val="en-US"/>
                      </w:rPr>
                      <w:t> </w:t>
                    </w:r>
                    <w:r>
                      <w:rPr>
                        <w:color w:themeColor="text1" w:val="1E4E85"/>
                        <w:sz w:val="16"/>
                        <w:szCs w:val="21"/>
                        <w:lang w:val="en-US"/>
                      </w:rPr>
                      <w:t>Le Nadar</w:t>
                    </w:r>
                    <w:r>
                      <w:rPr>
                        <w:rFonts w:cs="Cambria" w:ascii="Cambria" w:hAnsi="Cambria"/>
                        <w:color w:themeColor="text1" w:val="1E4E85"/>
                        <w:sz w:val="16"/>
                        <w:szCs w:val="21"/>
                        <w:lang w:val="en-US"/>
                      </w:rPr>
                      <w:t> </w:t>
                    </w:r>
                    <w:r>
                      <w:rPr>
                        <w:color w:themeColor="text1" w:val="1E4E85"/>
                        <w:sz w:val="16"/>
                        <w:szCs w:val="21"/>
                        <w:lang w:val="en-US"/>
                      </w:rPr>
                      <w:t>», hall C</w:t>
                    </w:r>
                  </w:p>
                  <w:p>
                    <w:pPr>
                      <w:pStyle w:val="FrameContents"/>
                      <w:spacing w:lineRule="exact" w:line="192"/>
                      <w:rPr>
                        <w:color w:themeColor="text1" w:val="1E4E85"/>
                        <w:sz w:val="16"/>
                        <w:szCs w:val="21"/>
                        <w:lang w:val="en-US"/>
                      </w:rPr>
                    </w:pPr>
                    <w:r>
                      <w:rPr>
                        <w:color w:themeColor="text1" w:val="1E4E85"/>
                        <w:sz w:val="16"/>
                        <w:szCs w:val="21"/>
                        <w:lang w:val="en-US"/>
                      </w:rPr>
                      <w:t>5 square Félix Nadar</w:t>
                    </w:r>
                  </w:p>
                  <w:p>
                    <w:pPr>
                      <w:pStyle w:val="FrameContents"/>
                      <w:spacing w:lineRule="exact" w:line="192"/>
                      <w:rPr>
                        <w:color w:themeColor="text1" w:val="1E4E85"/>
                        <w:sz w:val="16"/>
                        <w:szCs w:val="21"/>
                      </w:rPr>
                    </w:pPr>
                    <w:r>
                      <w:rPr>
                        <w:color w:themeColor="text1" w:val="1E4E85"/>
                        <w:sz w:val="16"/>
                        <w:szCs w:val="21"/>
                      </w:rPr>
                      <w:t>94300 Vincennes</w:t>
                    </w:r>
                  </w:p>
                  <w:p>
                    <w:pPr>
                      <w:pStyle w:val="FrameContents"/>
                      <w:spacing w:lineRule="exact" w:line="192"/>
                      <w:rPr>
                        <w:color w:themeColor="text1" w:val="1E4E85"/>
                        <w:sz w:val="16"/>
                        <w:szCs w:val="21"/>
                        <w:lang w:val="en-US"/>
                      </w:rPr>
                    </w:pPr>
                    <w:r>
                      <w:rPr>
                        <w:color w:themeColor="text1" w:val="1E4E85"/>
                        <w:sz w:val="16"/>
                        <w:szCs w:val="21"/>
                        <w:lang w:val="en-US"/>
                      </w:rPr>
                      <w:t>www.ofb.gouv.fr</w:t>
                    </w:r>
                  </w:p>
                </w:txbxContent>
              </v:textbox>
              <w10:wrap type="none"/>
            </v:rect>
          </w:pict>
        </mc:Fallback>
      </mc:AlternateContent>
    </w:r>
    <w:r>
      <w:rPr/>
      <w:tab/>
      <w:tab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s">
          <w:drawing>
            <wp:anchor behindDoc="1" distT="0" distB="0" distL="0" distR="0" simplePos="0" locked="0" layoutInCell="0" allowOverlap="1" relativeHeight="86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6477635" cy="3761105"/>
              <wp:effectExtent l="0" t="0" r="0" b="0"/>
              <wp:wrapNone/>
              <wp:docPr id="1" name="WordPictureWatermark720027766"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WordPictureWatermark720027766" descr=""/>
                      <pic:cNvPicPr/>
                    </pic:nvPicPr>
                    <pic:blipFill>
                      <a:blip r:embed="rId1"/>
                      <a:stretch/>
                    </pic:blipFill>
                    <pic:spPr>
                      <a:xfrm>
                        <a:off x="0" y="0"/>
                        <a:ext cx="6477480" cy="3761280"/>
                      </a:xfrm>
                      <a:prstGeom prst="rect">
                        <a:avLst/>
                      </a:prstGeom>
                      <a:ln w="0">
                        <a:noFill/>
                      </a:ln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WordPictureWatermark720027766" o:spid="shape_0" stroked="f" o:allowincell="f" style="position:absolute;margin-left:0.05pt;margin-top:0pt;width:510pt;height:296.1pt;mso-wrap-style:none;v-text-anchor:middle;mso-position-horizontal:center;mso-position-horizontal-relative:margin;mso-position-vertical:center;mso-position-vertical-relative:margin" type="_x0000_t75">
              <v:imagedata r:id="rId2" o:detectmouseclick="t"/>
              <v:stroke color="#3465a4" joinstyle="round" endcap="flat"/>
              <w10:wrap type="none"/>
            </v:shape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1" distT="0" distB="0" distL="0" distR="0" simplePos="0" locked="0" layoutInCell="1" allowOverlap="1" relativeHeight="19">
          <wp:simplePos x="0" y="0"/>
          <wp:positionH relativeFrom="column">
            <wp:posOffset>-600710</wp:posOffset>
          </wp:positionH>
          <wp:positionV relativeFrom="page">
            <wp:posOffset>0</wp:posOffset>
          </wp:positionV>
          <wp:extent cx="7563485" cy="1512570"/>
          <wp:effectExtent l="0" t="0" r="0" b="0"/>
          <wp:wrapNone/>
          <wp:docPr id="3" name="Image 16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16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63485" cy="15125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numPicBullet w:numPicBulletId="0">
    <w:pict>
      <v:shape style="width:23.25pt;height:26.25pt" o:bullet="t">
        <v:imagedata r:id="rId1" o:title=""/>
      </v:shape>
    </w:pict>
  </w:numPicBullet>
  <w:numPicBullet w:numPicBulletId="1">
    <w:pict>
      <v:shape style="width:12pt;height:13.5pt" o:bullet="t">
        <v:imagedata r:id="rId2" o:title=""/>
      </v:shape>
    </w:pict>
  </w:numPicBullet>
  <w:abstractNum w:abstractNumId="1">
    <w:lvl w:ilvl="0">
      <w:start w:val="1"/>
      <w:pStyle w:val="Heading1"/>
      <w:numFmt w:val="upperRoman"/>
      <w:suff w:val="space"/>
      <w:lvlText w:val="%1."/>
      <w:lvlJc w:val="left"/>
      <w:pPr>
        <w:tabs>
          <w:tab w:val="num" w:pos="0"/>
        </w:tabs>
        <w:ind w:left="340" w:hanging="340"/>
      </w:pPr>
      <w:rPr/>
    </w:lvl>
    <w:lvl w:ilvl="1">
      <w:start w:val="1"/>
      <w:pStyle w:val="Heading2"/>
      <w:numFmt w:val="decimal"/>
      <w:suff w:val="space"/>
      <w:lvlText w:val="%1.%2"/>
      <w:lvlJc w:val="left"/>
      <w:pPr>
        <w:tabs>
          <w:tab w:val="num" w:pos="0"/>
        </w:tabs>
        <w:ind w:left="1985" w:hanging="425"/>
      </w:pPr>
      <w:rPr/>
    </w:lvl>
    <w:lvl w:ilvl="2">
      <w:start w:val="1"/>
      <w:pStyle w:val="Heading3"/>
      <w:numFmt w:val="decimal"/>
      <w:suff w:val="space"/>
      <w:lvlText w:val="%1.%2.%3"/>
      <w:lvlJc w:val="left"/>
      <w:pPr>
        <w:tabs>
          <w:tab w:val="num" w:pos="0"/>
        </w:tabs>
        <w:ind w:left="1078" w:hanging="227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pacing w:val="0"/>
        <w:i w:val="false"/>
        <w:shadow w:val="false"/>
        <w:u w:val="none"/>
        <w:b w:val="false"/>
        <w:kern w:val="0"/>
        <w:effect w:val="none"/>
        <w:iCs w:val="false"/>
        <w:bCs w:val="false"/>
        <w:em w:val="none"/>
        <w:emboss w:val="false"/>
        <w:imprint w:val="false"/>
        <w:vanish w:val="false"/>
        <w14:cntxtAlts>
          <w14:cntxtAlts/>
        </w14:cntxtAlts>
        <w14:glow w14:rad="0">
          <w14:srgbClr w14:val="000000"/>
        </w14:glow>
        <w14:ligatures w14:val="none"/>
        <w14:numForm w14:val="default"/>
        <w14:numSpacing w14:val="default"/>
        <w14:props3d w14:extrusionH="0" w14:contourW="0" w14:prstMaterial="none"/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shadow w14:blurRad="0" w14:dist="0" w14:dir="0" w14:sx="0" w14:sy="0" w14:kx="0" w14:ky="0" w14:algn="none">
          <w14:srgbClr w14:val="000000"/>
        </w14:shadow>
        <w14:stylisticSets/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pStyle w:val="Heading4"/>
      <w:numFmt w:val="lowerLetter"/>
      <w:lvlText w:val="%4."/>
      <w:lvlJc w:val="right"/>
      <w:pPr>
        <w:tabs>
          <w:tab w:val="num" w:pos="0"/>
        </w:tabs>
        <w:ind w:left="2424" w:hanging="864"/>
      </w:pPr>
      <w:rPr/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  <w:rPr/>
    </w:lvl>
    <w:lvl w:ilvl="5">
      <w:start w:val="1"/>
      <w:pStyle w:val="Heading6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  <w:rPr/>
    </w:lvl>
    <w:lvl w:ilvl="6">
      <w:start w:val="1"/>
      <w:pStyle w:val="Heading7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  <w:rPr/>
    </w:lvl>
    <w:lvl w:ilvl="7">
      <w:start w:val="1"/>
      <w:pStyle w:val="Heading8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  <w:rPr/>
    </w:lvl>
    <w:lvl w:ilvl="8">
      <w:start w:val="1"/>
      <w:pStyle w:val="Heading9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680" w:hanging="226"/>
      </w:pPr>
      <w:rPr>
        <w:color w:val="auto"/>
      </w:rPr>
    </w:lvl>
    <w:lvl w:ilvl="1">
      <w:start w:val="1"/>
      <w:numFmt w:val="bullet"/>
      <w:lvlText w:val="◦"/>
      <w:lvlPicBulletId w:val="0"/>
      <w:lvlJc w:val="left"/>
      <w:pPr>
        <w:tabs>
          <w:tab w:val="num" w:pos="0"/>
        </w:tabs>
        <w:ind w:left="1134" w:hanging="680"/>
      </w:pPr>
      <w:rPr>
        <w:rFonts w:ascii="Symbol" w:hAnsi="Symbol" w:cs="Symbol" w:hint="default"/>
        <w:color w:val="auto"/>
      </w:rPr>
    </w:lvl>
    <w:lvl w:ilvl="2">
      <w:start w:val="1"/>
      <w:numFmt w:val="bullet"/>
      <w:suff w:val="space"/>
      <w:lvlText w:val="▪"/>
      <w:lvlPicBulletId w:val="0"/>
      <w:lvlJc w:val="left"/>
      <w:pPr>
        <w:tabs>
          <w:tab w:val="num" w:pos="0"/>
        </w:tabs>
        <w:ind w:left="1134" w:hanging="680"/>
      </w:pPr>
      <w:rPr>
        <w:rFonts w:ascii="Symbol" w:hAnsi="Symbol" w:cs="Symbol" w:hint="default"/>
      </w:rPr>
    </w:lvl>
    <w:lvl w:ilvl="3">
      <w:start w:val="1"/>
      <w:numFmt w:val="bullet"/>
      <w:suff w:val="space"/>
      <w:lvlText w:val="•"/>
      <w:lvlPicBulletId w:val="0"/>
      <w:lvlJc w:val="left"/>
      <w:pPr>
        <w:tabs>
          <w:tab w:val="num" w:pos="0"/>
        </w:tabs>
        <w:ind w:left="1134" w:hanging="680"/>
      </w:pPr>
      <w:rPr>
        <w:rFonts w:ascii="Symbol" w:hAnsi="Symbol" w:cs="Symbol" w:hint="default"/>
      </w:rPr>
    </w:lvl>
    <w:lvl w:ilvl="4">
      <w:start w:val="1"/>
      <w:numFmt w:val="bullet"/>
      <w:suff w:val="space"/>
      <w:lvlText w:val="◦"/>
      <w:lvlPicBulletId w:val="0"/>
      <w:lvlJc w:val="left"/>
      <w:pPr>
        <w:tabs>
          <w:tab w:val="num" w:pos="0"/>
        </w:tabs>
        <w:ind w:left="1134" w:hanging="680"/>
      </w:pPr>
      <w:rPr>
        <w:rFonts w:ascii="Symbol" w:hAnsi="Symbol" w:cs="Symbol" w:hint="default"/>
      </w:rPr>
    </w:lvl>
    <w:lvl w:ilvl="5">
      <w:start w:val="1"/>
      <w:numFmt w:val="bullet"/>
      <w:suff w:val="space"/>
      <w:lvlText w:val="▪"/>
      <w:lvlPicBulletId w:val="0"/>
      <w:lvlJc w:val="left"/>
      <w:pPr>
        <w:tabs>
          <w:tab w:val="num" w:pos="0"/>
        </w:tabs>
        <w:ind w:left="1134" w:hanging="680"/>
      </w:pPr>
      <w:rPr>
        <w:rFonts w:ascii="Symbol" w:hAnsi="Symbol" w:cs="Symbol" w:hint="default"/>
      </w:rPr>
    </w:lvl>
    <w:lvl w:ilvl="6">
      <w:start w:val="1"/>
      <w:numFmt w:val="bullet"/>
      <w:suff w:val="space"/>
      <w:lvlText w:val="•"/>
      <w:lvlPicBulletId w:val="0"/>
      <w:lvlJc w:val="left"/>
      <w:pPr>
        <w:tabs>
          <w:tab w:val="num" w:pos="0"/>
        </w:tabs>
        <w:ind w:left="1134" w:hanging="680"/>
      </w:pPr>
      <w:rPr>
        <w:rFonts w:ascii="Symbol" w:hAnsi="Symbol" w:cs="Symbol" w:hint="default"/>
      </w:rPr>
    </w:lvl>
    <w:lvl w:ilvl="7">
      <w:start w:val="1"/>
      <w:numFmt w:val="bullet"/>
      <w:suff w:val="space"/>
      <w:lvlText w:val="◦"/>
      <w:lvlPicBulletId w:val="0"/>
      <w:lvlJc w:val="left"/>
      <w:pPr>
        <w:tabs>
          <w:tab w:val="num" w:pos="0"/>
        </w:tabs>
        <w:ind w:left="1134" w:hanging="680"/>
      </w:pPr>
      <w:rPr>
        <w:rFonts w:ascii="Symbol" w:hAnsi="Symbol" w:cs="Symbol" w:hint="default"/>
      </w:rPr>
    </w:lvl>
    <w:lvl w:ilvl="8">
      <w:start w:val="1"/>
      <w:numFmt w:val="bullet"/>
      <w:suff w:val="space"/>
      <w:lvlText w:val="▪"/>
      <w:lvlPicBulletId w:val="0"/>
      <w:lvlJc w:val="left"/>
      <w:pPr>
        <w:tabs>
          <w:tab w:val="num" w:pos="0"/>
        </w:tabs>
        <w:ind w:left="1134" w:hanging="680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u"/>
      <w:lvlJc w:val="left"/>
      <w:pPr>
        <w:tabs>
          <w:tab w:val="num" w:pos="0"/>
        </w:tabs>
        <w:ind w:left="680" w:hanging="226"/>
      </w:pPr>
      <w:rPr>
        <w:rFonts w:ascii="Wingdings 3" w:hAnsi="Wingdings 3" w:cs="Wingdings 3" w:hint="default"/>
        <w:color w:val="003A76"/>
      </w:rPr>
    </w:lvl>
    <w:lvl w:ilvl="1">
      <w:start w:val="1"/>
      <w:numFmt w:val="bullet"/>
      <w:lvlText w:val="◦"/>
      <w:lvlPicBulletId w:val="0"/>
      <w:lvlJc w:val="left"/>
      <w:pPr>
        <w:tabs>
          <w:tab w:val="num" w:pos="0"/>
        </w:tabs>
        <w:ind w:left="1134" w:hanging="680"/>
      </w:pPr>
      <w:rPr>
        <w:rFonts w:ascii="Symbol" w:hAnsi="Symbol" w:cs="Symbol" w:hint="default"/>
        <w:color w:val="auto"/>
      </w:rPr>
    </w:lvl>
    <w:lvl w:ilvl="2">
      <w:start w:val="1"/>
      <w:numFmt w:val="bullet"/>
      <w:suff w:val="space"/>
      <w:lvlText w:val="▪"/>
      <w:lvlPicBulletId w:val="0"/>
      <w:lvlJc w:val="left"/>
      <w:pPr>
        <w:tabs>
          <w:tab w:val="num" w:pos="0"/>
        </w:tabs>
        <w:ind w:left="1134" w:hanging="680"/>
      </w:pPr>
      <w:rPr>
        <w:rFonts w:ascii="Symbol" w:hAnsi="Symbol" w:cs="Symbol" w:hint="default"/>
      </w:rPr>
    </w:lvl>
    <w:lvl w:ilvl="3">
      <w:start w:val="1"/>
      <w:numFmt w:val="bullet"/>
      <w:suff w:val="space"/>
      <w:lvlText w:val="•"/>
      <w:lvlPicBulletId w:val="0"/>
      <w:lvlJc w:val="left"/>
      <w:pPr>
        <w:tabs>
          <w:tab w:val="num" w:pos="0"/>
        </w:tabs>
        <w:ind w:left="1134" w:hanging="680"/>
      </w:pPr>
      <w:rPr>
        <w:rFonts w:ascii="Symbol" w:hAnsi="Symbol" w:cs="Symbol" w:hint="default"/>
      </w:rPr>
    </w:lvl>
    <w:lvl w:ilvl="4">
      <w:start w:val="1"/>
      <w:numFmt w:val="bullet"/>
      <w:suff w:val="space"/>
      <w:lvlText w:val="◦"/>
      <w:lvlPicBulletId w:val="0"/>
      <w:lvlJc w:val="left"/>
      <w:pPr>
        <w:tabs>
          <w:tab w:val="num" w:pos="0"/>
        </w:tabs>
        <w:ind w:left="1134" w:hanging="680"/>
      </w:pPr>
      <w:rPr>
        <w:rFonts w:ascii="Symbol" w:hAnsi="Symbol" w:cs="Symbol" w:hint="default"/>
      </w:rPr>
    </w:lvl>
    <w:lvl w:ilvl="5">
      <w:start w:val="1"/>
      <w:numFmt w:val="bullet"/>
      <w:suff w:val="space"/>
      <w:lvlText w:val="▪"/>
      <w:lvlPicBulletId w:val="0"/>
      <w:lvlJc w:val="left"/>
      <w:pPr>
        <w:tabs>
          <w:tab w:val="num" w:pos="0"/>
        </w:tabs>
        <w:ind w:left="1134" w:hanging="680"/>
      </w:pPr>
      <w:rPr>
        <w:rFonts w:ascii="Symbol" w:hAnsi="Symbol" w:cs="Symbol" w:hint="default"/>
      </w:rPr>
    </w:lvl>
    <w:lvl w:ilvl="6">
      <w:start w:val="1"/>
      <w:numFmt w:val="bullet"/>
      <w:suff w:val="space"/>
      <w:lvlText w:val="•"/>
      <w:lvlPicBulletId w:val="0"/>
      <w:lvlJc w:val="left"/>
      <w:pPr>
        <w:tabs>
          <w:tab w:val="num" w:pos="0"/>
        </w:tabs>
        <w:ind w:left="1134" w:hanging="680"/>
      </w:pPr>
      <w:rPr>
        <w:rFonts w:ascii="Symbol" w:hAnsi="Symbol" w:cs="Symbol" w:hint="default"/>
      </w:rPr>
    </w:lvl>
    <w:lvl w:ilvl="7">
      <w:start w:val="1"/>
      <w:numFmt w:val="bullet"/>
      <w:suff w:val="space"/>
      <w:lvlText w:val="◦"/>
      <w:lvlPicBulletId w:val="0"/>
      <w:lvlJc w:val="left"/>
      <w:pPr>
        <w:tabs>
          <w:tab w:val="num" w:pos="0"/>
        </w:tabs>
        <w:ind w:left="1134" w:hanging="680"/>
      </w:pPr>
      <w:rPr>
        <w:rFonts w:ascii="Symbol" w:hAnsi="Symbol" w:cs="Symbol" w:hint="default"/>
      </w:rPr>
    </w:lvl>
    <w:lvl w:ilvl="8">
      <w:start w:val="1"/>
      <w:numFmt w:val="bullet"/>
      <w:suff w:val="space"/>
      <w:lvlText w:val="▪"/>
      <w:lvlPicBulletId w:val="0"/>
      <w:lvlJc w:val="left"/>
      <w:pPr>
        <w:tabs>
          <w:tab w:val="num" w:pos="0"/>
        </w:tabs>
        <w:ind w:left="1134" w:hanging="68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SimSun" w:cs="Mangal"/>
        <w:kern w:val="2"/>
        <w:lang w:val="fr-FR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0" w:semiHidden="1" w:unhideWhenUsed="1" w:qFormat="1"/>
    <w:lsdException w:name="heading 8" w:uiPriority="0" w:semiHidden="1" w:unhideWhenUsed="1" w:qFormat="1"/>
    <w:lsdException w:name="heading 9" w:uiPriority="0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c24ca"/>
    <w:pPr>
      <w:widowControl w:val="false"/>
      <w:bidi w:val="0"/>
      <w:spacing w:before="0" w:after="0"/>
      <w:jc w:val="left"/>
    </w:pPr>
    <w:rPr>
      <w:rFonts w:ascii="Marianne" w:hAnsi="Marianne" w:eastAsia="SimSun" w:cs="Mangal"/>
      <w:color w:val="auto"/>
      <w:kern w:val="2"/>
      <w:sz w:val="20"/>
      <w:szCs w:val="20"/>
      <w:lang w:val="fr-FR" w:eastAsia="zh-CN" w:bidi="hi-IN"/>
    </w:rPr>
  </w:style>
  <w:style w:type="paragraph" w:styleId="Heading1">
    <w:name w:val="Heading 1"/>
    <w:next w:val="Normal"/>
    <w:uiPriority w:val="9"/>
    <w:qFormat/>
    <w:rsid w:val="00116f2e"/>
    <w:pPr>
      <w:widowControl/>
      <w:numPr>
        <w:ilvl w:val="0"/>
        <w:numId w:val="1"/>
      </w:numPr>
      <w:suppressLineNumbers/>
      <w:bidi w:val="0"/>
      <w:spacing w:before="0" w:after="113"/>
      <w:jc w:val="left"/>
      <w:outlineLvl w:val="0"/>
    </w:pPr>
    <w:rPr>
      <w:rFonts w:ascii="Marianne" w:hAnsi="Marianne" w:eastAsia="SimSun" w:cs="Mangal"/>
      <w:b/>
      <w:bCs/>
      <w:color w:val="003A76"/>
      <w:kern w:val="2"/>
      <w:sz w:val="36"/>
      <w:szCs w:val="28"/>
      <w:lang w:val="fr-FR" w:eastAsia="zh-CN" w:bidi="hi-IN"/>
    </w:rPr>
  </w:style>
  <w:style w:type="paragraph" w:styleId="Heading2">
    <w:name w:val="Heading 2"/>
    <w:basedOn w:val="Heading1"/>
    <w:next w:val="Normal"/>
    <w:uiPriority w:val="9"/>
    <w:unhideWhenUsed/>
    <w:qFormat/>
    <w:rsid w:val="00991607"/>
    <w:pPr>
      <w:numPr>
        <w:ilvl w:val="1"/>
        <w:numId w:val="1"/>
      </w:numPr>
      <w:ind w:left="765"/>
      <w:outlineLvl w:val="1"/>
    </w:pPr>
    <w:rPr>
      <w:iCs/>
      <w:color w:val="000000"/>
      <w:sz w:val="28"/>
    </w:rPr>
  </w:style>
  <w:style w:type="paragraph" w:styleId="Heading3">
    <w:name w:val="Heading 3"/>
    <w:basedOn w:val="Heading2"/>
    <w:next w:val="Normal"/>
    <w:link w:val="Titre3Car"/>
    <w:uiPriority w:val="9"/>
    <w:unhideWhenUsed/>
    <w:qFormat/>
    <w:pPr>
      <w:numPr>
        <w:ilvl w:val="2"/>
        <w:numId w:val="1"/>
      </w:numPr>
      <w:ind w:left="1134"/>
      <w:outlineLvl w:val="2"/>
    </w:pPr>
    <w:rPr>
      <w:i/>
      <w:sz w:val="24"/>
    </w:rPr>
  </w:style>
  <w:style w:type="paragraph" w:styleId="Heading4">
    <w:name w:val="Heading 4"/>
    <w:basedOn w:val="Heading3"/>
    <w:next w:val="BodyText"/>
    <w:uiPriority w:val="9"/>
    <w:unhideWhenUsed/>
    <w:qFormat/>
    <w:rsid w:val="007b08db"/>
    <w:pPr>
      <w:numPr>
        <w:ilvl w:val="3"/>
        <w:numId w:val="1"/>
      </w:numPr>
      <w:outlineLvl w:val="3"/>
    </w:pPr>
    <w:rPr/>
  </w:style>
  <w:style w:type="paragraph" w:styleId="Heading5">
    <w:name w:val="Heading 5"/>
    <w:basedOn w:val="Title"/>
    <w:next w:val="BodyText"/>
    <w:uiPriority w:val="9"/>
    <w:unhideWhenUsed/>
    <w:qFormat/>
    <w:pPr>
      <w:numPr>
        <w:ilvl w:val="4"/>
        <w:numId w:val="1"/>
      </w:numPr>
      <w:outlineLvl w:val="4"/>
    </w:pPr>
    <w:rPr>
      <w:bCs/>
      <w:sz w:val="31"/>
      <w:szCs w:val="24"/>
    </w:rPr>
  </w:style>
  <w:style w:type="paragraph" w:styleId="Heading6">
    <w:name w:val="Heading 6"/>
    <w:basedOn w:val="Title"/>
    <w:next w:val="BodyText"/>
    <w:uiPriority w:val="9"/>
    <w:semiHidden/>
    <w:unhideWhenUsed/>
    <w:qFormat/>
    <w:pPr>
      <w:numPr>
        <w:ilvl w:val="5"/>
        <w:numId w:val="1"/>
      </w:numPr>
      <w:outlineLvl w:val="5"/>
    </w:pPr>
    <w:rPr>
      <w:bCs/>
      <w:sz w:val="27"/>
      <w:szCs w:val="21"/>
    </w:rPr>
  </w:style>
  <w:style w:type="paragraph" w:styleId="Heading7">
    <w:name w:val="Heading 7"/>
    <w:basedOn w:val="Title"/>
    <w:next w:val="BodyText"/>
    <w:qFormat/>
    <w:pPr>
      <w:numPr>
        <w:ilvl w:val="6"/>
        <w:numId w:val="1"/>
      </w:numPr>
      <w:outlineLvl w:val="6"/>
    </w:pPr>
    <w:rPr>
      <w:bCs/>
      <w:sz w:val="27"/>
      <w:szCs w:val="21"/>
    </w:rPr>
  </w:style>
  <w:style w:type="paragraph" w:styleId="Heading8">
    <w:name w:val="Heading 8"/>
    <w:basedOn w:val="Title"/>
    <w:next w:val="BodyText"/>
    <w:qFormat/>
    <w:pPr>
      <w:numPr>
        <w:ilvl w:val="7"/>
        <w:numId w:val="1"/>
      </w:numPr>
      <w:outlineLvl w:val="7"/>
    </w:pPr>
    <w:rPr>
      <w:bCs/>
      <w:sz w:val="27"/>
      <w:szCs w:val="21"/>
    </w:rPr>
  </w:style>
  <w:style w:type="paragraph" w:styleId="Heading9">
    <w:name w:val="Heading 9"/>
    <w:basedOn w:val="Title"/>
    <w:next w:val="BodyText"/>
    <w:qFormat/>
    <w:pPr>
      <w:numPr>
        <w:ilvl w:val="8"/>
        <w:numId w:val="1"/>
      </w:numPr>
      <w:outlineLvl w:val="8"/>
    </w:pPr>
    <w:rPr>
      <w:bCs/>
      <w:sz w:val="27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reC" w:customStyle="1">
    <w:name w:val="Titre C"/>
    <w:qFormat/>
    <w:rPr>
      <w:b/>
      <w:color w:val="000000"/>
      <w:sz w:val="20"/>
      <w:u w:val="single"/>
    </w:rPr>
  </w:style>
  <w:style w:type="character" w:styleId="TitreA" w:customStyle="1">
    <w:name w:val="Titre A"/>
    <w:qFormat/>
    <w:rPr>
      <w:b/>
      <w:color w:val="000000"/>
      <w:sz w:val="28"/>
    </w:rPr>
  </w:style>
  <w:style w:type="character" w:styleId="TitreB" w:customStyle="1">
    <w:name w:val="Titre B"/>
    <w:qFormat/>
    <w:rPr>
      <w:b/>
      <w:color w:val="000000"/>
      <w:sz w:val="24"/>
    </w:rPr>
  </w:style>
  <w:style w:type="character" w:styleId="Numrotationdelignes" w:customStyle="1">
    <w:name w:val="Numérotation de lignes"/>
    <w:qFormat/>
    <w:rPr/>
  </w:style>
  <w:style w:type="character" w:styleId="Caractresdenumrotation" w:customStyle="1">
    <w:name w:val="Caractères de numérotation"/>
    <w:qFormat/>
    <w:rPr/>
  </w:style>
  <w:style w:type="character" w:styleId="Puces" w:customStyle="1">
    <w:name w:val="Puces"/>
    <w:qFormat/>
    <w:rPr>
      <w:rFonts w:ascii="OpenSymbol" w:hAnsi="OpenSymbol" w:eastAsia="OpenSymbol" w:cs="OpenSymbol"/>
    </w:rPr>
  </w:style>
  <w:style w:type="character" w:styleId="Caractresdenotedebasdepage" w:customStyle="1">
    <w:name w:val="Caractères de note de bas de page"/>
    <w:qFormat/>
    <w:rPr/>
  </w:style>
  <w:style w:type="character" w:styleId="Ancredenotedebasdepage" w:customStyle="1">
    <w:name w:val="Ancre de note de bas de page"/>
    <w:qFormat/>
    <w:rPr>
      <w:vertAlign w:val="superscript"/>
    </w:rPr>
  </w:style>
  <w:style w:type="character" w:styleId="Caractresdenotedefin" w:customStyle="1">
    <w:name w:val="Caractères de note de fin"/>
    <w:qFormat/>
    <w:rPr/>
  </w:style>
  <w:style w:type="character" w:styleId="Ancredenotedefin" w:customStyle="1">
    <w:name w:val="Ancre de note de fin"/>
    <w:qFormat/>
    <w:rPr>
      <w:vertAlign w:val="superscript"/>
    </w:rPr>
  </w:style>
  <w:style w:type="character" w:styleId="Coordonnes" w:customStyle="1">
    <w:name w:val="Coordonnées"/>
    <w:qFormat/>
    <w:rPr>
      <w:sz w:val="16"/>
    </w:rPr>
  </w:style>
  <w:style w:type="character" w:styleId="textemisenavant" w:customStyle="1">
    <w:name w:val="texte mis en avant"/>
    <w:qFormat/>
    <w:rPr>
      <w:b/>
      <w:color w:val="000000"/>
    </w:rPr>
  </w:style>
  <w:style w:type="character" w:styleId="Zeichenformat" w:customStyle="1">
    <w:name w:val="Zeichenformat"/>
    <w:qFormat/>
    <w:rPr/>
  </w:style>
  <w:style w:type="character" w:styleId="standard" w:customStyle="1">
    <w:name w:val="standard"/>
    <w:qFormat/>
    <w:rsid w:val="00cc24ca"/>
    <w:rPr>
      <w:rFonts w:ascii="Marianne" w:hAnsi="Marianne"/>
      <w:b w:val="false"/>
      <w:i w:val="false"/>
      <w:color w:val="000000"/>
    </w:rPr>
  </w:style>
  <w:style w:type="character" w:styleId="bleu" w:customStyle="1">
    <w:name w:val="bleu"/>
    <w:basedOn w:val="standard"/>
    <w:qFormat/>
    <w:rPr>
      <w:rFonts w:ascii="Marianne" w:hAnsi="Marianne"/>
      <w:b/>
      <w:i w:val="false"/>
      <w:color w:val="063D77"/>
    </w:rPr>
  </w:style>
  <w:style w:type="character" w:styleId="LienInternet" w:customStyle="1">
    <w:name w:val="Lien Internet"/>
    <w:qFormat/>
    <w:rPr>
      <w:color w:val="000080"/>
      <w:u w:val="single"/>
    </w:rPr>
  </w:style>
  <w:style w:type="character" w:styleId="Sautdindex" w:customStyle="1">
    <w:name w:val="Saut d'index"/>
    <w:qFormat/>
    <w:rPr/>
  </w:style>
  <w:style w:type="character" w:styleId="Bullets" w:customStyle="1">
    <w:name w:val="Bullets"/>
    <w:qFormat/>
    <w:rPr/>
  </w:style>
  <w:style w:type="character" w:styleId="Hyperlink">
    <w:name w:val="Hyperlink"/>
    <w:basedOn w:val="DefaultParagraphFont"/>
    <w:uiPriority w:val="99"/>
    <w:unhideWhenUsed/>
    <w:rsid w:val="00cf269c"/>
    <w:rPr>
      <w:color w:themeColor="hyperlink" w:val="4296CE"/>
      <w:u w:val="single"/>
    </w:rPr>
  </w:style>
  <w:style w:type="character" w:styleId="StylesdepucesCar" w:customStyle="1">
    <w:name w:val="Styles de puces Car"/>
    <w:basedOn w:val="DefaultParagraphFont"/>
    <w:link w:val="Stylesdepuces"/>
    <w:qFormat/>
    <w:rsid w:val="00205398"/>
    <w:rPr/>
  </w:style>
  <w:style w:type="character" w:styleId="TextedebullesCar" w:customStyle="1">
    <w:name w:val="Texte de bulles Car"/>
    <w:basedOn w:val="DefaultParagraphFont"/>
    <w:link w:val="BalloonText"/>
    <w:uiPriority w:val="99"/>
    <w:semiHidden/>
    <w:qFormat/>
    <w:rsid w:val="00586626"/>
    <w:rPr>
      <w:rFonts w:ascii="Times New Roman" w:hAnsi="Times New Roman"/>
      <w:sz w:val="18"/>
      <w:szCs w:val="16"/>
    </w:rPr>
  </w:style>
  <w:style w:type="character" w:styleId="PlaceholderText">
    <w:name w:val="Placeholder Text"/>
    <w:basedOn w:val="DefaultParagraphFont"/>
    <w:uiPriority w:val="99"/>
    <w:semiHidden/>
    <w:qFormat/>
    <w:rsid w:val="000c5e45"/>
    <w:rPr>
      <w:color w:val="808080"/>
    </w:rPr>
  </w:style>
  <w:style w:type="character" w:styleId="Tableau-TitreCar" w:customStyle="1">
    <w:name w:val="Tableau - Titre Car"/>
    <w:basedOn w:val="DefaultParagraphFont"/>
    <w:link w:val="Tableau-Titre"/>
    <w:uiPriority w:val="6"/>
    <w:qFormat/>
    <w:rsid w:val="000c5e45"/>
    <w:rPr>
      <w:rFonts w:eastAsia="Arial" w:cs="" w:cstheme="minorBidi" w:eastAsiaTheme="minorHAnsi"/>
      <w:b/>
      <w:color w:themeColor="text2" w:val="51B3DE"/>
      <w:kern w:val="0"/>
      <w:sz w:val="22"/>
      <w:szCs w:val="22"/>
      <w:u w:val="single"/>
      <w:lang w:eastAsia="en-US" w:bidi="ar-SA"/>
    </w:rPr>
  </w:style>
  <w:style w:type="character" w:styleId="IntenseReference">
    <w:name w:val="Intense Reference"/>
    <w:basedOn w:val="DefaultParagraphFont"/>
    <w:uiPriority w:val="32"/>
    <w:qFormat/>
    <w:rsid w:val="00a8647a"/>
    <w:rPr>
      <w:b/>
      <w:bCs/>
      <w:smallCaps/>
      <w:color w:themeColor="accent1" w:val="4472C4"/>
      <w:spacing w:val="5"/>
    </w:rPr>
  </w:style>
  <w:style w:type="character" w:styleId="Titre3Car" w:customStyle="1">
    <w:name w:val="Titre 3 Car"/>
    <w:basedOn w:val="DefaultParagraphFont"/>
    <w:link w:val="Heading3"/>
    <w:uiPriority w:val="9"/>
    <w:qFormat/>
    <w:rsid w:val="00c02c69"/>
    <w:rPr>
      <w:rFonts w:ascii="Marianne" w:hAnsi="Marianne"/>
      <w:b/>
      <w:bCs/>
      <w:i/>
      <w:iCs/>
      <w:color w:val="000000"/>
      <w:sz w:val="24"/>
      <w:szCs w:val="28"/>
    </w:rPr>
  </w:style>
  <w:style w:type="character" w:styleId="Tableau-ContenuCar" w:customStyle="1">
    <w:name w:val="Tableau - Contenu Car"/>
    <w:basedOn w:val="DefaultParagraphFont"/>
    <w:link w:val="Tableau-Contenu"/>
    <w:uiPriority w:val="8"/>
    <w:qFormat/>
    <w:rsid w:val="00e64560"/>
    <w:rPr>
      <w:rFonts w:ascii="Montserrat" w:hAnsi="Montserrat" w:eastAsia="Arial" w:cs="" w:cstheme="minorBidi" w:eastAsiaTheme="minorHAnsi"/>
      <w:color w:val="3C3C3C"/>
      <w:kern w:val="0"/>
      <w:sz w:val="18"/>
      <w:szCs w:val="22"/>
      <w:lang w:eastAsia="en-US" w:bidi="ar-SA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styleId="Index" w:customStyle="1">
    <w:name w:val="Index"/>
    <w:basedOn w:val="Normal"/>
    <w:qFormat/>
    <w:pPr>
      <w:suppressLineNumbers/>
    </w:pPr>
    <w:rPr/>
  </w:style>
  <w:style w:type="paragraph" w:styleId="Title">
    <w:name w:val="Title"/>
    <w:basedOn w:val="Normal"/>
    <w:next w:val="Normal"/>
    <w:uiPriority w:val="10"/>
    <w:qFormat/>
    <w:rsid w:val="00410e3e"/>
    <w:pPr>
      <w:keepNext w:val="true"/>
      <w:spacing w:before="0" w:after="120"/>
    </w:pPr>
    <w:rPr>
      <w:rFonts w:eastAsia="Microsoft YaHei"/>
      <w:b/>
      <w:color w:val="063D77"/>
      <w:sz w:val="36"/>
      <w:szCs w:val="28"/>
    </w:rPr>
  </w:style>
  <w:style w:type="paragraph" w:styleId="En-tteetpieddepage" w:customStyle="1">
    <w:name w:val="En-tête et pied de page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Contenudecadre" w:customStyle="1">
    <w:name w:val="Contenu de cadre"/>
    <w:basedOn w:val="BodyText"/>
    <w:qFormat/>
    <w:pPr/>
    <w:rPr>
      <w:color w:val="000000"/>
    </w:rPr>
  </w:style>
  <w:style w:type="paragraph" w:styleId="FootnoteText">
    <w:name w:val="Footnote Text"/>
    <w:autoRedefine/>
    <w:pPr>
      <w:widowControl w:val="false"/>
      <w:suppressLineNumbers/>
      <w:bidi w:val="0"/>
      <w:spacing w:before="0" w:after="0"/>
      <w:ind w:hanging="170" w:left="170"/>
      <w:jc w:val="left"/>
    </w:pPr>
    <w:rPr>
      <w:rFonts w:ascii="Arial" w:hAnsi="Arial" w:eastAsia="SimSun" w:cs="Mangal"/>
      <w:color w:val="635A32"/>
      <w:kern w:val="2"/>
      <w:sz w:val="16"/>
      <w:szCs w:val="20"/>
      <w:lang w:val="fr-FR" w:eastAsia="zh-CN" w:bidi="hi-IN"/>
    </w:rPr>
  </w:style>
  <w:style w:type="paragraph" w:styleId="EndnoteText">
    <w:name w:val="Endnote Text"/>
    <w:basedOn w:val="Normal"/>
    <w:pPr>
      <w:suppressLineNumbers/>
      <w:ind w:hanging="283" w:left="283"/>
    </w:pPr>
    <w:rPr/>
  </w:style>
  <w:style w:type="paragraph" w:styleId="Titre10" w:customStyle="1">
    <w:name w:val="Titre 10"/>
    <w:basedOn w:val="Title"/>
    <w:next w:val="BodyText"/>
    <w:qFormat/>
    <w:pPr>
      <w:tabs>
        <w:tab w:val="clear" w:pos="709"/>
        <w:tab w:val="left" w:pos="1584" w:leader="none"/>
      </w:tabs>
      <w:ind w:hanging="1584" w:left="1584"/>
      <w:outlineLvl w:val="8"/>
    </w:pPr>
    <w:rPr>
      <w:bCs/>
      <w:sz w:val="27"/>
      <w:szCs w:val="21"/>
    </w:rPr>
  </w:style>
  <w:style w:type="paragraph" w:styleId="toaheading">
    <w:name w:val="toa heading"/>
    <w:basedOn w:val="Title"/>
    <w:qFormat/>
    <w:rsid w:val="00116f2e"/>
    <w:pPr>
      <w:suppressLineNumbers/>
    </w:pPr>
    <w:rPr>
      <w:bCs/>
      <w:color w:val="003A76"/>
      <w:sz w:val="32"/>
      <w:szCs w:val="32"/>
    </w:rPr>
  </w:style>
  <w:style w:type="paragraph" w:styleId="TOC1">
    <w:name w:val="TOC 1"/>
    <w:basedOn w:val="Index"/>
    <w:uiPriority w:val="39"/>
    <w:rsid w:val="00cc24ca"/>
    <w:pPr>
      <w:tabs>
        <w:tab w:val="clear" w:pos="709"/>
        <w:tab w:val="right" w:pos="9071" w:leader="dot"/>
      </w:tabs>
      <w:spacing w:before="283" w:after="0"/>
    </w:pPr>
    <w:rPr>
      <w:b/>
      <w:color w:val="000000"/>
    </w:rPr>
  </w:style>
  <w:style w:type="paragraph" w:styleId="TOC2">
    <w:name w:val="TOC 2"/>
    <w:basedOn w:val="Index"/>
    <w:uiPriority w:val="39"/>
    <w:rsid w:val="00cc24ca"/>
    <w:pPr>
      <w:tabs>
        <w:tab w:val="clear" w:pos="709"/>
        <w:tab w:val="right" w:pos="9071" w:leader="dot"/>
      </w:tabs>
      <w:ind w:left="283"/>
    </w:pPr>
    <w:rPr>
      <w:color w:val="000000"/>
    </w:rPr>
  </w:style>
  <w:style w:type="paragraph" w:styleId="TOC3">
    <w:name w:val="TOC 3"/>
    <w:basedOn w:val="Index"/>
    <w:uiPriority w:val="39"/>
    <w:rsid w:val="00cc24ca"/>
    <w:pPr>
      <w:tabs>
        <w:tab w:val="clear" w:pos="709"/>
        <w:tab w:val="right" w:pos="9071" w:leader="dot"/>
      </w:tabs>
      <w:ind w:left="566"/>
    </w:pPr>
    <w:rPr>
      <w:color w:val="000000"/>
    </w:rPr>
  </w:style>
  <w:style w:type="paragraph" w:styleId="TOC4">
    <w:name w:val="TOC 4"/>
    <w:basedOn w:val="Index"/>
    <w:uiPriority w:val="39"/>
    <w:pPr>
      <w:tabs>
        <w:tab w:val="clear" w:pos="709"/>
        <w:tab w:val="right" w:pos="9071" w:leader="dot"/>
      </w:tabs>
      <w:ind w:left="849"/>
    </w:pPr>
    <w:rPr/>
  </w:style>
  <w:style w:type="paragraph" w:styleId="TOC5">
    <w:name w:val="TOC 5"/>
    <w:basedOn w:val="Index"/>
    <w:pPr>
      <w:tabs>
        <w:tab w:val="clear" w:pos="709"/>
        <w:tab w:val="right" w:pos="9071" w:leader="dot"/>
      </w:tabs>
      <w:ind w:left="1132"/>
    </w:pPr>
    <w:rPr/>
  </w:style>
  <w:style w:type="paragraph" w:styleId="TOC6">
    <w:name w:val="TOC 6"/>
    <w:basedOn w:val="Index"/>
    <w:pPr>
      <w:tabs>
        <w:tab w:val="clear" w:pos="709"/>
        <w:tab w:val="right" w:pos="9071" w:leader="dot"/>
      </w:tabs>
      <w:ind w:left="1415"/>
    </w:pPr>
    <w:rPr/>
  </w:style>
  <w:style w:type="paragraph" w:styleId="TOC7">
    <w:name w:val="TOC 7"/>
    <w:basedOn w:val="Index"/>
    <w:pPr>
      <w:tabs>
        <w:tab w:val="clear" w:pos="709"/>
        <w:tab w:val="right" w:pos="9071" w:leader="dot"/>
      </w:tabs>
      <w:ind w:left="1698"/>
    </w:pPr>
    <w:rPr/>
  </w:style>
  <w:style w:type="paragraph" w:styleId="TOC8">
    <w:name w:val="TOC 8"/>
    <w:basedOn w:val="Index"/>
    <w:pPr>
      <w:tabs>
        <w:tab w:val="clear" w:pos="709"/>
        <w:tab w:val="right" w:pos="9071" w:leader="dot"/>
      </w:tabs>
      <w:ind w:left="1981"/>
    </w:pPr>
    <w:rPr/>
  </w:style>
  <w:style w:type="paragraph" w:styleId="TOC9">
    <w:name w:val="TOC 9"/>
    <w:basedOn w:val="Index"/>
    <w:pPr>
      <w:tabs>
        <w:tab w:val="clear" w:pos="709"/>
        <w:tab w:val="right" w:pos="9071" w:leader="dot"/>
      </w:tabs>
      <w:ind w:left="2264"/>
    </w:pPr>
    <w:rPr/>
  </w:style>
  <w:style w:type="paragraph" w:styleId="Tabledesmatiresniveau10" w:customStyle="1">
    <w:name w:val="Table des matières niveau 10"/>
    <w:basedOn w:val="Index"/>
    <w:qFormat/>
    <w:pPr>
      <w:tabs>
        <w:tab w:val="clear" w:pos="709"/>
        <w:tab w:val="right" w:pos="9071" w:leader="dot"/>
      </w:tabs>
      <w:ind w:left="2547"/>
    </w:pPr>
    <w:rPr/>
  </w:style>
  <w:style w:type="paragraph" w:styleId="Tableau" w:customStyle="1">
    <w:name w:val="Tableau"/>
    <w:basedOn w:val="Caption"/>
    <w:qFormat/>
    <w:pPr/>
    <w:rPr/>
  </w:style>
  <w:style w:type="paragraph" w:styleId="Texte" w:customStyle="1">
    <w:name w:val="Texte"/>
    <w:basedOn w:val="Caption"/>
    <w:qFormat/>
    <w:pPr/>
    <w:rPr/>
  </w:style>
  <w:style w:type="paragraph" w:styleId="Texteprformat" w:customStyle="1">
    <w:name w:val="Texte préformaté"/>
    <w:basedOn w:val="Normal"/>
    <w:qFormat/>
    <w:pPr/>
    <w:rPr>
      <w:rFonts w:ascii="Liberation Mono" w:hAnsi="Liberation Mono" w:eastAsia="NSimSun" w:cs="Liberation Mono"/>
    </w:rPr>
  </w:style>
  <w:style w:type="paragraph" w:styleId="Titredindexdobjets" w:customStyle="1">
    <w:name w:val="Titre d'index d'objets"/>
    <w:basedOn w:val="Title"/>
    <w:qFormat/>
    <w:pPr>
      <w:suppressLineNumbers/>
    </w:pPr>
    <w:rPr>
      <w:bCs/>
      <w:sz w:val="32"/>
      <w:szCs w:val="32"/>
    </w:rPr>
  </w:style>
  <w:style w:type="paragraph" w:styleId="Titredindexdetableaux" w:customStyle="1">
    <w:name w:val="Titre d'index de tableaux"/>
    <w:basedOn w:val="Title"/>
    <w:qFormat/>
    <w:pPr>
      <w:suppressLineNumbers/>
    </w:pPr>
    <w:rPr>
      <w:bCs/>
      <w:sz w:val="32"/>
      <w:szCs w:val="32"/>
    </w:rPr>
  </w:style>
  <w:style w:type="paragraph" w:styleId="Titredindexpersonnalis" w:customStyle="1">
    <w:name w:val="Titre d'index personnalisé"/>
    <w:basedOn w:val="Title"/>
    <w:qFormat/>
    <w:pPr>
      <w:suppressLineNumbers/>
    </w:pPr>
    <w:rPr>
      <w:bCs/>
      <w:sz w:val="32"/>
      <w:szCs w:val="32"/>
    </w:rPr>
  </w:style>
  <w:style w:type="paragraph" w:styleId="IndexHeading">
    <w:name w:val="Index Heading"/>
    <w:basedOn w:val="Title"/>
    <w:pPr>
      <w:suppressLineNumbers/>
    </w:pPr>
    <w:rPr>
      <w:bCs/>
      <w:sz w:val="32"/>
      <w:szCs w:val="32"/>
    </w:rPr>
  </w:style>
  <w:style w:type="paragraph" w:styleId="TableofAuthorities">
    <w:name w:val="Table of Authorities"/>
    <w:basedOn w:val="Title"/>
    <w:pPr>
      <w:suppressLineNumbers/>
    </w:pPr>
    <w:rPr>
      <w:bCs/>
      <w:sz w:val="32"/>
      <w:szCs w:val="32"/>
    </w:rPr>
  </w:style>
  <w:style w:type="paragraph" w:styleId="Titredelindexdesfigures" w:customStyle="1">
    <w:name w:val="Titre de l'index des figures"/>
    <w:basedOn w:val="Title"/>
    <w:qFormat/>
    <w:pPr>
      <w:suppressLineNumbers/>
    </w:pPr>
    <w:rPr>
      <w:bCs/>
      <w:sz w:val="32"/>
      <w:szCs w:val="32"/>
    </w:rPr>
  </w:style>
  <w:style w:type="paragraph" w:styleId="Alinangatif" w:customStyle="1">
    <w:name w:val="Alinéa négatif"/>
    <w:basedOn w:val="BodyText"/>
    <w:qFormat/>
    <w:pPr>
      <w:tabs>
        <w:tab w:val="clear" w:pos="709"/>
        <w:tab w:val="left" w:pos="567" w:leader="none"/>
      </w:tabs>
      <w:ind w:hanging="283" w:left="567"/>
    </w:pPr>
    <w:rPr/>
  </w:style>
  <w:style w:type="paragraph" w:styleId="Bibliographie1" w:customStyle="1">
    <w:name w:val="Bibliographie 1"/>
    <w:basedOn w:val="Index"/>
    <w:qFormat/>
    <w:pPr>
      <w:tabs>
        <w:tab w:val="clear" w:pos="709"/>
        <w:tab w:val="right" w:pos="9071" w:leader="dot"/>
      </w:tabs>
    </w:pPr>
    <w:rPr/>
  </w:style>
  <w:style w:type="paragraph" w:styleId="Citations" w:customStyle="1">
    <w:name w:val="Citations"/>
    <w:basedOn w:val="Normal"/>
    <w:qFormat/>
    <w:pPr>
      <w:spacing w:before="0" w:after="283"/>
      <w:ind w:left="567" w:right="567"/>
    </w:pPr>
    <w:rPr/>
  </w:style>
  <w:style w:type="paragraph" w:styleId="Contenudeliste" w:customStyle="1">
    <w:name w:val="Contenu de liste"/>
    <w:basedOn w:val="Normal"/>
    <w:qFormat/>
    <w:pPr>
      <w:ind w:left="567"/>
    </w:pPr>
    <w:rPr/>
  </w:style>
  <w:style w:type="paragraph" w:styleId="Contenudetableau" w:customStyle="1">
    <w:name w:val="Contenu de tableau"/>
    <w:basedOn w:val="Normal"/>
    <w:qFormat/>
    <w:pPr>
      <w:suppressLineNumbers/>
    </w:pPr>
    <w:rPr/>
  </w:style>
  <w:style w:type="paragraph" w:styleId="TableofFigures">
    <w:name w:val="Table of Figures"/>
    <w:basedOn w:val="Caption"/>
    <w:pPr/>
    <w:rPr/>
  </w:style>
  <w:style w:type="paragraph" w:styleId="EnvelopeAddress">
    <w:name w:val="Envelope Address"/>
    <w:basedOn w:val="Normal"/>
    <w:pPr>
      <w:suppressLineNumbers/>
      <w:spacing w:before="0" w:after="60"/>
    </w:pPr>
    <w:rPr/>
  </w:style>
  <w:style w:type="paragraph" w:styleId="Header">
    <w:name w:val="Header"/>
    <w:basedOn w:val="En-tteetpieddepage"/>
    <w:pPr>
      <w:tabs>
        <w:tab w:val="clear" w:pos="4819"/>
        <w:tab w:val="clear" w:pos="9638"/>
        <w:tab w:val="center" w:pos="4535" w:leader="none"/>
        <w:tab w:val="right" w:pos="9071" w:leader="none"/>
      </w:tabs>
    </w:pPr>
    <w:rPr/>
  </w:style>
  <w:style w:type="paragraph" w:styleId="En-ttedeliste" w:customStyle="1">
    <w:name w:val="En-tête de liste"/>
    <w:basedOn w:val="Normal"/>
    <w:next w:val="Contenudeliste"/>
    <w:qFormat/>
    <w:pPr/>
    <w:rPr/>
  </w:style>
  <w:style w:type="paragraph" w:styleId="En-ttedroit" w:customStyle="1">
    <w:name w:val="En-tête droit"/>
    <w:basedOn w:val="Header"/>
    <w:qFormat/>
    <w:pPr>
      <w:jc w:val="right"/>
    </w:pPr>
    <w:rPr/>
  </w:style>
  <w:style w:type="paragraph" w:styleId="En-ttegauche" w:customStyle="1">
    <w:name w:val="En-tête gauche"/>
    <w:basedOn w:val="Header"/>
    <w:qFormat/>
    <w:pPr/>
    <w:rPr/>
  </w:style>
  <w:style w:type="paragraph" w:styleId="EnvelopeReturn">
    <w:name w:val="Envelope Return"/>
    <w:basedOn w:val="Normal"/>
    <w:pPr>
      <w:suppressLineNumbers/>
      <w:spacing w:before="0" w:after="60"/>
    </w:pPr>
    <w:rPr/>
  </w:style>
  <w:style w:type="paragraph" w:styleId="Figure" w:customStyle="1">
    <w:name w:val="Figure"/>
    <w:basedOn w:val="Caption"/>
    <w:qFormat/>
    <w:pPr/>
    <w:rPr/>
  </w:style>
  <w:style w:type="paragraph" w:styleId="Salutation">
    <w:name w:val="Salutation"/>
    <w:basedOn w:val="Normal"/>
    <w:pPr>
      <w:suppressLineNumbers/>
    </w:pPr>
    <w:rPr/>
  </w:style>
  <w:style w:type="paragraph" w:styleId="Illustration" w:customStyle="1">
    <w:name w:val="Illustration"/>
    <w:basedOn w:val="Caption"/>
    <w:qFormat/>
    <w:pPr/>
    <w:rPr/>
  </w:style>
  <w:style w:type="paragraph" w:styleId="Indexdobjets1" w:customStyle="1">
    <w:name w:val="Index d'objets 1"/>
    <w:basedOn w:val="Index"/>
    <w:qFormat/>
    <w:pPr>
      <w:tabs>
        <w:tab w:val="clear" w:pos="709"/>
        <w:tab w:val="right" w:pos="9071" w:leader="dot"/>
      </w:tabs>
    </w:pPr>
    <w:rPr/>
  </w:style>
  <w:style w:type="paragraph" w:styleId="Indexdetableaux1" w:customStyle="1">
    <w:name w:val="Index de tableaux 1"/>
    <w:basedOn w:val="Index"/>
    <w:qFormat/>
    <w:pPr>
      <w:tabs>
        <w:tab w:val="clear" w:pos="709"/>
        <w:tab w:val="right" w:pos="9071" w:leader="dot"/>
      </w:tabs>
    </w:pPr>
    <w:rPr/>
  </w:style>
  <w:style w:type="paragraph" w:styleId="Indexdesfigures1" w:customStyle="1">
    <w:name w:val="Index des figures 1"/>
    <w:basedOn w:val="Index"/>
    <w:qFormat/>
    <w:pPr>
      <w:tabs>
        <w:tab w:val="clear" w:pos="709"/>
        <w:tab w:val="right" w:pos="9071" w:leader="dot"/>
      </w:tabs>
    </w:pPr>
    <w:rPr/>
  </w:style>
  <w:style w:type="paragraph" w:styleId="Index1">
    <w:name w:val="Index 1"/>
    <w:basedOn w:val="Index"/>
    <w:pPr/>
    <w:rPr/>
  </w:style>
  <w:style w:type="paragraph" w:styleId="Index2">
    <w:name w:val="Index 2"/>
    <w:basedOn w:val="Index"/>
    <w:pPr>
      <w:ind w:left="283"/>
    </w:pPr>
    <w:rPr/>
  </w:style>
  <w:style w:type="paragraph" w:styleId="Index3">
    <w:name w:val="Index 3"/>
    <w:basedOn w:val="Index"/>
    <w:pPr>
      <w:ind w:left="566"/>
    </w:pPr>
    <w:rPr/>
  </w:style>
  <w:style w:type="paragraph" w:styleId="Indexlexicalsparateur" w:customStyle="1">
    <w:name w:val="Index lexical : séparateur"/>
    <w:basedOn w:val="Index"/>
    <w:qFormat/>
    <w:pPr/>
    <w:rPr/>
  </w:style>
  <w:style w:type="paragraph" w:styleId="Indexpersonnalis1" w:customStyle="1">
    <w:name w:val="Index personnalisé 1"/>
    <w:basedOn w:val="Index"/>
    <w:qFormat/>
    <w:pPr>
      <w:tabs>
        <w:tab w:val="clear" w:pos="709"/>
        <w:tab w:val="right" w:pos="9071" w:leader="dot"/>
      </w:tabs>
    </w:pPr>
    <w:rPr/>
  </w:style>
  <w:style w:type="paragraph" w:styleId="Indexpersonnalis2" w:customStyle="1">
    <w:name w:val="Index personnalisé 2"/>
    <w:basedOn w:val="Index"/>
    <w:qFormat/>
    <w:pPr>
      <w:tabs>
        <w:tab w:val="clear" w:pos="709"/>
        <w:tab w:val="right" w:pos="9071" w:leader="dot"/>
      </w:tabs>
      <w:ind w:left="283"/>
    </w:pPr>
    <w:rPr/>
  </w:style>
  <w:style w:type="paragraph" w:styleId="Indexpersonnalis3" w:customStyle="1">
    <w:name w:val="Index personnalisé 3"/>
    <w:basedOn w:val="Index"/>
    <w:qFormat/>
    <w:pPr>
      <w:tabs>
        <w:tab w:val="clear" w:pos="709"/>
        <w:tab w:val="right" w:pos="9071" w:leader="dot"/>
      </w:tabs>
      <w:ind w:left="566"/>
    </w:pPr>
    <w:rPr/>
  </w:style>
  <w:style w:type="paragraph" w:styleId="Indexpersonnalis4" w:customStyle="1">
    <w:name w:val="Index personnalisé 4"/>
    <w:basedOn w:val="Index"/>
    <w:qFormat/>
    <w:pPr>
      <w:tabs>
        <w:tab w:val="clear" w:pos="709"/>
        <w:tab w:val="right" w:pos="9071" w:leader="dot"/>
      </w:tabs>
      <w:ind w:left="849"/>
    </w:pPr>
    <w:rPr/>
  </w:style>
  <w:style w:type="paragraph" w:styleId="Indexpersonnalis5" w:customStyle="1">
    <w:name w:val="Index personnalisé 5"/>
    <w:basedOn w:val="Index"/>
    <w:qFormat/>
    <w:pPr>
      <w:tabs>
        <w:tab w:val="clear" w:pos="709"/>
        <w:tab w:val="right" w:pos="9071" w:leader="dot"/>
      </w:tabs>
      <w:ind w:left="1132"/>
    </w:pPr>
    <w:rPr/>
  </w:style>
  <w:style w:type="paragraph" w:styleId="Indexpersonnalis6" w:customStyle="1">
    <w:name w:val="Index personnalisé 6"/>
    <w:basedOn w:val="Index"/>
    <w:qFormat/>
    <w:pPr>
      <w:tabs>
        <w:tab w:val="clear" w:pos="709"/>
        <w:tab w:val="right" w:pos="9071" w:leader="dot"/>
      </w:tabs>
      <w:ind w:left="1415"/>
    </w:pPr>
    <w:rPr/>
  </w:style>
  <w:style w:type="paragraph" w:styleId="Indexpersonnalis7" w:customStyle="1">
    <w:name w:val="Index personnalisé 7"/>
    <w:basedOn w:val="Index"/>
    <w:qFormat/>
    <w:pPr>
      <w:tabs>
        <w:tab w:val="clear" w:pos="709"/>
        <w:tab w:val="right" w:pos="9071" w:leader="dot"/>
      </w:tabs>
      <w:ind w:left="1698"/>
    </w:pPr>
    <w:rPr/>
  </w:style>
  <w:style w:type="paragraph" w:styleId="Indexpersonnalis8" w:customStyle="1">
    <w:name w:val="Index personnalisé 8"/>
    <w:basedOn w:val="Index"/>
    <w:qFormat/>
    <w:pPr>
      <w:tabs>
        <w:tab w:val="clear" w:pos="709"/>
        <w:tab w:val="right" w:pos="9071" w:leader="dot"/>
      </w:tabs>
      <w:ind w:left="1981"/>
    </w:pPr>
    <w:rPr/>
  </w:style>
  <w:style w:type="paragraph" w:styleId="Indexpersonnalis9" w:customStyle="1">
    <w:name w:val="Index personnalisé 9"/>
    <w:basedOn w:val="Index"/>
    <w:qFormat/>
    <w:pPr>
      <w:tabs>
        <w:tab w:val="clear" w:pos="709"/>
        <w:tab w:val="right" w:pos="9071" w:leader="dot"/>
      </w:tabs>
      <w:ind w:left="2264"/>
    </w:pPr>
    <w:rPr/>
  </w:style>
  <w:style w:type="paragraph" w:styleId="Indexpersonnalis10" w:customStyle="1">
    <w:name w:val="Index personnalisé 10"/>
    <w:basedOn w:val="Index"/>
    <w:qFormat/>
    <w:pPr>
      <w:tabs>
        <w:tab w:val="clear" w:pos="709"/>
        <w:tab w:val="right" w:pos="9071" w:leader="dot"/>
      </w:tabs>
      <w:ind w:left="2547"/>
    </w:pPr>
    <w:rPr/>
  </w:style>
  <w:style w:type="paragraph" w:styleId="Lignehorizontale" w:customStyle="1">
    <w:name w:val="Ligne horizontal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AnnotationText">
    <w:name w:val="Annotation Text"/>
    <w:basedOn w:val="BodyText"/>
    <w:pPr>
      <w:ind w:left="2268"/>
    </w:pPr>
    <w:rPr/>
  </w:style>
  <w:style w:type="paragraph" w:styleId="List3">
    <w:name w:val="List 3"/>
    <w:basedOn w:val="List"/>
    <w:qFormat/>
    <w:pPr>
      <w:ind w:hanging="360" w:left="360"/>
    </w:pPr>
    <w:rPr/>
  </w:style>
  <w:style w:type="paragraph" w:styleId="Numrotation1dbut" w:customStyle="1">
    <w:name w:val="Numérotation 1 début"/>
    <w:basedOn w:val="List"/>
    <w:next w:val="List3"/>
    <w:qFormat/>
    <w:pPr>
      <w:spacing w:before="240" w:after="120"/>
      <w:ind w:hanging="360" w:left="360"/>
    </w:pPr>
    <w:rPr/>
  </w:style>
  <w:style w:type="paragraph" w:styleId="Numrotation1fin" w:customStyle="1">
    <w:name w:val="Numérotation 1 fin"/>
    <w:basedOn w:val="List"/>
    <w:next w:val="List3"/>
    <w:qFormat/>
    <w:pPr>
      <w:spacing w:before="0" w:after="240"/>
      <w:ind w:hanging="360" w:left="360"/>
    </w:pPr>
    <w:rPr/>
  </w:style>
  <w:style w:type="paragraph" w:styleId="Numrotation1suite" w:customStyle="1">
    <w:name w:val="Numérotation 1 suite"/>
    <w:basedOn w:val="List"/>
    <w:qFormat/>
    <w:pPr>
      <w:ind w:left="360"/>
    </w:pPr>
    <w:rPr/>
  </w:style>
  <w:style w:type="paragraph" w:styleId="ListNumber2">
    <w:name w:val="List Number 2"/>
    <w:basedOn w:val="List"/>
    <w:pPr>
      <w:ind w:hanging="360" w:left="720"/>
    </w:pPr>
    <w:rPr/>
  </w:style>
  <w:style w:type="paragraph" w:styleId="Numrotation2dbut" w:customStyle="1">
    <w:name w:val="Numérotation 2 début"/>
    <w:basedOn w:val="List"/>
    <w:next w:val="ListNumber2"/>
    <w:qFormat/>
    <w:pPr>
      <w:spacing w:before="240" w:after="120"/>
      <w:ind w:hanging="360" w:left="720"/>
    </w:pPr>
    <w:rPr/>
  </w:style>
  <w:style w:type="paragraph" w:styleId="Numrotation2fin" w:customStyle="1">
    <w:name w:val="Numérotation 2 fin"/>
    <w:basedOn w:val="List"/>
    <w:next w:val="ListNumber2"/>
    <w:qFormat/>
    <w:pPr>
      <w:spacing w:before="0" w:after="240"/>
      <w:ind w:hanging="360" w:left="720"/>
    </w:pPr>
    <w:rPr/>
  </w:style>
  <w:style w:type="paragraph" w:styleId="Numrotation2suite" w:customStyle="1">
    <w:name w:val="Numérotation 2 suite"/>
    <w:basedOn w:val="List"/>
    <w:qFormat/>
    <w:pPr>
      <w:ind w:left="720"/>
    </w:pPr>
    <w:rPr/>
  </w:style>
  <w:style w:type="paragraph" w:styleId="ListNumber3">
    <w:name w:val="List Number 3"/>
    <w:basedOn w:val="List"/>
    <w:pPr>
      <w:ind w:hanging="360" w:left="1080"/>
    </w:pPr>
    <w:rPr/>
  </w:style>
  <w:style w:type="paragraph" w:styleId="Numrotation3dbut" w:customStyle="1">
    <w:name w:val="Numérotation 3 début"/>
    <w:basedOn w:val="List"/>
    <w:next w:val="ListNumber3"/>
    <w:qFormat/>
    <w:pPr>
      <w:spacing w:before="240" w:after="120"/>
      <w:ind w:hanging="360" w:left="1080"/>
    </w:pPr>
    <w:rPr/>
  </w:style>
  <w:style w:type="paragraph" w:styleId="Numrotation3fin" w:customStyle="1">
    <w:name w:val="Numérotation 3 fin"/>
    <w:basedOn w:val="List"/>
    <w:next w:val="ListNumber3"/>
    <w:qFormat/>
    <w:pPr>
      <w:spacing w:before="0" w:after="240"/>
      <w:ind w:hanging="360" w:left="1080"/>
    </w:pPr>
    <w:rPr/>
  </w:style>
  <w:style w:type="paragraph" w:styleId="Numrotation3suite" w:customStyle="1">
    <w:name w:val="Numérotation 3 suite"/>
    <w:basedOn w:val="List"/>
    <w:qFormat/>
    <w:pPr>
      <w:ind w:left="1080"/>
    </w:pPr>
    <w:rPr/>
  </w:style>
  <w:style w:type="paragraph" w:styleId="ListNumber4">
    <w:name w:val="List Number 4"/>
    <w:basedOn w:val="List"/>
    <w:pPr>
      <w:ind w:hanging="360" w:left="1440"/>
    </w:pPr>
    <w:rPr/>
  </w:style>
  <w:style w:type="paragraph" w:styleId="Numrotation4dbut" w:customStyle="1">
    <w:name w:val="Numérotation 4 début"/>
    <w:basedOn w:val="List"/>
    <w:next w:val="ListNumber4"/>
    <w:qFormat/>
    <w:pPr>
      <w:spacing w:before="240" w:after="120"/>
      <w:ind w:hanging="360" w:left="1440"/>
    </w:pPr>
    <w:rPr/>
  </w:style>
  <w:style w:type="paragraph" w:styleId="Numrotation4fin" w:customStyle="1">
    <w:name w:val="Numérotation 4 fin"/>
    <w:basedOn w:val="List"/>
    <w:next w:val="ListNumber4"/>
    <w:qFormat/>
    <w:pPr>
      <w:spacing w:before="0" w:after="240"/>
      <w:ind w:hanging="360" w:left="1440"/>
    </w:pPr>
    <w:rPr/>
  </w:style>
  <w:style w:type="paragraph" w:styleId="Numrotation4suite" w:customStyle="1">
    <w:name w:val="Numérotation 4 suite"/>
    <w:basedOn w:val="List"/>
    <w:qFormat/>
    <w:pPr>
      <w:ind w:left="1440"/>
    </w:pPr>
    <w:rPr/>
  </w:style>
  <w:style w:type="paragraph" w:styleId="ListNumber5">
    <w:name w:val="List Number 5"/>
    <w:basedOn w:val="List"/>
    <w:pPr>
      <w:ind w:hanging="360" w:left="1800"/>
    </w:pPr>
    <w:rPr/>
  </w:style>
  <w:style w:type="paragraph" w:styleId="Numrotation5dbut" w:customStyle="1">
    <w:name w:val="Numérotation 5 début"/>
    <w:basedOn w:val="List"/>
    <w:next w:val="ListNumber5"/>
    <w:qFormat/>
    <w:pPr>
      <w:spacing w:before="240" w:after="120"/>
      <w:ind w:hanging="360" w:left="1800"/>
    </w:pPr>
    <w:rPr/>
  </w:style>
  <w:style w:type="paragraph" w:styleId="Numrotation5fin" w:customStyle="1">
    <w:name w:val="Numérotation 5 fin"/>
    <w:basedOn w:val="List"/>
    <w:next w:val="ListNumber5"/>
    <w:qFormat/>
    <w:pPr>
      <w:spacing w:before="0" w:after="240"/>
      <w:ind w:hanging="360" w:left="1800"/>
    </w:pPr>
    <w:rPr/>
  </w:style>
  <w:style w:type="paragraph" w:styleId="Numrotation5suite" w:customStyle="1">
    <w:name w:val="Numérotation 5 suite"/>
    <w:basedOn w:val="List"/>
    <w:qFormat/>
    <w:pPr>
      <w:ind w:left="1800"/>
    </w:pPr>
    <w:rPr/>
  </w:style>
  <w:style w:type="paragraph" w:styleId="Pieddepagedroit" w:customStyle="1">
    <w:name w:val="Pied de page droit"/>
    <w:basedOn w:val="Footer"/>
    <w:qFormat/>
    <w:pPr>
      <w:tabs>
        <w:tab w:val="clear" w:pos="4819"/>
        <w:tab w:val="clear" w:pos="9638"/>
        <w:tab w:val="center" w:pos="4535" w:leader="none"/>
        <w:tab w:val="right" w:pos="9071" w:leader="none"/>
      </w:tabs>
      <w:jc w:val="right"/>
    </w:pPr>
    <w:rPr/>
  </w:style>
  <w:style w:type="paragraph" w:styleId="Pieddepagegauche" w:customStyle="1">
    <w:name w:val="Pied de page gauche"/>
    <w:basedOn w:val="Footer"/>
    <w:qFormat/>
    <w:pPr>
      <w:tabs>
        <w:tab w:val="clear" w:pos="4819"/>
        <w:tab w:val="clear" w:pos="9638"/>
        <w:tab w:val="center" w:pos="4535" w:leader="none"/>
        <w:tab w:val="right" w:pos="9071" w:leader="none"/>
      </w:tabs>
    </w:pPr>
    <w:rPr/>
  </w:style>
  <w:style w:type="paragraph" w:styleId="List2">
    <w:name w:val="List 2"/>
    <w:basedOn w:val="List"/>
    <w:qFormat/>
    <w:pPr>
      <w:ind w:hanging="360" w:left="360"/>
    </w:pPr>
    <w:rPr/>
  </w:style>
  <w:style w:type="paragraph" w:styleId="Puce1dbut" w:customStyle="1">
    <w:name w:val="Puce 1 début"/>
    <w:basedOn w:val="List"/>
    <w:next w:val="List2"/>
    <w:qFormat/>
    <w:pPr>
      <w:spacing w:before="240" w:after="120"/>
      <w:ind w:hanging="360" w:left="360"/>
    </w:pPr>
    <w:rPr/>
  </w:style>
  <w:style w:type="paragraph" w:styleId="Puce1fin" w:customStyle="1">
    <w:name w:val="Puce 1 fin"/>
    <w:basedOn w:val="List"/>
    <w:next w:val="List2"/>
    <w:qFormat/>
    <w:pPr>
      <w:spacing w:before="0" w:after="240"/>
      <w:ind w:hanging="360" w:left="360"/>
    </w:pPr>
    <w:rPr/>
  </w:style>
  <w:style w:type="paragraph" w:styleId="ListContinue">
    <w:name w:val="List Continue"/>
    <w:basedOn w:val="List"/>
    <w:pPr>
      <w:ind w:left="360"/>
    </w:pPr>
    <w:rPr/>
  </w:style>
  <w:style w:type="paragraph" w:styleId="ListBullet3">
    <w:name w:val="List Bullet 3"/>
    <w:basedOn w:val="List"/>
    <w:pPr>
      <w:ind w:hanging="360" w:left="720"/>
    </w:pPr>
    <w:rPr/>
  </w:style>
  <w:style w:type="paragraph" w:styleId="Puce2dbut" w:customStyle="1">
    <w:name w:val="Puce 2 début"/>
    <w:basedOn w:val="List"/>
    <w:next w:val="ListBullet3"/>
    <w:qFormat/>
    <w:pPr>
      <w:spacing w:before="240" w:after="120"/>
      <w:ind w:hanging="360" w:left="720"/>
    </w:pPr>
    <w:rPr/>
  </w:style>
  <w:style w:type="paragraph" w:styleId="Puce2fin" w:customStyle="1">
    <w:name w:val="Puce 2 fin"/>
    <w:basedOn w:val="List"/>
    <w:next w:val="ListBullet3"/>
    <w:qFormat/>
    <w:pPr>
      <w:spacing w:before="0" w:after="240"/>
      <w:ind w:hanging="360" w:left="720"/>
    </w:pPr>
    <w:rPr/>
  </w:style>
  <w:style w:type="paragraph" w:styleId="ListContinue2">
    <w:name w:val="List Continue 2"/>
    <w:basedOn w:val="List"/>
    <w:pPr>
      <w:ind w:left="720"/>
    </w:pPr>
    <w:rPr/>
  </w:style>
  <w:style w:type="paragraph" w:styleId="ListBullet4">
    <w:name w:val="List Bullet 4"/>
    <w:basedOn w:val="List"/>
    <w:pPr>
      <w:ind w:hanging="360" w:left="1080"/>
    </w:pPr>
    <w:rPr/>
  </w:style>
  <w:style w:type="paragraph" w:styleId="Puce3dbut" w:customStyle="1">
    <w:name w:val="Puce 3 début"/>
    <w:basedOn w:val="List"/>
    <w:next w:val="ListBullet4"/>
    <w:qFormat/>
    <w:pPr>
      <w:spacing w:before="240" w:after="120"/>
      <w:ind w:hanging="360" w:left="1080"/>
    </w:pPr>
    <w:rPr/>
  </w:style>
  <w:style w:type="paragraph" w:styleId="Puce3fin" w:customStyle="1">
    <w:name w:val="Puce 3 fin"/>
    <w:basedOn w:val="List"/>
    <w:next w:val="ListBullet4"/>
    <w:qFormat/>
    <w:pPr>
      <w:spacing w:before="0" w:after="240"/>
      <w:ind w:hanging="360" w:left="1080"/>
    </w:pPr>
    <w:rPr/>
  </w:style>
  <w:style w:type="paragraph" w:styleId="ListContinue3">
    <w:name w:val="List Continue 3"/>
    <w:basedOn w:val="List"/>
    <w:pPr>
      <w:ind w:left="1080"/>
    </w:pPr>
    <w:rPr/>
  </w:style>
  <w:style w:type="paragraph" w:styleId="ListBullet5">
    <w:name w:val="List Bullet 5"/>
    <w:basedOn w:val="List"/>
    <w:pPr>
      <w:ind w:hanging="360" w:left="1440"/>
    </w:pPr>
    <w:rPr/>
  </w:style>
  <w:style w:type="paragraph" w:styleId="Puce4dbut" w:customStyle="1">
    <w:name w:val="Puce 4 début"/>
    <w:basedOn w:val="List"/>
    <w:next w:val="ListBullet5"/>
    <w:qFormat/>
    <w:pPr>
      <w:spacing w:before="240" w:after="120"/>
      <w:ind w:hanging="360" w:left="1440"/>
    </w:pPr>
    <w:rPr/>
  </w:style>
  <w:style w:type="paragraph" w:styleId="Puce4fin" w:customStyle="1">
    <w:name w:val="Puce 4 fin"/>
    <w:basedOn w:val="List"/>
    <w:next w:val="ListBullet5"/>
    <w:qFormat/>
    <w:pPr>
      <w:spacing w:before="0" w:after="240"/>
      <w:ind w:hanging="360" w:left="1440"/>
    </w:pPr>
    <w:rPr/>
  </w:style>
  <w:style w:type="paragraph" w:styleId="ListContinue4">
    <w:name w:val="List Continue 4"/>
    <w:basedOn w:val="List"/>
    <w:pPr>
      <w:ind w:left="1440"/>
    </w:pPr>
    <w:rPr/>
  </w:style>
  <w:style w:type="paragraph" w:styleId="ListNumber">
    <w:name w:val="List Number"/>
    <w:basedOn w:val="List"/>
    <w:pPr>
      <w:ind w:hanging="360" w:left="1800"/>
    </w:pPr>
    <w:rPr/>
  </w:style>
  <w:style w:type="paragraph" w:styleId="Puce5dbut" w:customStyle="1">
    <w:name w:val="Puce 5 début"/>
    <w:basedOn w:val="List"/>
    <w:next w:val="ListNumber"/>
    <w:qFormat/>
    <w:pPr>
      <w:spacing w:before="240" w:after="120"/>
      <w:ind w:hanging="360" w:left="1800"/>
    </w:pPr>
    <w:rPr/>
  </w:style>
  <w:style w:type="paragraph" w:styleId="Puce5fin" w:customStyle="1">
    <w:name w:val="Puce 5 fin"/>
    <w:basedOn w:val="List"/>
    <w:next w:val="ListNumber"/>
    <w:qFormat/>
    <w:pPr>
      <w:spacing w:before="0" w:after="240"/>
      <w:ind w:hanging="360" w:left="1800"/>
    </w:pPr>
    <w:rPr/>
  </w:style>
  <w:style w:type="paragraph" w:styleId="ListContinue5">
    <w:name w:val="List Continue 5"/>
    <w:basedOn w:val="List"/>
    <w:pPr>
      <w:ind w:left="1800"/>
    </w:pPr>
    <w:rPr/>
  </w:style>
  <w:style w:type="paragraph" w:styleId="BodyTextIndent">
    <w:name w:val="Body Text Indent"/>
    <w:basedOn w:val="BodyText"/>
    <w:pPr>
      <w:ind w:left="283"/>
    </w:pPr>
    <w:rPr/>
  </w:style>
  <w:style w:type="paragraph" w:styleId="Retraitdeliste" w:customStyle="1">
    <w:name w:val="Retrait de liste"/>
    <w:basedOn w:val="BodyText"/>
    <w:qFormat/>
    <w:pPr>
      <w:tabs>
        <w:tab w:val="clear" w:pos="709"/>
        <w:tab w:val="left" w:pos="2835" w:leader="none"/>
      </w:tabs>
      <w:ind w:hanging="2551" w:left="2835"/>
    </w:pPr>
    <w:rPr/>
  </w:style>
  <w:style w:type="paragraph" w:styleId="BodyTextFirstIndent">
    <w:name w:val="Body Text First Indent"/>
    <w:basedOn w:val="BodyText"/>
    <w:pPr>
      <w:ind w:firstLine="283"/>
    </w:pPr>
    <w:rPr/>
  </w:style>
  <w:style w:type="paragraph" w:styleId="Signature">
    <w:name w:val="Signature"/>
    <w:basedOn w:val="Normal"/>
    <w:pPr>
      <w:suppressLineNumbers/>
    </w:pPr>
    <w:rPr/>
  </w:style>
  <w:style w:type="paragraph" w:styleId="Titredetableau" w:customStyle="1">
    <w:name w:val="Titre de tableau"/>
    <w:basedOn w:val="Contenudetableau"/>
    <w:qFormat/>
    <w:pPr>
      <w:jc w:val="center"/>
    </w:pPr>
    <w:rPr>
      <w:b/>
      <w:bCs/>
    </w:rPr>
  </w:style>
  <w:style w:type="paragraph" w:styleId="ListParagraph">
    <w:name w:val="List Paragraph"/>
    <w:basedOn w:val="Normal"/>
    <w:uiPriority w:val="34"/>
    <w:qFormat/>
    <w:rsid w:val="005917bb"/>
    <w:pPr>
      <w:spacing w:before="0" w:after="0"/>
      <w:ind w:left="720"/>
      <w:contextualSpacing/>
    </w:pPr>
    <w:rPr/>
  </w:style>
  <w:style w:type="paragraph" w:styleId="Styledepucestriangles" w:customStyle="1">
    <w:name w:val="Style de puces triangles"/>
    <w:autoRedefine/>
    <w:qFormat/>
    <w:rsid w:val="00cf6271"/>
    <w:pPr>
      <w:widowControl/>
      <w:numPr>
        <w:ilvl w:val="0"/>
        <w:numId w:val="3"/>
      </w:numPr>
      <w:bidi w:val="0"/>
      <w:spacing w:before="0" w:after="120"/>
      <w:ind w:hanging="227" w:left="681"/>
      <w:jc w:val="left"/>
    </w:pPr>
    <w:rPr>
      <w:rFonts w:ascii="Marianne" w:hAnsi="Marianne" w:eastAsia="SimSun" w:cs="Mangal"/>
      <w:color w:val="auto"/>
      <w:kern w:val="2"/>
      <w:sz w:val="20"/>
      <w:szCs w:val="20"/>
      <w:lang w:val="fr-FR" w:eastAsia="zh-CN" w:bidi="hi-IN"/>
    </w:rPr>
  </w:style>
  <w:style w:type="paragraph" w:styleId="Styledepucesnumrotes" w:customStyle="1">
    <w:name w:val="Style de puces numérotées"/>
    <w:basedOn w:val="BodyText"/>
    <w:qFormat/>
    <w:rsid w:val="00af0bd7"/>
    <w:pPr>
      <w:ind w:right="-283"/>
    </w:pPr>
    <w:rPr/>
  </w:style>
  <w:style w:type="paragraph" w:styleId="Styledepuces1" w:customStyle="1">
    <w:name w:val="Style de puces 1"/>
    <w:qFormat/>
    <w:rsid w:val="00cc24ca"/>
    <w:pPr>
      <w:widowControl/>
      <w:numPr>
        <w:ilvl w:val="0"/>
        <w:numId w:val="2"/>
      </w:numPr>
      <w:bidi w:val="0"/>
      <w:spacing w:before="0" w:after="0"/>
      <w:jc w:val="left"/>
    </w:pPr>
    <w:rPr>
      <w:rFonts w:ascii="Marianne" w:hAnsi="Marianne" w:eastAsia="SimSun" w:cs="Mangal"/>
      <w:color w:val="000000"/>
      <w:kern w:val="2"/>
      <w:sz w:val="20"/>
      <w:szCs w:val="18"/>
      <w:lang w:val="fr-FR" w:eastAsia="zh-CN" w:bidi="hi-IN"/>
    </w:rPr>
  </w:style>
  <w:style w:type="paragraph" w:styleId="Stylesdepuces" w:customStyle="1">
    <w:name w:val="Styles de puces"/>
    <w:basedOn w:val="BodyText"/>
    <w:link w:val="StylesdepucesCar"/>
    <w:qFormat/>
    <w:rsid w:val="00205398"/>
    <w:pPr>
      <w:ind w:hanging="226" w:left="680"/>
    </w:pPr>
    <w:rPr/>
  </w:style>
  <w:style w:type="paragraph" w:styleId="CHAPITRE" w:customStyle="1">
    <w:name w:val="CHAPITRE"/>
    <w:basedOn w:val="Normal"/>
    <w:qFormat/>
    <w:rsid w:val="00116f2e"/>
    <w:pPr>
      <w:jc w:val="right"/>
    </w:pPr>
    <w:rPr>
      <w:b/>
      <w:bCs/>
      <w:color w:val="003A76"/>
      <w:sz w:val="80"/>
      <w:szCs w:val="80"/>
    </w:rPr>
  </w:style>
  <w:style w:type="paragraph" w:styleId="BalloonText">
    <w:name w:val="Balloon Text"/>
    <w:basedOn w:val="Normal"/>
    <w:link w:val="TextedebullesCar"/>
    <w:uiPriority w:val="99"/>
    <w:semiHidden/>
    <w:unhideWhenUsed/>
    <w:qFormat/>
    <w:rsid w:val="00586626"/>
    <w:pPr/>
    <w:rPr>
      <w:rFonts w:ascii="Times New Roman" w:hAnsi="Times New Roman"/>
      <w:sz w:val="18"/>
      <w:szCs w:val="16"/>
    </w:rPr>
  </w:style>
  <w:style w:type="paragraph" w:styleId="Tableau-Titre" w:customStyle="1">
    <w:name w:val="Tableau - Titre"/>
    <w:basedOn w:val="Normal"/>
    <w:link w:val="Tableau-TitreCar"/>
    <w:uiPriority w:val="6"/>
    <w:qFormat/>
    <w:rsid w:val="000c5e45"/>
    <w:pPr>
      <w:keepNext w:val="true"/>
      <w:widowControl/>
      <w:spacing w:before="0" w:after="120"/>
      <w:jc w:val="both"/>
    </w:pPr>
    <w:rPr>
      <w:rFonts w:ascii="Arial" w:hAnsi="Arial" w:eastAsia="Arial" w:cs="" w:cstheme="minorBidi" w:eastAsiaTheme="minorHAnsi"/>
      <w:b/>
      <w:color w:themeColor="text2" w:val="51B3DE"/>
      <w:kern w:val="0"/>
      <w:sz w:val="22"/>
      <w:szCs w:val="22"/>
      <w:u w:val="single"/>
      <w:lang w:eastAsia="en-US" w:bidi="ar-SA"/>
    </w:rPr>
  </w:style>
  <w:style w:type="paragraph" w:styleId="Tableau-Contenu" w:customStyle="1">
    <w:name w:val="Tableau - Contenu"/>
    <w:basedOn w:val="Normal"/>
    <w:link w:val="Tableau-ContenuCar"/>
    <w:uiPriority w:val="8"/>
    <w:qFormat/>
    <w:rsid w:val="00e64560"/>
    <w:pPr>
      <w:widowControl/>
      <w:spacing w:before="0" w:after="120"/>
      <w:jc w:val="both"/>
    </w:pPr>
    <w:rPr>
      <w:rFonts w:ascii="Montserrat" w:hAnsi="Montserrat" w:eastAsia="Arial" w:cs="" w:cstheme="minorBidi" w:eastAsiaTheme="minorHAnsi"/>
      <w:color w:val="3C3C3C"/>
      <w:kern w:val="0"/>
      <w:sz w:val="18"/>
      <w:szCs w:val="22"/>
      <w:lang w:eastAsia="en-US" w:bidi="ar-SA"/>
    </w:rPr>
  </w:style>
  <w:style w:type="paragraph" w:styleId="FrameContents">
    <w:name w:val="Frame Contents"/>
    <w:basedOn w:val="Normal"/>
    <w:qFormat/>
    <w:pPr/>
    <w:rPr/>
  </w:style>
  <w:style w:type="paragraph" w:styleId="TOCHeading">
    <w:name w:val="TOC Heading"/>
    <w:basedOn w:val="IndexHeading"/>
    <w:qFormat/>
    <w:pPr>
      <w:suppressLineNumbers/>
      <w:ind w:hanging="0" w:left="0"/>
    </w:pPr>
    <w:rPr>
      <w:b/>
      <w:bCs/>
      <w:sz w:val="32"/>
      <w:szCs w:val="32"/>
    </w:rPr>
  </w:style>
  <w:style w:type="numbering" w:styleId="NoList" w:default="1">
    <w:name w:val="No List"/>
    <w:uiPriority w:val="99"/>
    <w:semiHidden/>
    <w:unhideWhenUsed/>
    <w:qFormat/>
  </w:style>
  <w:style w:type="numbering" w:styleId="Numrotation123" w:customStyle="1">
    <w:name w:val="Numérotation 123"/>
    <w:qFormat/>
  </w:style>
  <w:style w:type="numbering" w:styleId="Puce" w:customStyle="1">
    <w:name w:val="Puce •"/>
    <w:qFormat/>
  </w:style>
  <w:style w:type="numbering" w:styleId="Puce1" w:customStyle="1">
    <w:name w:val="Puce –"/>
    <w:qFormat/>
  </w:style>
  <w:style w:type="numbering" w:styleId="pucenumrot" w:customStyle="1">
    <w:name w:val="puce numéroté"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39"/>
    <w:rsid w:val="000c5e45"/>
    <w:rPr>
      <w:rFonts w:eastAsiaTheme="minorHAnsi"/>
      <w:lang w:eastAsia="en-US" w:bidi="ar-SA"/>
      <w:color w:themeColor="text1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auGrille4-Accentuation1">
    <w:name w:val="Grid Table 4 Accent 1"/>
    <w:basedOn w:val="TableauNormal"/>
    <w:uiPriority w:val="49"/>
    <w:rsid w:val="00a8647a"/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header" Target="header4.xml"/><Relationship Id="rId12" Type="http://schemas.openxmlformats.org/officeDocument/2006/relationships/header" Target="header5.xml"/><Relationship Id="rId13" Type="http://schemas.openxmlformats.org/officeDocument/2006/relationships/footer" Target="footer4.xml"/><Relationship Id="rId14" Type="http://schemas.openxmlformats.org/officeDocument/2006/relationships/footer" Target="footer5.xml"/><Relationship Id="rId15" Type="http://schemas.openxmlformats.org/officeDocument/2006/relationships/numbering" Target="numbering.xml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<Relationship Id="rId19" Type="http://schemas.openxmlformats.org/officeDocument/2006/relationships/glossaryDocument" Target="glossary/document.xml"/><Relationship Id="rId20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footer4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1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_rels/numbering.xml.rels><?xml version="1.0" encoding="UTF-8"?>
<Relationships xmlns="http://schemas.openxmlformats.org/package/2006/relationships"><Relationship Id="rId1" Type="http://schemas.openxmlformats.org/officeDocument/2006/relationships/image" Target="media/image6.jpeg"/><Relationship Id="rId2" Type="http://schemas.openxmlformats.org/officeDocument/2006/relationships/image" Target="media/image7.jpeg"/>
</Relationships>
</file>

<file path=word/glossary/_rels/document.xml.rels><?xml version="1.0" encoding="UTF-8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
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221DE66283146E1A221DED48134E23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38EE4C5-A4B9-4F0C-8CAE-9FCFEDC87E0F}"/>
      </w:docPartPr>
      <w:docPartBody>
        <w:p w:rsidR="008F0AA4" w:rsidRDefault="008F0AA4" w:rsidP="008F0AA4">
          <w:pPr>
            <w:pStyle w:val="4221DE66283146E1A221DED48134E239"/>
          </w:pPr>
          <w:r w:rsidRPr="00AE4C1D">
            <w:rPr>
              <w:rStyle w:val="Textedelespacerserv"/>
            </w:rPr>
            <w:t>Choisissez un élément.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Marianne">
    <w:panose1 w:val="02000000000000000000"/>
    <w:charset w:val="00"/>
    <w:family w:val="modern"/>
    <w:notTrueType/>
    <w:pitch w:val="variable"/>
    <w:sig w:usb0="0000000F" w:usb1="00000000" w:usb2="00000000" w:usb3="00000000" w:csb0="00000003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OpenSymbol">
    <w:altName w:val="Calibri"/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Liberation Mono">
    <w:altName w:val="Calibri"/>
    <w:panose1 w:val="02070409020205020404"/>
    <w:charset w:val="00"/>
    <w:family w:val="modern"/>
    <w:pitch w:val="fixed"/>
    <w:sig w:usb0="E0000AFF" w:usb1="400078FF" w:usb2="0000000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ontserrat">
    <w:altName w:val="Calibri"/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1E0"/>
    <w:rsid w:val="000E72BB"/>
    <w:rsid w:val="00110F76"/>
    <w:rsid w:val="00166185"/>
    <w:rsid w:val="001D695E"/>
    <w:rsid w:val="001E41E0"/>
    <w:rsid w:val="001F2451"/>
    <w:rsid w:val="00241F4F"/>
    <w:rsid w:val="002574D9"/>
    <w:rsid w:val="002D75EE"/>
    <w:rsid w:val="002E4049"/>
    <w:rsid w:val="003C27BD"/>
    <w:rsid w:val="00525A7F"/>
    <w:rsid w:val="0055335E"/>
    <w:rsid w:val="005E326A"/>
    <w:rsid w:val="008C1EE8"/>
    <w:rsid w:val="008F0AA4"/>
    <w:rsid w:val="00975BD5"/>
    <w:rsid w:val="00D81396"/>
    <w:rsid w:val="00DD3DCF"/>
    <w:rsid w:val="00EB35D2"/>
    <w:rsid w:val="00F55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8F0AA4"/>
    <w:rPr>
      <w:color w:val="808080"/>
    </w:rPr>
  </w:style>
  <w:style w:type="paragraph" w:customStyle="1" w:styleId="4221DE66283146E1A221DED48134E239">
    <w:name w:val="4221DE66283146E1A221DED48134E239"/>
    <w:rsid w:val="008F0AA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xmlns:r="http://schemas.openxmlformats.org/officeDocument/2006/relationships" name="Thème OFB">
  <a:themeElements>
    <a:clrScheme name="OFB">
      <a:dk1>
        <a:srgbClr val="1e4e85"/>
      </a:dk1>
      <a:lt1>
        <a:srgbClr val="99d4fc"/>
      </a:lt1>
      <a:dk2>
        <a:srgbClr val="51b3de"/>
      </a:dk2>
      <a:lt2>
        <a:srgbClr val="4296ce"/>
      </a:lt2>
      <a:accent1>
        <a:srgbClr val="4472c4"/>
      </a:accent1>
      <a:accent2>
        <a:srgbClr val="3f8c4e"/>
      </a:accent2>
      <a:accent3>
        <a:srgbClr val="53ab60"/>
      </a:accent3>
      <a:accent4>
        <a:srgbClr val="90bf83"/>
      </a:accent4>
      <a:accent5>
        <a:srgbClr val="b6ce94"/>
      </a:accent5>
      <a:accent6>
        <a:srgbClr val="d2deae"/>
      </a:accent6>
      <a:hlink>
        <a:srgbClr val="4296ce"/>
      </a:hlink>
      <a:folHlink>
        <a:srgbClr val="53ab60"/>
      </a:folHlink>
    </a:clrScheme>
    <a:fontScheme name="OFB">
      <a:majorFont>
        <a:latin typeface="Arial" pitchFamily="0" charset="1"/>
        <a:ea typeface=""/>
        <a:cs typeface=""/>
      </a:majorFont>
      <a:minorFont>
        <a:latin typeface="Arial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AF1028C-EC99-48B5-9606-DF5B6F1570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Template-PTI</Template>
  <TotalTime>2623</TotalTime>
  <Application>LibreOffice/24.2.7.2$Linux_X86_64 LibreOffice_project/420$Build-2</Application>
  <AppVersion>15.0000</AppVersion>
  <Pages>13</Pages>
  <Words>2486</Words>
  <Characters>13678</Characters>
  <CharactersWithSpaces>16132</CharactersWithSpaces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2024-02-09T09:30:00Z</dcterms:created>
  <dc:creator>OFB – équipe projet SIB Work</dc:creator>
  <dc:description>Version initiale à relire et valider par SPED et Infrastructure exploitation.</dc:description>
  <cp:keywords>SIB Work DEX OFB exploitation migration</cp:keywords>
  <dc:language>fr-FR</dc:language>
  <cp:lastModifiedBy/>
  <dcterms:modified xsi:type="dcterms:W3CDTF">2026-09-15T15:51:29Z</dcterms:modified>
  <cp:revision>98</cp:revision>
  <dc:subject>Transfert et mise en exploitation de SIB Work sur l’infrastructure OFB</dc:subject>
  <dc:title>Dossier des consignes d’exploitation – SIB Work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