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Georgia" w:cs="Georgia" w:eastAsia="Georgia" w:hAnsi="Georgia"/>
          <w:b/>
          <w:bCs/>
          <w:color w:val="1a1a1a"/>
          <w:sz w:val="48"/>
          <w:szCs w:val="48"/>
        </w:rPr>
        <w:t xml:space="preserve">Diabetes Research Hub</w:t>
      </w:r>
    </w:p>
    <w:p>
      <w:pPr>
        <w:spacing w:after="40"/>
        <w:jc w:val="center"/>
      </w:pPr>
      <w:r>
        <w:rPr>
          <w:rFonts w:ascii="Georgia" w:cs="Georgia" w:eastAsia="Georgia" w:hAnsi="Georgia"/>
          <w:color w:val="2c5f8a"/>
          <w:sz w:val="32"/>
          <w:szCs w:val="32"/>
        </w:rPr>
        <w:t xml:space="preserve">Weekly Platform Audit Report</w:t>
      </w:r>
    </w:p>
    <w:p>
      <w:pPr>
        <w:pBdr>
          <w:bottom w:val="single" w:color="2c5f8a" w:sz="2" w:space="8"/>
        </w:pBdr>
        <w:spacing w:after="360"/>
        <w:jc w:val="center"/>
      </w:pPr>
      <w:r>
        <w:rPr>
          <w:rFonts w:ascii="Arial" w:cs="Arial" w:eastAsia="Arial" w:hAnsi="Arial"/>
          <w:color w:val="999999"/>
          <w:sz w:val="22"/>
          <w:szCs w:val="22"/>
        </w:rPr>
        <w:t xml:space="preserve">March 22, 2026</w:t>
      </w:r>
    </w:p>
    <w:p>
      <w:pPr>
        <w:pStyle w:val="Heading1"/>
        <w:spacing w:after="120" w:before="360"/>
      </w:pPr>
      <w:r>
        <w:rPr>
          <w:rFonts w:ascii="Georgia" w:cs="Georgia" w:eastAsia="Georgia" w:hAnsi="Georgia"/>
          <w:color w:val="1a1a1a"/>
        </w:rPr>
        <w:t xml:space="preserve">Executive Summary</w:t>
      </w:r>
    </w:p>
    <w:p>
      <w:pPr>
        <w:spacing w:after="120" w:line="276"/>
      </w:pPr>
      <w:r>
        <w:rPr>
          <w:rFonts w:ascii="Georgia" w:cs="Georgia" w:eastAsia="Georgia" w:hAnsi="Georgia"/>
          <w:b w:val="false"/>
          <w:bCs w:val="false"/>
          <w:color w:val="4a4a4a"/>
          <w:sz w:val="22"/>
          <w:szCs w:val="22"/>
        </w:rPr>
        <w:t xml:space="preserve">This report presents the findings of the weekly platform audit conducted on March 22, 2026 for the Diabetes Research Hub (bottumj.github.io/diabetes-research-hub). The audit covers 33 HTML dashboards across six assessment areas: navigation consistency, citation completeness, build integrity, content freshness, accessibility, and collaboration infrastructure.</w:t>
      </w:r>
    </w:p>
    <w:p>
      <w:pPr>
        <w:spacing w:after="60" w:before="60"/>
      </w:pPr>
    </w:p>
    <w:p>
      <w:pPr>
        <w:spacing w:after="120" w:line="276"/>
      </w:pPr>
      <w:r>
        <w:rPr>
          <w:rFonts w:ascii="Georgia" w:cs="Georgia" w:eastAsia="Georgia" w:hAnsi="Georgia"/>
          <w:b/>
          <w:bCs/>
          <w:color w:val="4a4a4a"/>
          <w:sz w:val="22"/>
          <w:szCs w:val="22"/>
        </w:rPr>
        <w:t xml:space="preserve">Overall Assessment: The platform build is stable (39/39 modules passing) and content is recently updated. However, significant gaps persist in navigation consistency (11 dashboards lack nav bars), citation coverage (8 dashboards have zero PMIDs), and accessibility (no ARIA attributes across any dashboard). Credibility concerns raised in the March 16 audit remain unresolved.</w:t>
      </w:r>
    </w:p>
    <w:p>
      <w:pPr>
        <w:spacing w:after="60" w:before="60"/>
      </w:pPr>
    </w:p>
    <w:p>
      <w:pPr>
        <w:spacing w:after="120" w:line="276"/>
      </w:pPr>
      <w:r>
        <w:rPr>
          <w:rFonts w:ascii="Georgia" w:cs="Georgia" w:eastAsia="Georgia" w:hAnsi="Georgia"/>
          <w:b w:val="false"/>
          <w:bCs w:val="false"/>
          <w:color w:val="4a4a4a"/>
          <w:sz w:val="22"/>
          <w:szCs w:val="22"/>
        </w:rPr>
        <w:t xml:space="preserve">Pass/Fail Summary: Build Integrity: PASS. Navigation Consistency: PARTIAL (67% compliant). Citation Completeness: PARTIAL (76% have 3+ PMIDs). Content Freshness: NEEDS ATTENTION. Accessibility: FAIL. Collaboration Infrastructure: PARTIAL.</w:t>
      </w:r>
    </w:p>
    <w:p>
      <w:r>
        <w:br w:type="page"/>
      </w:r>
    </w:p>
    <w:p>
      <w:pPr>
        <w:pStyle w:val="Heading1"/>
        <w:spacing w:after="120" w:before="360"/>
      </w:pPr>
      <w:r>
        <w:rPr>
          <w:rFonts w:ascii="Georgia" w:cs="Georgia" w:eastAsia="Georgia" w:hAnsi="Georgia"/>
          <w:color w:val="1a1a1a"/>
        </w:rPr>
        <w:t xml:space="preserve">1. Navigation and UX Consistency</w:t>
      </w:r>
    </w:p>
    <w:p>
      <w:pPr>
        <w:spacing w:after="120" w:line="276"/>
      </w:pPr>
      <w:r>
        <w:rPr>
          <w:rFonts w:ascii="Georgia" w:cs="Georgia" w:eastAsia="Georgia" w:hAnsi="Georgia"/>
          <w:b w:val="false"/>
          <w:bCs w:val="false"/>
          <w:color w:val="4a4a4a"/>
          <w:sz w:val="22"/>
          <w:szCs w:val="22"/>
        </w:rPr>
        <w:t xml:space="preserve">Of the 33 dashboards audited, 25 (75.8%) include a back-link to the hub landing page and 26 (78.8%) include a navigation bar with cross-links. Eleven dashboards lack both features, creating dead-end user experiences. The most critical gaps are in the largest dashboards: Clinical_Trial_Dashboard.html (421 KB) and Medical_Data_Dictionary.html (351 KB), which receive significant traffic but offer no way to navigate back or to related dashboards.</w:t>
      </w:r>
    </w:p>
    <w:p>
      <w:pPr>
        <w:spacing w:after="120" w:line="276"/>
      </w:pPr>
      <w:r>
        <w:rPr>
          <w:rFonts w:ascii="Georgia" w:cs="Georgia" w:eastAsia="Georgia" w:hAnsi="Georgia"/>
          <w:b w:val="false"/>
          <w:bCs w:val="false"/>
          <w:color w:val="4a4a4a"/>
          <w:sz w:val="22"/>
          <w:szCs w:val="22"/>
        </w:rPr>
        <w:t xml:space="preserve">The landing page (docs/index.html) references 32 of the 33 dashboards with all links resolving correctly. One dashboard, Gap_Evidence.html, is orphaned: it exists with full navigation features but is not linked from the landing page.</w:t>
      </w:r>
    </w:p>
    <w:p>
      <w:pPr>
        <w:pStyle w:val="Heading1"/>
        <w:spacing w:after="120" w:before="360"/>
      </w:pPr>
      <w:r>
        <w:rPr>
          <w:rFonts w:ascii="Georgia" w:cs="Georgia" w:eastAsia="Georgia" w:hAnsi="Georgia"/>
          <w:color w:val="1a1a1a"/>
        </w:rPr>
        <w:t xml:space="preserve">2. Research Validity and Citation Completeness</w:t>
      </w:r>
    </w:p>
    <w:p>
      <w:pPr>
        <w:spacing w:after="120" w:line="276"/>
      </w:pPr>
      <w:r>
        <w:rPr>
          <w:rFonts w:ascii="Georgia" w:cs="Georgia" w:eastAsia="Georgia" w:hAnsi="Georgia"/>
          <w:b w:val="false"/>
          <w:bCs w:val="false"/>
          <w:color w:val="4a4a4a"/>
          <w:sz w:val="22"/>
          <w:szCs w:val="22"/>
        </w:rPr>
        <w:t xml:space="preserve">Eight dashboards contain zero PMID citations, flagged as HIGH priority. Five additional dashboards have fewer than the recommended minimum of 3 PMIDs, flagged as MEDIUM. Fifteen dashboards display PMID numbers as plain text rather than as hyperlinks to PubMed, reducing verifiability. The most well-cited dashboards are PMID_Verification.html and Paper_Library.html, each with 202 verified PMIDs.</w:t>
      </w:r>
    </w:p>
    <w:p>
      <w:pPr>
        <w:spacing w:after="120" w:line="276"/>
      </w:pPr>
      <w:r>
        <w:rPr>
          <w:rFonts w:ascii="Georgia" w:cs="Georgia" w:eastAsia="Georgia" w:hAnsi="Georgia"/>
          <w:b w:val="false"/>
          <w:bCs w:val="false"/>
          <w:color w:val="4a4a4a"/>
          <w:sz w:val="22"/>
          <w:szCs w:val="22"/>
        </w:rPr>
        <w:t xml:space="preserve">The most frequently cited PMID across dashboards is 33622669, appearing in 8 different dashboards. No duplicate PMIDs were found being misattributed to different studies.</w:t>
      </w:r>
    </w:p>
    <w:p>
      <w:pPr>
        <w:spacing w:after="120" w:line="276"/>
      </w:pPr>
      <w:r>
        <w:rPr>
          <w:rFonts w:ascii="Georgia" w:cs="Georgia" w:eastAsia="Georgia" w:hAnsi="Georgia"/>
          <w:b w:val="false"/>
          <w:bCs w:val="false"/>
          <w:color w:val="4a4a4a"/>
          <w:sz w:val="22"/>
          <w:szCs w:val="22"/>
        </w:rPr>
        <w:t xml:space="preserve">Previous audit findings (March 16-17, 2026) identified critical credibility issues including unverifiable journal citations (20+ instances of "Nature [Journal] 2024" without PMIDs), overstated preclinical claims, internal contradictions, an implausible AUC 1.0 biomarker claim, and unsourced financial projections. These issues remain unresolved as of this audit.</w:t>
      </w:r>
    </w:p>
    <w:p>
      <w:pPr>
        <w:pStyle w:val="Heading1"/>
        <w:spacing w:after="120" w:before="360"/>
      </w:pPr>
      <w:r>
        <w:rPr>
          <w:rFonts w:ascii="Georgia" w:cs="Georgia" w:eastAsia="Georgia" w:hAnsi="Georgia"/>
          <w:color w:val="1a1a1a"/>
        </w:rPr>
        <w:t xml:space="preserve">3. Build Integrity</w:t>
      </w:r>
    </w:p>
    <w:p>
      <w:pPr>
        <w:spacing w:after="120" w:line="276"/>
      </w:pPr>
      <w:r>
        <w:rPr>
          <w:rFonts w:ascii="Georgia" w:cs="Georgia" w:eastAsia="Georgia" w:hAnsi="Georgia"/>
          <w:b w:val="false"/>
          <w:bCs w:val="false"/>
          <w:color w:val="4a4a4a"/>
          <w:sz w:val="22"/>
          <w:szCs w:val="22"/>
        </w:rPr>
        <w:t xml:space="preserve">The quality improvement pipeline (run_quality_improvements.py) executed successfully with all 39 modules completing without errors. The build produced 33 dashboard HTML files totaling 3.2 MB. PMID verification passed with 202 PMIDs validated and zero API errors. Clinical trial data loaded 750 trials successfully. Research paths processed 48 paths with 25 validated. The corpus processed 202 papers across 61 extraction sources yielding 472 data points.</w:t>
      </w:r>
    </w:p>
    <w:p>
      <w:pPr>
        <w:spacing w:after="120" w:line="276"/>
      </w:pPr>
      <w:r>
        <w:rPr>
          <w:rFonts w:ascii="Georgia" w:cs="Georgia" w:eastAsia="Georgia" w:hAnsi="Georgia"/>
          <w:b w:val="false"/>
          <w:bCs w:val="false"/>
          <w:color w:val="4a4a4a"/>
          <w:sz w:val="22"/>
          <w:szCs w:val="22"/>
        </w:rPr>
        <w:t xml:space="preserve">Build Status: PASS. No regressions detected from previous audit.</w:t>
      </w:r>
    </w:p>
    <w:p>
      <w:pPr>
        <w:pStyle w:val="Heading1"/>
        <w:spacing w:after="120" w:before="360"/>
      </w:pPr>
      <w:r>
        <w:rPr>
          <w:rFonts w:ascii="Georgia" w:cs="Georgia" w:eastAsia="Georgia" w:hAnsi="Georgia"/>
          <w:color w:val="1a1a1a"/>
        </w:rPr>
        <w:t xml:space="preserve">4. Content Freshness</w:t>
      </w:r>
    </w:p>
    <w:p>
      <w:pPr>
        <w:spacing w:after="120" w:line="276"/>
      </w:pPr>
      <w:r>
        <w:rPr>
          <w:rFonts w:ascii="Georgia" w:cs="Georgia" w:eastAsia="Georgia" w:hAnsi="Georgia"/>
          <w:b w:val="false"/>
          <w:bCs w:val="false"/>
          <w:color w:val="4a4a4a"/>
          <w:sz w:val="22"/>
          <w:szCs w:val="22"/>
        </w:rPr>
        <w:t xml:space="preserve">Dashboards were last regenerated on March 22, 2026, and the landing page footer reflects this date. The clinical trial count has increased to 748-750, up from the previously reported 746, suggesting an automated data refresh is functioning.</w:t>
      </w:r>
    </w:p>
    <w:p>
      <w:pPr>
        <w:spacing w:after="120" w:line="276"/>
      </w:pPr>
      <w:r>
        <w:rPr>
          <w:rFonts w:ascii="Georgia" w:cs="Georgia" w:eastAsia="Georgia" w:hAnsi="Georgia"/>
          <w:b w:val="false"/>
          <w:bCs w:val="false"/>
          <w:color w:val="4a4a4a"/>
          <w:sz w:val="22"/>
          <w:szCs w:val="22"/>
        </w:rPr>
        <w:t xml:space="preserve">Two content freshness issues were identified. First, the Research_Dashboard.html contains Q1-Q4 2026 timeline milestones all marked as "upcoming," with Q1 items now past due. Second, the landing page references "April 2026" dates that will become stale within weeks. Eight dashboards contain "upcoming" references that should be reviewed for currency.</w:t>
      </w:r>
    </w:p>
    <w:p>
      <w:pPr>
        <w:pStyle w:val="Heading1"/>
        <w:spacing w:after="120" w:before="360"/>
      </w:pPr>
      <w:r>
        <w:rPr>
          <w:rFonts w:ascii="Georgia" w:cs="Georgia" w:eastAsia="Georgia" w:hAnsi="Georgia"/>
          <w:color w:val="1a1a1a"/>
        </w:rPr>
        <w:t xml:space="preserve">5. Accessibility and Inclusivity</w:t>
      </w:r>
    </w:p>
    <w:p>
      <w:pPr>
        <w:spacing w:after="120" w:line="276"/>
      </w:pPr>
      <w:r>
        <w:rPr>
          <w:rFonts w:ascii="Georgia" w:cs="Georgia" w:eastAsia="Georgia" w:hAnsi="Georgia"/>
          <w:b w:val="false"/>
          <w:bCs w:val="false"/>
          <w:color w:val="4a4a4a"/>
          <w:sz w:val="22"/>
          <w:szCs w:val="22"/>
        </w:rPr>
        <w:t xml:space="preserve">Accessibility remains the weakest area of the platform. A spot-check of five dashboards found zero ARIA attributes (aria-label, aria-labelledby, role) across all interactive elements. Table headers use &lt;th&gt; tags but lack scope attributes and caption elements. No tabindex attributes exist, and extensive use of onclick handlers for table sorting creates keyboard inaccessibility.</w:t>
      </w:r>
    </w:p>
    <w:p>
      <w:pPr>
        <w:spacing w:after="120" w:line="276"/>
      </w:pPr>
      <w:r>
        <w:rPr>
          <w:rFonts w:ascii="Georgia" w:cs="Georgia" w:eastAsia="Georgia" w:hAnsi="Georgia"/>
          <w:b w:val="false"/>
          <w:bCs w:val="false"/>
          <w:color w:val="4a4a4a"/>
          <w:sz w:val="22"/>
          <w:szCs w:val="22"/>
        </w:rPr>
        <w:t xml:space="preserve">The muted gray text color (#636363) used for subtitles and statistics on white or off-white (#fafaf7) backgrounds produces an estimated contrast ratio of approximately 3.5:1, which falls below the WCAG AA minimum of 4.5:1 for normal text. No images are used in the dashboards, so alt text is not applicable.</w:t>
      </w:r>
    </w:p>
    <w:p>
      <w:pPr>
        <w:pStyle w:val="Heading1"/>
        <w:spacing w:after="120" w:before="360"/>
      </w:pPr>
      <w:r>
        <w:rPr>
          <w:rFonts w:ascii="Georgia" w:cs="Georgia" w:eastAsia="Georgia" w:hAnsi="Georgia"/>
          <w:color w:val="1a1a1a"/>
        </w:rPr>
        <w:t xml:space="preserve">6. Collaboration Infrastructure</w:t>
      </w:r>
    </w:p>
    <w:p>
      <w:pPr>
        <w:spacing w:after="120" w:line="276"/>
      </w:pPr>
      <w:r>
        <w:rPr>
          <w:rFonts w:ascii="Georgia" w:cs="Georgia" w:eastAsia="Georgia" w:hAnsi="Georgia"/>
          <w:b w:val="false"/>
          <w:bCs w:val="false"/>
          <w:color w:val="4a4a4a"/>
          <w:sz w:val="22"/>
          <w:szCs w:val="22"/>
        </w:rPr>
        <w:t xml:space="preserve">CONTRIBUTING.md exists and provides clear contribution pathways (reporting data errors, suggesting research gaps, improving dashboards), validation standards (GOLD/SILVER/BRONZE framework), and citation requirements (PMID preferred, DOI acceptable). Citation formats are provided in both APA and BibTeX.</w:t>
      </w:r>
    </w:p>
    <w:p>
      <w:pPr>
        <w:spacing w:after="120" w:line="276"/>
      </w:pPr>
      <w:r>
        <w:rPr>
          <w:rFonts w:ascii="Georgia" w:cs="Georgia" w:eastAsia="Georgia" w:hAnsi="Georgia"/>
          <w:b w:val="false"/>
          <w:bCs w:val="false"/>
          <w:color w:val="4a4a4a"/>
          <w:sz w:val="22"/>
          <w:szCs w:val="22"/>
        </w:rPr>
        <w:t xml:space="preserve">Two gaps exist: no GitHub issue templates are configured (despite CONTRIBUTING.md referencing issue labels), and no standalone CODE_OF_CONDUCT.md exists (only a brief inline statement). The project is properly licensed under MIT (code) and CC-BY 4.0 (content), with OSF preregistration at osf.io/hu9ga.</w:t>
      </w:r>
    </w:p>
    <w:p>
      <w:r>
        <w:br w:type="page"/>
      </w:r>
    </w:p>
    <w:p>
      <w:pPr>
        <w:pStyle w:val="Heading1"/>
        <w:spacing w:after="120" w:before="360"/>
      </w:pPr>
      <w:r>
        <w:rPr>
          <w:rFonts w:ascii="Georgia" w:cs="Georgia" w:eastAsia="Georgia" w:hAnsi="Georgia"/>
          <w:color w:val="1a1a1a"/>
        </w:rPr>
        <w:t xml:space="preserve">Dashboard-by-Dashboard Status</w:t>
      </w:r>
    </w:p>
    <w:p>
      <w:pPr>
        <w:spacing w:after="120" w:line="276"/>
      </w:pPr>
      <w:r>
        <w:rPr>
          <w:rFonts w:ascii="Georgia" w:cs="Georgia" w:eastAsia="Georgia" w:hAnsi="Georgia"/>
          <w:b w:val="false"/>
          <w:bCs w:val="false"/>
          <w:color w:val="4a4a4a"/>
          <w:sz w:val="22"/>
          <w:szCs w:val="22"/>
        </w:rPr>
        <w:t xml:space="preserve">The following table summarizes the status of all 33 dashboards. Priority reflects the most severe issue found for each dashboard.</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600"/>
        <w:gridCol w:w="700"/>
        <w:gridCol w:w="4460"/>
      </w:tblGrid>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Dashboard</w:t>
            </w:r>
          </w:p>
        </w:tc>
        <w:tc>
          <w:tcPr>
            <w:tcW w:type="dxa" w:w="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Size</w:t>
            </w:r>
          </w:p>
        </w:tc>
        <w:tc>
          <w:tcPr>
            <w:tcW w:type="dxa" w:w="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PMIDs</w:t>
            </w:r>
          </w:p>
        </w:tc>
        <w:tc>
          <w:tcPr>
            <w:tcW w:type="dxa" w:w="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Nav</w:t>
            </w:r>
          </w:p>
        </w:tc>
        <w:tc>
          <w:tcPr>
            <w:tcW w:type="dxa" w:w="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Priority</w:t>
            </w:r>
          </w:p>
        </w:tc>
        <w:tc>
          <w:tcPr>
            <w:tcW w:type="dxa" w:w="44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Issues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Acronym_Database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91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 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CART_Access_Barriers</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74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Clinical_Trial_Dashboard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421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 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Corpus_Analysis</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76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 no nav bar, no back-link</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Drug_Repurposing_Islet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56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Drug_Repurposing_Screen</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104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7</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LOW</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Equity_Map</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76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1 PMID (below minimum), no nav,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Extracted_Evidence</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133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51</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nav bar, no back-link</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Gap_Deep_Dives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209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nav bar, no back-link, PMID links not hyperlinked</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Gap_Evidence</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136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55</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Orphaned: not on landing page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Gap_Synthesis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118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Generic_Drug_Catalog</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40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GKA_LADA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37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GKA_Landscape</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54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3</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GKA_Pricing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39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1 PMID (below minimum)</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Health_Equity</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71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8</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Immunomod_LADA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44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Islet_Transplant_Analysis</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70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4</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Islet_Transplant_Equity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40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LADA_Diagnostic_Model</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42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5</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LADA_Natural_History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56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LADA_Prevalence</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50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1 PMID (below minimum)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Medical_Data_Dictionary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351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89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Methodology</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62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Nutrition_Beta_Cells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41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Nutrition_LADA</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51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6</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Paper_Library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160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202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PMID_Verification</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133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202</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Research_Dashboard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60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1 PMID, 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Research_Paths</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119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1 PMID, no nav bar, no back-link</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Statistical_Analysis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32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 no nav bar, no back-link</w:t>
            </w:r>
          </w:p>
        </w:tc>
      </w:tr>
      <w:tr>
        <w:tc>
          <w:tcPr>
            <w:tcW w:type="dxa" w:w="2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Treg_Neuropathy</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64 KB</w:t>
            </w:r>
          </w:p>
        </w:tc>
        <w:tc>
          <w:tcPr>
            <w:tcW w:type="dxa" w:w="7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6</w:t>
            </w:r>
          </w:p>
        </w:tc>
        <w:tc>
          <w:tcPr>
            <w:tcW w:type="dxa" w:w="6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OK</w:t>
            </w:r>
          </w:p>
        </w:tc>
        <w:tc>
          <w:tcPr>
            <w:tcW w:type="dxa" w:w="44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PMID links not hyperlinked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Trial_Equity_Mapper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b w:val="false"/>
                <w:bCs w:val="false"/>
                <w:color w:val="1a1a1a"/>
                <w:sz w:val="18"/>
                <w:szCs w:val="18"/>
              </w:rPr>
              <w:t xml:space="preserve">66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No PMIDs</w:t>
            </w:r>
          </w:p>
        </w:tc>
      </w:tr>
    </w:tbl>
    <w:p>
      <w:r>
        <w:br w:type="page"/>
      </w:r>
    </w:p>
    <w:p>
      <w:pPr>
        <w:pStyle w:val="Heading1"/>
        <w:spacing w:after="120" w:before="360"/>
      </w:pPr>
      <w:r>
        <w:rPr>
          <w:rFonts w:ascii="Georgia" w:cs="Georgia" w:eastAsia="Georgia" w:hAnsi="Georgia"/>
          <w:color w:val="1a1a1a"/>
        </w:rPr>
        <w:t xml:space="preserve">Comparison to Previous Audit (March 16, 2026)</w:t>
      </w:r>
    </w:p>
    <w:p>
      <w:pPr>
        <w:spacing w:after="120" w:line="276"/>
      </w:pPr>
      <w:r>
        <w:rPr>
          <w:rFonts w:ascii="Georgia" w:cs="Georgia" w:eastAsia="Georgia" w:hAnsi="Georgia"/>
          <w:b w:val="false"/>
          <w:bCs w:val="false"/>
          <w:color w:val="4a4a4a"/>
          <w:sz w:val="22"/>
          <w:szCs w:val="22"/>
        </w:rPr>
        <w:t xml:space="preserve">The previous audit report (Platform_Audit_Report.docx, March 16) and detailed findings files (AUDIT_FINDINGS.txt, AUDIT_REPORT.txt, March 17) documented significant credibility and citation concerns. The table below compares key metrics.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Metric</w:t>
            </w:r>
          </w:p>
        </w:tc>
        <w:tc>
          <w:tcPr>
            <w:tcW w:type="dxa" w:w="3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Previous (Mar 16)</w:t>
            </w:r>
          </w:p>
        </w:tc>
        <w:tc>
          <w:tcPr>
            <w:tcW w:type="dxa" w:w="3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Current (Mar 22)</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Total Dashboards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33</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33</w:t>
            </w:r>
          </w:p>
        </w:tc>
      </w:tr>
      <w:tr>
        <w:tc>
          <w:tcPr>
            <w:tcW w:type="dxa" w:w="3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Clinical Trials Count</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746</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748-750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Build Status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Pass (39 modules)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Pass (39 modules)</w:t>
            </w:r>
          </w:p>
        </w:tc>
      </w:tr>
      <w:tr>
        <w:tc>
          <w:tcPr>
            <w:tcW w:type="dxa" w:w="3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Dashboards with Zero PMIDs</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8</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8</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Dashboards Missing Navigation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11</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11</w:t>
            </w:r>
          </w:p>
        </w:tc>
      </w:tr>
      <w:tr>
        <w:tc>
          <w:tcPr>
            <w:tcW w:type="dxa" w:w="32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Credibility Issues (Previous Audit)</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20+ flagged</w:t>
            </w:r>
          </w:p>
        </w:tc>
        <w:tc>
          <w:tcPr>
            <w:tcW w:type="dxa" w:w="308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c0392b"/>
                <w:sz w:val="18"/>
                <w:szCs w:val="18"/>
              </w:rPr>
              <w:t xml:space="preserve">Unresolved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Total Output Size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~3.2 MB</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3.2 MB</w:t>
            </w:r>
          </w:p>
        </w:tc>
      </w:tr>
    </w:tbl>
    <w:p>
      <w:pPr>
        <w:spacing w:after="60" w:before="60"/>
      </w:pPr>
    </w:p>
    <w:p>
      <w:pPr>
        <w:spacing w:after="120" w:line="276"/>
      </w:pPr>
      <w:r>
        <w:rPr>
          <w:rFonts w:ascii="Georgia" w:cs="Georgia" w:eastAsia="Georgia" w:hAnsi="Georgia"/>
          <w:b w:val="false"/>
          <w:bCs w:val="false"/>
          <w:color w:val="4a4a4a"/>
          <w:sz w:val="22"/>
          <w:szCs w:val="22"/>
        </w:rPr>
        <w:t xml:space="preserve">Notable changes since the previous audit: clinical trial count increased from 746 to 748-750. No structural improvements to navigation or citation coverage. Credibility issues flagged in the pressure-test audit remain unresolved. Build stability maintained.</w:t>
      </w:r>
    </w:p>
    <w:p>
      <w:r>
        <w:br w:type="page"/>
      </w:r>
    </w:p>
    <w:p>
      <w:pPr>
        <w:pStyle w:val="Heading1"/>
        <w:spacing w:after="120" w:before="360"/>
      </w:pPr>
      <w:r>
        <w:rPr>
          <w:rFonts w:ascii="Georgia" w:cs="Georgia" w:eastAsia="Georgia" w:hAnsi="Georgia"/>
          <w:color w:val="1a1a1a"/>
        </w:rPr>
        <w:t xml:space="preserve">Priority Action Items</w:t>
      </w:r>
    </w:p>
    <w:p>
      <w:pPr>
        <w:spacing w:after="120" w:line="276"/>
      </w:pPr>
      <w:r>
        <w:rPr>
          <w:rFonts w:ascii="Georgia" w:cs="Georgia" w:eastAsia="Georgia" w:hAnsi="Georgia"/>
          <w:b w:val="false"/>
          <w:bCs w:val="false"/>
          <w:color w:val="4a4a4a"/>
          <w:sz w:val="22"/>
          <w:szCs w:val="22"/>
        </w:rPr>
        <w:t xml:space="preserve">The following actions are recommended, ordered by priority. HIGH items represent research credibility or user experience risks that should be addressed within one week. MEDIUM items should be addressed within two weeks. LOW items are enhancements for the next monthly cycle.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560"/>
        <w:gridCol w:w="1000"/>
      </w:tblGrid>
      <w:tr>
        <w:tc>
          <w:tcPr>
            <w:tcW w:type="dxa" w:w="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Priority</w:t>
            </w:r>
          </w:p>
        </w:tc>
        <w:tc>
          <w:tcPr>
            <w:tcW w:type="dxa" w:w="7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Action Item</w:t>
            </w:r>
          </w:p>
        </w:tc>
        <w:tc>
          <w:tcPr>
            <w:tcW w:type="dxa" w:w="1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1a1a1a"/>
                <w:sz w:val="18"/>
                <w:szCs w:val="18"/>
              </w:rPr>
              <w:t xml:space="preserve">Status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 PMID citations to 8 dashboards currently at zero (Acronym_Database, CART_Access_Barriers, Clinical_Trial_Dashboard, Corpus_Analysis, Generic_Drug_Catalog, Methodology, Statistical_Analysis, Trial_Equity_Mapper)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 navigation bars and back-links to 11 dashboards missing them (includes Medical_Data_Dictionary at 351 KB, Clinical_Trial_Dashboard at 421 KB)</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Address credibility issues from previous audit: unverifiable journal citations, overstated preclinical claims, contradicted claims, implausible biomarker AUC 1.0 claim</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0392b"/>
                <w:sz w:val="18"/>
                <w:szCs w:val="18"/>
              </w:rPr>
              <w:t xml:space="preserve">HIGH</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 ARIA labels, role attributes, and keyboard accessibility to all interactive dashboard elements (sort buttons, tabs, expandable sections)</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Increase PMID citations on 5 dashboards currently below 3 (Equity_Map, GKA_Pricing, LADA_Prevalence, Research_Dashboard, Research_Paths)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Convert PMID text labels to proper hyperlinks in 15 dashboards</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 Gap_Evidence.html to the landing page or remove from production (orphaned dashboard)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Update Research_Dashboard.html Q1-Q4 2026 timeline milestones and April 2026 references on landing page</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Improve color contrast for muted text (#636363 on white/off-white) to meet WCAG AA 4.5:1 ratio</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d4880f"/>
                <w:sz w:val="18"/>
                <w:szCs w:val="18"/>
              </w:rPr>
              <w:t xml:space="preserve">MEDIUM</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Add scope attributes and captions to all data tables for screen reader accessibility</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LOW</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Create GitHub issue templates for bug reports, data errors, and feature requests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LOW</w:t>
            </w:r>
          </w:p>
        </w:tc>
        <w:tc>
          <w:tcPr>
            <w:tcW w:type="dxa" w:w="756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Create standalone CODE_OF_CONDUCT.md (currently only inline statement in CONTRIBUTING.md)</w:t>
            </w:r>
          </w:p>
        </w:tc>
        <w:tc>
          <w:tcPr>
            <w:tcW w:type="dxa" w:w="1000"/>
            <w:tcBorders>
              <w:top w:val="single" w:color="cccccc" w:sz="1"/>
              <w:left w:val="single" w:color="cccccc" w:sz="1"/>
              <w:bottom w:val="single" w:color="cccccc" w:sz="1"/>
              <w:right w:val="single" w:color="cccccc" w:sz="1"/>
            </w:tcBorders>
            <w:shd w:fill="f9f9f7" w:val="clear"/>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27ae60"/>
                <w:sz w:val="18"/>
                <w:szCs w:val="18"/>
              </w:rPr>
              <w:t xml:space="preserve">LOW</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1a1a1a"/>
                <w:sz w:val="18"/>
                <w:szCs w:val="18"/>
              </w:rPr>
              <w:t xml:space="preserve">Consider refreshing clinical trial count (currently 748-750, up from 746 previously)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1a1a1a"/>
                <w:sz w:val="18"/>
                <w:szCs w:val="18"/>
              </w:rPr>
              <w:t xml:space="preserve">Open</w:t>
            </w:r>
          </w:p>
        </w:tc>
      </w:tr>
    </w:tbl>
    <w:p>
      <w:pPr>
        <w:spacing w:after="60" w:before="60"/>
      </w:pPr>
    </w:p>
    <w:p>
      <w:pPr>
        <w:spacing w:after="60" w:before="60"/>
      </w:pPr>
    </w:p>
    <w:p>
      <w:pPr>
        <w:pBdr>
          <w:top w:val="single" w:color="999999" w:sz="1" w:space="8"/>
        </w:pBdr>
        <w:spacing w:before="200"/>
      </w:pPr>
      <w:r>
        <w:rPr>
          <w:rFonts w:ascii="Arial" w:cs="Arial" w:eastAsia="Arial" w:hAnsi="Arial"/>
          <w:i/>
          <w:iCs/>
          <w:color w:val="999999"/>
          <w:sz w:val="18"/>
          <w:szCs w:val="18"/>
        </w:rPr>
        <w:t xml:space="preserve">Report generated automatically by weekly-platform-audit scheduled task. Next audit: March 29,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Diabetes Research Hub — Weekly Platform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f8a" w:sz="4" w:space="4"/>
      </w:pBdr>
      <w:spacing w:after="200" w:before="360"/>
      <w:outlineLvl w:val="0"/>
    </w:pPr>
    <w:rPr>
      <w:rFonts w:ascii="Georgia" w:cs="Georgia" w:eastAsia="Georgia" w:hAnsi="Georgia"/>
      <w:b/>
      <w:bCs/>
      <w:color w:val="1a1a1a"/>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2c5f8a"/>
      <w:sz w:val="28"/>
      <w:szCs w:val="28"/>
    </w:rPr>
  </w:style>
  <w:style w:type="paragraph" w:styleId="Heading3">
    <w:name w:val="Heading 3"/>
    <w:basedOn w:val="Normal"/>
    <w:next w:val="Normal"/>
    <w:qFormat/>
    <w:pPr>
      <w:spacing w:after="100" w:before="200"/>
      <w:outlineLvl w:val="2"/>
    </w:pPr>
    <w:rPr>
      <w:rFonts w:ascii="Georgia" w:cs="Georgia" w:eastAsia="Georgia" w:hAnsi="Georgia"/>
      <w:b/>
      <w:bCs/>
      <w:color w:val="4a4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2026-03-22T16:45:48.810Z</dcterms:created>
  <dcterms:modified xsi:type="dcterms:W3CDTF">2026-03-22T16:45:48.811Z</dcterms:modified>
</cp:coreProperties>
</file>

<file path=docProps/custom.xml><?xml version="1.0" encoding="utf-8"?>
<Properties xmlns="http://schemas.openxmlformats.org/officeDocument/2006/custom-properties" xmlns:vt="http://schemas.openxmlformats.org/officeDocument/2006/docPropsVTypes"/>
</file>