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pPr>
      <w:r>
        <w:rPr>
          <w:rFonts w:ascii="Georgia" w:hAnsi="Georgia"/>
          <w:b w:val="0"/>
          <w:i w:val="0"/>
          <w:color w:val="1A1A1A"/>
          <w:sz w:val="34"/>
        </w:rPr>
        <w:t>Diabetes Research Hub</w:t>
      </w:r>
    </w:p>
    <w:p>
      <w:pPr>
        <w:spacing w:after="100" w:before="0" w:line="276" w:lineRule="auto"/>
      </w:pPr>
      <w:r>
        <w:rPr>
          <w:rFonts w:ascii="Georgia" w:hAnsi="Georgia"/>
          <w:b w:val="0"/>
          <w:i w:val="0"/>
          <w:color w:val="636363"/>
          <w:sz w:val="24"/>
        </w:rPr>
        <w:t>Weekly Platform Audit</w:t>
      </w:r>
    </w:p>
    <w:p>
      <w:pPr>
        <w:spacing w:after="40" w:before="0" w:line="276" w:lineRule="auto"/>
      </w:pPr>
      <w:r>
        <w:rPr>
          <w:rFonts w:ascii="Calibri" w:hAnsi="Calibri"/>
          <w:b w:val="0"/>
          <w:i w:val="0"/>
          <w:color w:val="636363"/>
          <w:sz w:val="17"/>
        </w:rPr>
        <w:t>August 23, 2026    ·    Automated weekly run    ·    Prior baseline: August 16, 2026</w:t>
      </w:r>
    </w:p>
    <w:p>
      <w:pPr>
        <w:spacing w:after="0" w:before="0" w:line="276" w:lineRule="auto"/>
        <w:pBdr>
          <w:bottom w:val="single" w:sz="8" w:space="4" w:color="1A1A1A"/>
        </w:pBdr>
      </w:pPr>
      <w:r>
        <w:rPr>
          <w:rFonts w:ascii="Calibri" w:hAnsi="Calibri"/>
          <w:b w:val="0"/>
          <w:i w:val="0"/>
          <w:color w:val="636363"/>
          <w:sz w:val="17"/>
        </w:rPr>
        <w:t>Scope: bottumj.github.io/diabetes-research-hub  ·  github.com/BottumJ/diabetes-research-hub  ·  local workspace</w:t>
      </w:r>
    </w:p>
    <w:p>
      <w:pPr>
        <w:spacing w:after="60" w:before="340" w:line="276" w:lineRule="auto"/>
        <w:pBdr>
          <w:bottom w:val="single" w:sz="6" w:space="4" w:color="1A1A1A"/>
        </w:pBdr>
      </w:pPr>
      <w:r>
        <w:rPr>
          <w:rFonts w:ascii="Georgia" w:hAnsi="Georgia"/>
          <w:b w:val="0"/>
          <w:i w:val="0"/>
          <w:color w:val="1A1A1A"/>
          <w:sz w:val="26"/>
        </w:rPr>
        <w:t>Executive summary</w:t>
      </w:r>
    </w:p>
    <w:p>
      <w:pPr>
        <w:spacing w:after="120" w:before="0" w:line="276" w:lineRule="auto"/>
      </w:pPr>
      <w:r>
        <w:rPr>
          <w:rFonts w:ascii="Calibri" w:hAnsi="Calibri"/>
          <w:b w:val="0"/>
          <w:i w:val="0"/>
          <w:color w:val="1A1A1A"/>
          <w:sz w:val="20"/>
        </w:rPr>
        <w:t>The pipeline got bigger and better; the site did not move. Fifty-one build steps ran clean, up from forty-three. The validated corpus grew from 260 papers to 315, and the WEAK share fell from 51.5% to 43.5% — the first real improvement in evidence quality this platform has recorded. Platform-wide unique PMIDs rose from 278 to 323.</w:t>
      </w:r>
    </w:p>
    <w:p>
      <w:pPr>
        <w:spacing w:after="120" w:before="0" w:line="276" w:lineRule="auto"/>
      </w:pPr>
      <w:r>
        <w:rPr>
          <w:rFonts w:ascii="Calibri" w:hAnsi="Calibri"/>
          <w:b w:val="0"/>
          <w:i w:val="0"/>
          <w:color w:val="1A1A1A"/>
          <w:sz w:val="20"/>
        </w:rPr>
        <w:t>None of that reached a reader. The public site still serves the 2026-04-19 build. It still headlines 767 clinical trials against the working copy’s 858. Unpushed commits went from 79 to 88. This is the fourth consecutive audit in which the single highest-value action — push — did not happen, and it is now the only thing standing between four months of accumulated work and its audience.</w:t>
      </w:r>
    </w:p>
    <w:p>
      <w:pPr>
        <w:spacing w:after="120" w:before="0" w:line="276" w:lineRule="auto"/>
      </w:pPr>
      <w:r>
        <w:rPr>
          <w:rFonts w:ascii="Calibri" w:hAnsi="Calibri"/>
          <w:b w:val="0"/>
          <w:i w:val="0"/>
          <w:color w:val="1A1A1A"/>
          <w:sz w:val="20"/>
        </w:rPr>
        <w:t>Two findings are new. Prediction_Ledger.html was rebuilt during this audit to diagnose why it has been zero bytes for weeks: build_prediction_ledger.py runs cleanly and emits 21,872 bytes in under a second. The file is empty because the builder was never registered in run_quality_improvements.py. Worse, because it sits outside the pipeline it also misses postprocess_dashboards.py — the rebuilt file has no navigation bar, no back-link, and one ARIA attribute against the 14–16 every other dashboard carries. It is now the sole stale entry in the docs/ mirror. Separately, three anchor tags across Health_Equity and Methodology link to a bare PubMed root with no identifier, a defect class not previously measured.</w:t>
      </w:r>
    </w:p>
    <w:p>
      <w:pPr>
        <w:spacing w:after="120" w:before="0" w:line="276" w:lineRule="auto"/>
      </w:pPr>
      <w:r>
        <w:rPr>
          <w:rFonts w:ascii="Calibri" w:hAnsi="Calibri"/>
          <w:b w:val="0"/>
          <w:i w:val="0"/>
          <w:color w:val="1A1A1A"/>
          <w:sz w:val="20"/>
        </w:rPr>
        <w:t>Trial data is now 37 days old, up from 30. The ClinicalTrials.gov daily pull has not run since 2026-07-17 and the gap widens each cycle unattended.</w:t>
      </w:r>
    </w:p>
    <w:p>
      <w:pPr>
        <w:spacing w:after="80" w:before="240" w:line="276" w:lineRule="auto"/>
      </w:pPr>
      <w:r>
        <w:rPr>
          <w:rFonts w:ascii="Georgia" w:hAnsi="Georgia"/>
          <w:b w:val="0"/>
          <w:i w:val="0"/>
          <w:color w:val="1A1A1A"/>
          <w:sz w:val="22"/>
        </w:rPr>
        <w:t>Pass / fail at a glance</w:t>
      </w:r>
    </w:p>
    <w:p>
      <w:pPr>
        <w:spacing w:after="140" w:before="0" w:line="276" w:lineRule="auto"/>
      </w:pPr>
      <w:r>
        <w:rPr>
          <w:rFonts w:ascii="Calibri" w:hAnsi="Calibri"/>
          <w:b/>
          <w:i w:val="0"/>
          <w:color w:val="1A1A1A"/>
          <w:sz w:val="20"/>
        </w:rPr>
        <w:t>Open items:   3 HIGH     ·     5 MEDIUM     ·     3 LOW</w:t>
      </w:r>
    </w:p>
    <w:p>
      <w:pPr>
        <w:spacing w:after="80" w:line="276" w:lineRule="auto"/>
        <w:ind w:left="259" w:hanging="187"/>
      </w:pPr>
      <w:r>
        <w:rPr>
          <w:rFonts w:ascii="Calibri" w:hAnsi="Calibri"/>
          <w:color w:val="636363"/>
          <w:sz w:val="19"/>
        </w:rPr>
        <w:t xml:space="preserve">— </w:t>
      </w:r>
      <w:r>
        <w:rPr>
          <w:rFonts w:ascii="Calibri" w:hAnsi="Calibri"/>
          <w:b/>
          <w:color w:val="1A1A1A"/>
          <w:sz w:val="19"/>
        </w:rPr>
        <w:t xml:space="preserve">Build integrity — </w:t>
      </w:r>
      <w:r>
        <w:rPr>
          <w:rFonts w:ascii="Calibri" w:hAnsi="Calibri"/>
          <w:color w:val="1A1A1A"/>
          <w:sz w:val="19"/>
        </w:rPr>
        <w:t>PASS. 51 of 51 pipeline steps executed and completed; zero errors, zero tracebacks. Up 8 steps from last cycle.</w:t>
      </w:r>
    </w:p>
    <w:p>
      <w:pPr>
        <w:spacing w:after="80" w:line="276" w:lineRule="auto"/>
        <w:ind w:left="259" w:hanging="187"/>
      </w:pPr>
      <w:r>
        <w:rPr>
          <w:rFonts w:ascii="Calibri" w:hAnsi="Calibri"/>
          <w:color w:val="636363"/>
          <w:sz w:val="19"/>
        </w:rPr>
        <w:t xml:space="preserve">— </w:t>
      </w:r>
      <w:r>
        <w:rPr>
          <w:rFonts w:ascii="Calibri" w:hAnsi="Calibri"/>
          <w:b/>
          <w:color w:val="1A1A1A"/>
          <w:sz w:val="19"/>
        </w:rPr>
        <w:t xml:space="preserve">Navigation &amp; back-links — </w:t>
      </w:r>
      <w:r>
        <w:rPr>
          <w:rFonts w:ascii="Calibri" w:hAnsi="Calibri"/>
          <w:color w:val="1A1A1A"/>
          <w:sz w:val="19"/>
        </w:rPr>
        <w:t>PASS. 34 of 34 populated dashboards carry nav bar, back-link and ARIA. Prediction_Ledger, now populated, carries none of the three.</w:t>
      </w:r>
    </w:p>
    <w:p>
      <w:pPr>
        <w:spacing w:after="80" w:line="276" w:lineRule="auto"/>
        <w:ind w:left="259" w:hanging="187"/>
      </w:pPr>
      <w:r>
        <w:rPr>
          <w:rFonts w:ascii="Calibri" w:hAnsi="Calibri"/>
          <w:color w:val="636363"/>
          <w:sz w:val="19"/>
        </w:rPr>
        <w:t xml:space="preserve">— </w:t>
      </w:r>
      <w:r>
        <w:rPr>
          <w:rFonts w:ascii="Calibri" w:hAnsi="Calibri"/>
          <w:b/>
          <w:color w:val="1A1A1A"/>
          <w:sz w:val="19"/>
        </w:rPr>
        <w:t xml:space="preserve">Public deployment — </w:t>
      </w:r>
      <w:r>
        <w:rPr>
          <w:rFonts w:ascii="Calibri" w:hAnsi="Calibri"/>
          <w:color w:val="1A1A1A"/>
          <w:sz w:val="19"/>
        </w:rPr>
        <w:t>FAIL. Live site four months stale; 88 unpushed commits; 2 landing-page 404s carried.</w:t>
      </w:r>
    </w:p>
    <w:p>
      <w:pPr>
        <w:spacing w:after="80" w:line="276" w:lineRule="auto"/>
        <w:ind w:left="259" w:hanging="187"/>
      </w:pPr>
      <w:r>
        <w:rPr>
          <w:rFonts w:ascii="Calibri" w:hAnsi="Calibri"/>
          <w:color w:val="636363"/>
          <w:sz w:val="19"/>
        </w:rPr>
        <w:t xml:space="preserve">— </w:t>
      </w:r>
      <w:r>
        <w:rPr>
          <w:rFonts w:ascii="Calibri" w:hAnsi="Calibri"/>
          <w:b/>
          <w:color w:val="1A1A1A"/>
          <w:sz w:val="19"/>
        </w:rPr>
        <w:t xml:space="preserve">Citations — </w:t>
      </w:r>
      <w:r>
        <w:rPr>
          <w:rFonts w:ascii="Calibri" w:hAnsi="Calibri"/>
          <w:color w:val="1A1A1A"/>
          <w:sz w:val="19"/>
        </w:rPr>
        <w:t>PASS with exceptions. 323 unique PMIDs platform-wide, up 45. One phantom paper persists; 7 malformed and 3 empty hrefs across three files.</w:t>
      </w:r>
    </w:p>
    <w:p>
      <w:pPr>
        <w:spacing w:after="80" w:line="276" w:lineRule="auto"/>
        <w:ind w:left="259" w:hanging="187"/>
      </w:pPr>
      <w:r>
        <w:rPr>
          <w:rFonts w:ascii="Calibri" w:hAnsi="Calibri"/>
          <w:color w:val="636363"/>
          <w:sz w:val="19"/>
        </w:rPr>
        <w:t xml:space="preserve">— </w:t>
      </w:r>
      <w:r>
        <w:rPr>
          <w:rFonts w:ascii="Calibri" w:hAnsi="Calibri"/>
          <w:b/>
          <w:color w:val="1A1A1A"/>
          <w:sz w:val="19"/>
        </w:rPr>
        <w:t xml:space="preserve">Content freshness — </w:t>
      </w:r>
      <w:r>
        <w:rPr>
          <w:rFonts w:ascii="Calibri" w:hAnsi="Calibri"/>
          <w:color w:val="1A1A1A"/>
          <w:sz w:val="19"/>
        </w:rPr>
        <w:t>MIXED. Trial count current at 858 locally; snapshots 37 days old; landing card copy still drifted.</w:t>
      </w:r>
    </w:p>
    <w:p>
      <w:pPr>
        <w:spacing w:after="80" w:line="276" w:lineRule="auto"/>
        <w:ind w:left="259" w:hanging="187"/>
      </w:pPr>
      <w:r>
        <w:rPr>
          <w:rFonts w:ascii="Calibri" w:hAnsi="Calibri"/>
          <w:color w:val="636363"/>
          <w:sz w:val="19"/>
        </w:rPr>
        <w:t xml:space="preserve">— </w:t>
      </w:r>
      <w:r>
        <w:rPr>
          <w:rFonts w:ascii="Calibri" w:hAnsi="Calibri"/>
          <w:b/>
          <w:color w:val="1A1A1A"/>
          <w:sz w:val="19"/>
        </w:rPr>
        <w:t xml:space="preserve">Accessibility — </w:t>
      </w:r>
      <w:r>
        <w:rPr>
          <w:rFonts w:ascii="Calibri" w:hAnsi="Calibri"/>
          <w:color w:val="1A1A1A"/>
          <w:sz w:val="19"/>
        </w:rPr>
        <w:t>MIXED. ARIA universal on populated dashboards; body contrast passes AA at 5.75:1; --light still fails at 3.30:1.</w:t>
      </w:r>
    </w:p>
    <w:p>
      <w:pPr>
        <w:spacing w:after="80" w:line="276" w:lineRule="auto"/>
        <w:ind w:left="259" w:hanging="187"/>
      </w:pPr>
      <w:r>
        <w:rPr>
          <w:rFonts w:ascii="Calibri" w:hAnsi="Calibri"/>
          <w:color w:val="636363"/>
          <w:sz w:val="19"/>
        </w:rPr>
        <w:t xml:space="preserve">— </w:t>
      </w:r>
      <w:r>
        <w:rPr>
          <w:rFonts w:ascii="Calibri" w:hAnsi="Calibri"/>
          <w:b/>
          <w:color w:val="1A1A1A"/>
          <w:sz w:val="19"/>
        </w:rPr>
        <w:t xml:space="preserve">Collaboration infra — </w:t>
      </w:r>
      <w:r>
        <w:rPr>
          <w:rFonts w:ascii="Calibri" w:hAnsi="Calibri"/>
          <w:color w:val="1A1A1A"/>
          <w:sz w:val="19"/>
        </w:rPr>
        <w:t>PASS. CONTRIBUTING.md, 4 issue templates, APA and BibTeX citation blocks. No CITATION.cff, no chooser config.</w:t>
      </w:r>
    </w:p>
    <w:p>
      <w:pPr>
        <w:spacing w:after="120" w:before="120" w:line="276" w:lineRule="auto"/>
      </w:pPr>
      <w:r>
        <w:rPr>
          <w:rFonts w:ascii="Calibri" w:hAnsi="Calibri"/>
          <w:b w:val="0"/>
          <w:i/>
          <w:color w:val="636363"/>
          <w:sz w:val="17"/>
        </w:rPr>
        <w:t>Confidence: [Certain] for every file-level and pipeline fact — sizes, PMID counts, nav/back-link/ARIA markup, contrast arithmetic, git state and the 51/51 build result were measured directly this run. [Certain] for live-site staleness; the page was fetched and its footer read. [Likely] that the two low-PMID dashboards understate their real evidence base, since supporting papers may be cited in the builder rather than the rendered page.</w:t>
      </w:r>
    </w:p>
    <w:p>
      <w:pPr>
        <w:spacing w:after="60" w:before="340" w:line="276" w:lineRule="auto"/>
        <w:pBdr>
          <w:bottom w:val="single" w:sz="6" w:space="4" w:color="1A1A1A"/>
        </w:pBdr>
      </w:pPr>
      <w:r>
        <w:rPr>
          <w:rFonts w:ascii="Georgia" w:hAnsi="Georgia"/>
          <w:b w:val="0"/>
          <w:i w:val="0"/>
          <w:color w:val="1A1A1A"/>
          <w:sz w:val="26"/>
        </w:rPr>
        <w:t>Comparison to the August 16 baseline</w:t>
      </w:r>
    </w:p>
    <w:p>
      <w:pPr>
        <w:spacing w:after="120" w:before="0" w:line="276" w:lineRule="auto"/>
      </w:pPr>
      <w:r>
        <w:rPr>
          <w:rFonts w:ascii="Calibri" w:hAnsi="Calibri"/>
          <w:b w:val="0"/>
          <w:i w:val="0"/>
          <w:color w:val="1A1A1A"/>
          <w:sz w:val="20"/>
        </w:rPr>
        <w:t>Four measures improved, three regressed, the rest held. The improvements came from the pipeline growing and running; the regressions came, as before, from not pushing it.</w:t>
      </w:r>
    </w:p>
    <w:tbl>
      <w:tblPr>
        <w:tblStyle w:val="TableGrid"/>
        <w:tblW w:type="dxa" w:w="9647"/>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3168"/>
        <w:gridCol w:w="2232"/>
        <w:gridCol w:w="2592"/>
        <w:gridCol w:w="1655"/>
      </w:tblGrid>
      <w:tr>
        <w:tc>
          <w:tcPr>
            <w:tcW w:type="dxa" w:w="3168"/>
            <w:tcBorders>
              <w:bottom w:val="single" w:sz="8" w:color="1A1A1A"/>
            </w:tcBorders>
          </w:tcPr>
          <w:p>
            <w:pPr>
              <w:spacing w:after="40" w:line="240" w:lineRule="auto"/>
            </w:pPr>
            <w:r>
              <w:rPr>
                <w:rFonts w:ascii="Calibri" w:hAnsi="Calibri"/>
                <w:b/>
                <w:color w:val="1A1A1A"/>
                <w:sz w:val="17"/>
              </w:rPr>
              <w:t>Measure</w:t>
            </w:r>
          </w:p>
        </w:tc>
        <w:tc>
          <w:tcPr>
            <w:tcW w:type="dxa" w:w="2232"/>
            <w:tcBorders>
              <w:bottom w:val="single" w:sz="8" w:color="1A1A1A"/>
            </w:tcBorders>
          </w:tcPr>
          <w:p>
            <w:pPr>
              <w:spacing w:after="40" w:line="240" w:lineRule="auto"/>
            </w:pPr>
            <w:r>
              <w:rPr>
                <w:rFonts w:ascii="Calibri" w:hAnsi="Calibri"/>
                <w:b/>
                <w:color w:val="1A1A1A"/>
                <w:sz w:val="17"/>
              </w:rPr>
              <w:t>Aug 16 baseline</w:t>
            </w:r>
          </w:p>
        </w:tc>
        <w:tc>
          <w:tcPr>
            <w:tcW w:type="dxa" w:w="2592"/>
            <w:tcBorders>
              <w:bottom w:val="single" w:sz="8" w:color="1A1A1A"/>
            </w:tcBorders>
          </w:tcPr>
          <w:p>
            <w:pPr>
              <w:spacing w:after="40" w:line="240" w:lineRule="auto"/>
            </w:pPr>
            <w:r>
              <w:rPr>
                <w:rFonts w:ascii="Calibri" w:hAnsi="Calibri"/>
                <w:b/>
                <w:color w:val="1A1A1A"/>
                <w:sz w:val="17"/>
              </w:rPr>
              <w:t>Aug 23 this run</w:t>
            </w:r>
          </w:p>
        </w:tc>
        <w:tc>
          <w:tcPr>
            <w:tcW w:type="dxa" w:w="1656"/>
            <w:tcBorders>
              <w:bottom w:val="single" w:sz="8" w:color="1A1A1A"/>
            </w:tcBorders>
          </w:tcPr>
          <w:p>
            <w:pPr>
              <w:spacing w:after="40" w:line="240" w:lineRule="auto"/>
            </w:pPr>
            <w:r>
              <w:rPr>
                <w:rFonts w:ascii="Calibri" w:hAnsi="Calibri"/>
                <w:b/>
                <w:color w:val="1A1A1A"/>
                <w:sz w:val="17"/>
              </w:rPr>
              <w:t>Direction</w:t>
            </w:r>
          </w:p>
        </w:tc>
      </w:tr>
      <w:tr>
        <w:tc>
          <w:tcPr>
            <w:tcW w:type="dxa" w:w="3168"/>
          </w:tcPr>
          <w:p>
            <w:pPr>
              <w:spacing w:after="30" w:line="240" w:lineRule="auto"/>
            </w:pPr>
            <w:r>
              <w:rPr>
                <w:rFonts w:ascii="Calibri" w:hAnsi="Calibri"/>
                <w:color w:val="1A1A1A"/>
                <w:sz w:val="17"/>
              </w:rPr>
              <w:t>Pipeline steps run</w:t>
            </w:r>
          </w:p>
        </w:tc>
        <w:tc>
          <w:tcPr>
            <w:tcW w:type="dxa" w:w="2232"/>
          </w:tcPr>
          <w:p>
            <w:pPr>
              <w:spacing w:after="30" w:line="240" w:lineRule="auto"/>
            </w:pPr>
            <w:r>
              <w:rPr>
                <w:rFonts w:ascii="Calibri" w:hAnsi="Calibri"/>
                <w:color w:val="1A1A1A"/>
                <w:sz w:val="17"/>
              </w:rPr>
              <w:t>43 of 43, all pass</w:t>
            </w:r>
          </w:p>
        </w:tc>
        <w:tc>
          <w:tcPr>
            <w:tcW w:type="dxa" w:w="2592"/>
          </w:tcPr>
          <w:p>
            <w:pPr>
              <w:spacing w:after="30" w:line="240" w:lineRule="auto"/>
            </w:pPr>
            <w:r>
              <w:rPr>
                <w:rFonts w:ascii="Calibri" w:hAnsi="Calibri"/>
                <w:color w:val="1A1A1A"/>
                <w:sz w:val="17"/>
              </w:rPr>
              <w:t>51 of 51, all pass</w:t>
            </w:r>
          </w:p>
        </w:tc>
        <w:tc>
          <w:tcPr>
            <w:tcW w:type="dxa" w:w="1656"/>
          </w:tcPr>
          <w:p>
            <w:pPr>
              <w:spacing w:after="30" w:line="240" w:lineRule="auto"/>
            </w:pPr>
            <w:r>
              <w:rPr>
                <w:rFonts w:ascii="Calibri" w:hAnsi="Calibri"/>
                <w:color w:val="2D7D46"/>
                <w:sz w:val="17"/>
              </w:rPr>
              <w:t>improved</w:t>
            </w:r>
          </w:p>
        </w:tc>
      </w:tr>
      <w:tr>
        <w:tc>
          <w:tcPr>
            <w:tcW w:type="dxa" w:w="3168"/>
          </w:tcPr>
          <w:p>
            <w:pPr>
              <w:spacing w:after="30" w:line="240" w:lineRule="auto"/>
            </w:pPr>
            <w:r>
              <w:rPr>
                <w:rFonts w:ascii="Calibri" w:hAnsi="Calibri"/>
                <w:color w:val="1A1A1A"/>
                <w:sz w:val="17"/>
              </w:rPr>
              <w:t>Dashboards w/ nav + back-link</w:t>
            </w:r>
          </w:p>
        </w:tc>
        <w:tc>
          <w:tcPr>
            <w:tcW w:type="dxa" w:w="2232"/>
          </w:tcPr>
          <w:p>
            <w:pPr>
              <w:spacing w:after="30" w:line="240" w:lineRule="auto"/>
            </w:pPr>
            <w:r>
              <w:rPr>
                <w:rFonts w:ascii="Calibri" w:hAnsi="Calibri"/>
                <w:color w:val="1A1A1A"/>
                <w:sz w:val="17"/>
              </w:rPr>
              <w:t>34 of 34</w:t>
            </w:r>
          </w:p>
        </w:tc>
        <w:tc>
          <w:tcPr>
            <w:tcW w:type="dxa" w:w="2592"/>
          </w:tcPr>
          <w:p>
            <w:pPr>
              <w:spacing w:after="30" w:line="240" w:lineRule="auto"/>
            </w:pPr>
            <w:r>
              <w:rPr>
                <w:rFonts w:ascii="Calibri" w:hAnsi="Calibri"/>
                <w:color w:val="1A1A1A"/>
                <w:sz w:val="17"/>
              </w:rPr>
              <w:t>34 of 34</w:t>
            </w:r>
          </w:p>
        </w:tc>
        <w:tc>
          <w:tcPr>
            <w:tcW w:type="dxa" w:w="1656"/>
          </w:tcPr>
          <w:p>
            <w:pPr>
              <w:spacing w:after="30" w:line="240" w:lineRule="auto"/>
            </w:pPr>
            <w:r>
              <w:rPr>
                <w:rFonts w:ascii="Calibri" w:hAnsi="Calibri"/>
                <w:color w:val="636363"/>
                <w:sz w:val="17"/>
              </w:rPr>
              <w:t>held</w:t>
            </w:r>
          </w:p>
        </w:tc>
      </w:tr>
      <w:tr>
        <w:tc>
          <w:tcPr>
            <w:tcW w:type="dxa" w:w="3168"/>
          </w:tcPr>
          <w:p>
            <w:pPr>
              <w:spacing w:after="30" w:line="240" w:lineRule="auto"/>
            </w:pPr>
            <w:r>
              <w:rPr>
                <w:rFonts w:ascii="Calibri" w:hAnsi="Calibri"/>
                <w:color w:val="1A1A1A"/>
                <w:sz w:val="17"/>
              </w:rPr>
              <w:t>Dashboards with ARIA markup</w:t>
            </w:r>
          </w:p>
        </w:tc>
        <w:tc>
          <w:tcPr>
            <w:tcW w:type="dxa" w:w="2232"/>
          </w:tcPr>
          <w:p>
            <w:pPr>
              <w:spacing w:after="30" w:line="240" w:lineRule="auto"/>
            </w:pPr>
            <w:r>
              <w:rPr>
                <w:rFonts w:ascii="Calibri" w:hAnsi="Calibri"/>
                <w:color w:val="1A1A1A"/>
                <w:sz w:val="17"/>
              </w:rPr>
              <w:t>34 of 34</w:t>
            </w:r>
          </w:p>
        </w:tc>
        <w:tc>
          <w:tcPr>
            <w:tcW w:type="dxa" w:w="2592"/>
          </w:tcPr>
          <w:p>
            <w:pPr>
              <w:spacing w:after="30" w:line="240" w:lineRule="auto"/>
            </w:pPr>
            <w:r>
              <w:rPr>
                <w:rFonts w:ascii="Calibri" w:hAnsi="Calibri"/>
                <w:color w:val="1A1A1A"/>
                <w:sz w:val="17"/>
              </w:rPr>
              <w:t>34 of 34</w:t>
            </w:r>
          </w:p>
        </w:tc>
        <w:tc>
          <w:tcPr>
            <w:tcW w:type="dxa" w:w="1656"/>
          </w:tcPr>
          <w:p>
            <w:pPr>
              <w:spacing w:after="30" w:line="240" w:lineRule="auto"/>
            </w:pPr>
            <w:r>
              <w:rPr>
                <w:rFonts w:ascii="Calibri" w:hAnsi="Calibri"/>
                <w:color w:val="636363"/>
                <w:sz w:val="17"/>
              </w:rPr>
              <w:t>held</w:t>
            </w:r>
          </w:p>
        </w:tc>
      </w:tr>
      <w:tr>
        <w:tc>
          <w:tcPr>
            <w:tcW w:type="dxa" w:w="3168"/>
          </w:tcPr>
          <w:p>
            <w:pPr>
              <w:spacing w:after="30" w:line="240" w:lineRule="auto"/>
            </w:pPr>
            <w:r>
              <w:rPr>
                <w:rFonts w:ascii="Calibri" w:hAnsi="Calibri"/>
                <w:color w:val="1A1A1A"/>
                <w:sz w:val="17"/>
              </w:rPr>
              <w:t>docs/ mirror vs working copy</w:t>
            </w:r>
          </w:p>
        </w:tc>
        <w:tc>
          <w:tcPr>
            <w:tcW w:type="dxa" w:w="2232"/>
          </w:tcPr>
          <w:p>
            <w:pPr>
              <w:spacing w:after="30" w:line="240" w:lineRule="auto"/>
            </w:pPr>
            <w:r>
              <w:rPr>
                <w:rFonts w:ascii="Calibri" w:hAnsi="Calibri"/>
                <w:color w:val="1A1A1A"/>
                <w:sz w:val="17"/>
              </w:rPr>
              <w:t>0 stale, 0 missing</w:t>
            </w:r>
          </w:p>
        </w:tc>
        <w:tc>
          <w:tcPr>
            <w:tcW w:type="dxa" w:w="2592"/>
          </w:tcPr>
          <w:p>
            <w:pPr>
              <w:spacing w:after="30" w:line="240" w:lineRule="auto"/>
            </w:pPr>
            <w:r>
              <w:rPr>
                <w:rFonts w:ascii="Calibri" w:hAnsi="Calibri"/>
                <w:color w:val="1A1A1A"/>
                <w:sz w:val="17"/>
              </w:rPr>
              <w:t>1 stale (Prediction_Ledger)</w:t>
            </w:r>
          </w:p>
        </w:tc>
        <w:tc>
          <w:tcPr>
            <w:tcW w:type="dxa" w:w="1656"/>
          </w:tcPr>
          <w:p>
            <w:pPr>
              <w:spacing w:after="30" w:line="240" w:lineRule="auto"/>
            </w:pPr>
            <w:r>
              <w:rPr>
                <w:rFonts w:ascii="Calibri" w:hAnsi="Calibri"/>
                <w:color w:val="A03030"/>
                <w:sz w:val="17"/>
              </w:rPr>
              <w:t>worse</w:t>
            </w:r>
          </w:p>
        </w:tc>
      </w:tr>
      <w:tr>
        <w:tc>
          <w:tcPr>
            <w:tcW w:type="dxa" w:w="3168"/>
          </w:tcPr>
          <w:p>
            <w:pPr>
              <w:spacing w:after="30" w:line="240" w:lineRule="auto"/>
            </w:pPr>
            <w:r>
              <w:rPr>
                <w:rFonts w:ascii="Calibri" w:hAnsi="Calibri"/>
                <w:color w:val="1A1A1A"/>
                <w:sz w:val="17"/>
              </w:rPr>
              <w:t>Landing-page broken .html links</w:t>
            </w:r>
          </w:p>
        </w:tc>
        <w:tc>
          <w:tcPr>
            <w:tcW w:type="dxa" w:w="2232"/>
          </w:tcPr>
          <w:p>
            <w:pPr>
              <w:spacing w:after="30" w:line="240" w:lineRule="auto"/>
            </w:pPr>
            <w:r>
              <w:rPr>
                <w:rFonts w:ascii="Calibri" w:hAnsi="Calibri"/>
                <w:color w:val="1A1A1A"/>
                <w:sz w:val="17"/>
              </w:rPr>
              <w:t>0</w:t>
            </w:r>
          </w:p>
        </w:tc>
        <w:tc>
          <w:tcPr>
            <w:tcW w:type="dxa" w:w="2592"/>
          </w:tcPr>
          <w:p>
            <w:pPr>
              <w:spacing w:after="30" w:line="240" w:lineRule="auto"/>
            </w:pPr>
            <w:r>
              <w:rPr>
                <w:rFonts w:ascii="Calibri" w:hAnsi="Calibri"/>
                <w:color w:val="1A1A1A"/>
                <w:sz w:val="17"/>
              </w:rPr>
              <w:t>0</w:t>
            </w:r>
          </w:p>
        </w:tc>
        <w:tc>
          <w:tcPr>
            <w:tcW w:type="dxa" w:w="1656"/>
          </w:tcPr>
          <w:p>
            <w:pPr>
              <w:spacing w:after="30" w:line="240" w:lineRule="auto"/>
            </w:pPr>
            <w:r>
              <w:rPr>
                <w:rFonts w:ascii="Calibri" w:hAnsi="Calibri"/>
                <w:color w:val="636363"/>
                <w:sz w:val="17"/>
              </w:rPr>
              <w:t>held</w:t>
            </w:r>
          </w:p>
        </w:tc>
      </w:tr>
      <w:tr>
        <w:tc>
          <w:tcPr>
            <w:tcW w:type="dxa" w:w="3168"/>
          </w:tcPr>
          <w:p>
            <w:pPr>
              <w:spacing w:after="30" w:line="240" w:lineRule="auto"/>
            </w:pPr>
            <w:r>
              <w:rPr>
                <w:rFonts w:ascii="Calibri" w:hAnsi="Calibri"/>
                <w:color w:val="1A1A1A"/>
                <w:sz w:val="17"/>
              </w:rPr>
              <w:t>Landing-page broken .md links</w:t>
            </w:r>
          </w:p>
        </w:tc>
        <w:tc>
          <w:tcPr>
            <w:tcW w:type="dxa" w:w="2232"/>
          </w:tcPr>
          <w:p>
            <w:pPr>
              <w:spacing w:after="30" w:line="240" w:lineRule="auto"/>
            </w:pPr>
            <w:r>
              <w:rPr>
                <w:rFonts w:ascii="Calibri" w:hAnsi="Calibri"/>
                <w:color w:val="1A1A1A"/>
                <w:sz w:val="17"/>
              </w:rPr>
              <w:t>2</w:t>
            </w:r>
          </w:p>
        </w:tc>
        <w:tc>
          <w:tcPr>
            <w:tcW w:type="dxa" w:w="2592"/>
          </w:tcPr>
          <w:p>
            <w:pPr>
              <w:spacing w:after="30" w:line="240" w:lineRule="auto"/>
            </w:pPr>
            <w:r>
              <w:rPr>
                <w:rFonts w:ascii="Calibri" w:hAnsi="Calibri"/>
                <w:color w:val="1A1A1A"/>
                <w:sz w:val="17"/>
              </w:rPr>
              <w:t>2</w:t>
            </w:r>
          </w:p>
        </w:tc>
        <w:tc>
          <w:tcPr>
            <w:tcW w:type="dxa" w:w="1656"/>
          </w:tcPr>
          <w:p>
            <w:pPr>
              <w:spacing w:after="30" w:line="240" w:lineRule="auto"/>
            </w:pPr>
            <w:r>
              <w:rPr>
                <w:rFonts w:ascii="Calibri" w:hAnsi="Calibri"/>
                <w:color w:val="636363"/>
                <w:sz w:val="17"/>
              </w:rPr>
              <w:t>unchanged</w:t>
            </w:r>
          </w:p>
        </w:tc>
      </w:tr>
      <w:tr>
        <w:tc>
          <w:tcPr>
            <w:tcW w:type="dxa" w:w="3168"/>
          </w:tcPr>
          <w:p>
            <w:pPr>
              <w:spacing w:after="30" w:line="240" w:lineRule="auto"/>
            </w:pPr>
            <w:r>
              <w:rPr>
                <w:rFonts w:ascii="Calibri" w:hAnsi="Calibri"/>
                <w:color w:val="1A1A1A"/>
                <w:sz w:val="17"/>
              </w:rPr>
              <w:t>Unpushed commits</w:t>
            </w:r>
          </w:p>
        </w:tc>
        <w:tc>
          <w:tcPr>
            <w:tcW w:type="dxa" w:w="2232"/>
          </w:tcPr>
          <w:p>
            <w:pPr>
              <w:spacing w:after="30" w:line="240" w:lineRule="auto"/>
            </w:pPr>
            <w:r>
              <w:rPr>
                <w:rFonts w:ascii="Calibri" w:hAnsi="Calibri"/>
                <w:color w:val="1A1A1A"/>
                <w:sz w:val="17"/>
              </w:rPr>
              <w:t>79</w:t>
            </w:r>
          </w:p>
        </w:tc>
        <w:tc>
          <w:tcPr>
            <w:tcW w:type="dxa" w:w="2592"/>
          </w:tcPr>
          <w:p>
            <w:pPr>
              <w:spacing w:after="30" w:line="240" w:lineRule="auto"/>
            </w:pPr>
            <w:r>
              <w:rPr>
                <w:rFonts w:ascii="Calibri" w:hAnsi="Calibri"/>
                <w:color w:val="1A1A1A"/>
                <w:sz w:val="17"/>
              </w:rPr>
              <w:t>88</w:t>
            </w:r>
          </w:p>
        </w:tc>
        <w:tc>
          <w:tcPr>
            <w:tcW w:type="dxa" w:w="1656"/>
          </w:tcPr>
          <w:p>
            <w:pPr>
              <w:spacing w:after="30" w:line="240" w:lineRule="auto"/>
            </w:pPr>
            <w:r>
              <w:rPr>
                <w:rFonts w:ascii="Calibri" w:hAnsi="Calibri"/>
                <w:color w:val="A03030"/>
                <w:sz w:val="17"/>
              </w:rPr>
              <w:t>worse</w:t>
            </w:r>
          </w:p>
        </w:tc>
      </w:tr>
      <w:tr>
        <w:tc>
          <w:tcPr>
            <w:tcW w:type="dxa" w:w="3168"/>
          </w:tcPr>
          <w:p>
            <w:pPr>
              <w:spacing w:after="30" w:line="240" w:lineRule="auto"/>
            </w:pPr>
            <w:r>
              <w:rPr>
                <w:rFonts w:ascii="Calibri" w:hAnsi="Calibri"/>
                <w:color w:val="1A1A1A"/>
                <w:sz w:val="17"/>
              </w:rPr>
              <w:t>Live site last updated</w:t>
            </w:r>
          </w:p>
        </w:tc>
        <w:tc>
          <w:tcPr>
            <w:tcW w:type="dxa" w:w="2232"/>
          </w:tcPr>
          <w:p>
            <w:pPr>
              <w:spacing w:after="30" w:line="240" w:lineRule="auto"/>
            </w:pPr>
            <w:r>
              <w:rPr>
                <w:rFonts w:ascii="Calibri" w:hAnsi="Calibri"/>
                <w:color w:val="1A1A1A"/>
                <w:sz w:val="17"/>
              </w:rPr>
              <w:t>2026-04-19</w:t>
            </w:r>
          </w:p>
        </w:tc>
        <w:tc>
          <w:tcPr>
            <w:tcW w:type="dxa" w:w="2592"/>
          </w:tcPr>
          <w:p>
            <w:pPr>
              <w:spacing w:after="30" w:line="240" w:lineRule="auto"/>
            </w:pPr>
            <w:r>
              <w:rPr>
                <w:rFonts w:ascii="Calibri" w:hAnsi="Calibri"/>
                <w:color w:val="1A1A1A"/>
                <w:sz w:val="17"/>
              </w:rPr>
              <w:t>2026-04-19 (unchanged)</w:t>
            </w:r>
          </w:p>
        </w:tc>
        <w:tc>
          <w:tcPr>
            <w:tcW w:type="dxa" w:w="1656"/>
          </w:tcPr>
          <w:p>
            <w:pPr>
              <w:spacing w:after="30" w:line="240" w:lineRule="auto"/>
            </w:pPr>
            <w:r>
              <w:rPr>
                <w:rFonts w:ascii="Calibri" w:hAnsi="Calibri"/>
                <w:color w:val="636363"/>
                <w:sz w:val="17"/>
              </w:rPr>
              <w:t>unchanged</w:t>
            </w:r>
          </w:p>
        </w:tc>
      </w:tr>
      <w:tr>
        <w:tc>
          <w:tcPr>
            <w:tcW w:type="dxa" w:w="3168"/>
          </w:tcPr>
          <w:p>
            <w:pPr>
              <w:spacing w:after="30" w:line="240" w:lineRule="auto"/>
            </w:pPr>
            <w:r>
              <w:rPr>
                <w:rFonts w:ascii="Calibri" w:hAnsi="Calibri"/>
                <w:color w:val="1A1A1A"/>
                <w:sz w:val="17"/>
              </w:rPr>
              <w:t>Live vs local trial count</w:t>
            </w:r>
          </w:p>
        </w:tc>
        <w:tc>
          <w:tcPr>
            <w:tcW w:type="dxa" w:w="2232"/>
          </w:tcPr>
          <w:p>
            <w:pPr>
              <w:spacing w:after="30" w:line="240" w:lineRule="auto"/>
            </w:pPr>
            <w:r>
              <w:rPr>
                <w:rFonts w:ascii="Calibri" w:hAnsi="Calibri"/>
                <w:color w:val="1A1A1A"/>
                <w:sz w:val="17"/>
              </w:rPr>
              <w:t>767 vs 858</w:t>
            </w:r>
          </w:p>
        </w:tc>
        <w:tc>
          <w:tcPr>
            <w:tcW w:type="dxa" w:w="2592"/>
          </w:tcPr>
          <w:p>
            <w:pPr>
              <w:spacing w:after="30" w:line="240" w:lineRule="auto"/>
            </w:pPr>
            <w:r>
              <w:rPr>
                <w:rFonts w:ascii="Calibri" w:hAnsi="Calibri"/>
                <w:color w:val="1A1A1A"/>
                <w:sz w:val="17"/>
              </w:rPr>
              <w:t>767 vs 858</w:t>
            </w:r>
          </w:p>
        </w:tc>
        <w:tc>
          <w:tcPr>
            <w:tcW w:type="dxa" w:w="1656"/>
          </w:tcPr>
          <w:p>
            <w:pPr>
              <w:spacing w:after="30" w:line="240" w:lineRule="auto"/>
            </w:pPr>
            <w:r>
              <w:rPr>
                <w:rFonts w:ascii="Calibri" w:hAnsi="Calibri"/>
                <w:color w:val="636363"/>
                <w:sz w:val="17"/>
              </w:rPr>
              <w:t>unchanged</w:t>
            </w:r>
          </w:p>
        </w:tc>
      </w:tr>
      <w:tr>
        <w:tc>
          <w:tcPr>
            <w:tcW w:type="dxa" w:w="3168"/>
          </w:tcPr>
          <w:p>
            <w:pPr>
              <w:spacing w:after="30" w:line="240" w:lineRule="auto"/>
            </w:pPr>
            <w:r>
              <w:rPr>
                <w:rFonts w:ascii="Calibri" w:hAnsi="Calibri"/>
                <w:color w:val="1A1A1A"/>
                <w:sz w:val="17"/>
              </w:rPr>
              <w:t>Trial snapshot age</w:t>
            </w:r>
          </w:p>
        </w:tc>
        <w:tc>
          <w:tcPr>
            <w:tcW w:type="dxa" w:w="2232"/>
          </w:tcPr>
          <w:p>
            <w:pPr>
              <w:spacing w:after="30" w:line="240" w:lineRule="auto"/>
            </w:pPr>
            <w:r>
              <w:rPr>
                <w:rFonts w:ascii="Calibri" w:hAnsi="Calibri"/>
                <w:color w:val="1A1A1A"/>
                <w:sz w:val="17"/>
              </w:rPr>
              <w:t>30 days</w:t>
            </w:r>
          </w:p>
        </w:tc>
        <w:tc>
          <w:tcPr>
            <w:tcW w:type="dxa" w:w="2592"/>
          </w:tcPr>
          <w:p>
            <w:pPr>
              <w:spacing w:after="30" w:line="240" w:lineRule="auto"/>
            </w:pPr>
            <w:r>
              <w:rPr>
                <w:rFonts w:ascii="Calibri" w:hAnsi="Calibri"/>
                <w:color w:val="1A1A1A"/>
                <w:sz w:val="17"/>
              </w:rPr>
              <w:t>37 days</w:t>
            </w:r>
          </w:p>
        </w:tc>
        <w:tc>
          <w:tcPr>
            <w:tcW w:type="dxa" w:w="1656"/>
          </w:tcPr>
          <w:p>
            <w:pPr>
              <w:spacing w:after="30" w:line="240" w:lineRule="auto"/>
            </w:pPr>
            <w:r>
              <w:rPr>
                <w:rFonts w:ascii="Calibri" w:hAnsi="Calibri"/>
                <w:color w:val="A03030"/>
                <w:sz w:val="17"/>
              </w:rPr>
              <w:t>worse</w:t>
            </w:r>
          </w:p>
        </w:tc>
      </w:tr>
      <w:tr>
        <w:tc>
          <w:tcPr>
            <w:tcW w:type="dxa" w:w="3168"/>
          </w:tcPr>
          <w:p>
            <w:pPr>
              <w:spacing w:after="30" w:line="240" w:lineRule="auto"/>
            </w:pPr>
            <w:r>
              <w:rPr>
                <w:rFonts w:ascii="Calibri" w:hAnsi="Calibri"/>
                <w:color w:val="1A1A1A"/>
                <w:sz w:val="17"/>
              </w:rPr>
              <w:t>Malformed PubMed hrefs</w:t>
            </w:r>
          </w:p>
        </w:tc>
        <w:tc>
          <w:tcPr>
            <w:tcW w:type="dxa" w:w="2232"/>
          </w:tcPr>
          <w:p>
            <w:pPr>
              <w:spacing w:after="30" w:line="240" w:lineRule="auto"/>
            </w:pPr>
            <w:r>
              <w:rPr>
                <w:rFonts w:ascii="Calibri" w:hAnsi="Calibri"/>
                <w:color w:val="1A1A1A"/>
                <w:sz w:val="17"/>
              </w:rPr>
              <w:t>7 (one file)</w:t>
            </w:r>
          </w:p>
        </w:tc>
        <w:tc>
          <w:tcPr>
            <w:tcW w:type="dxa" w:w="2592"/>
          </w:tcPr>
          <w:p>
            <w:pPr>
              <w:spacing w:after="30" w:line="240" w:lineRule="auto"/>
            </w:pPr>
            <w:r>
              <w:rPr>
                <w:rFonts w:ascii="Calibri" w:hAnsi="Calibri"/>
                <w:color w:val="1A1A1A"/>
                <w:sz w:val="17"/>
              </w:rPr>
              <w:t>7 (one file)</w:t>
            </w:r>
          </w:p>
        </w:tc>
        <w:tc>
          <w:tcPr>
            <w:tcW w:type="dxa" w:w="1656"/>
          </w:tcPr>
          <w:p>
            <w:pPr>
              <w:spacing w:after="30" w:line="240" w:lineRule="auto"/>
            </w:pPr>
            <w:r>
              <w:rPr>
                <w:rFonts w:ascii="Calibri" w:hAnsi="Calibri"/>
                <w:color w:val="636363"/>
                <w:sz w:val="17"/>
              </w:rPr>
              <w:t>unchanged</w:t>
            </w:r>
          </w:p>
        </w:tc>
      </w:tr>
      <w:tr>
        <w:tc>
          <w:tcPr>
            <w:tcW w:type="dxa" w:w="3168"/>
          </w:tcPr>
          <w:p>
            <w:pPr>
              <w:spacing w:after="30" w:line="240" w:lineRule="auto"/>
            </w:pPr>
            <w:r>
              <w:rPr>
                <w:rFonts w:ascii="Calibri" w:hAnsi="Calibri"/>
                <w:color w:val="1A1A1A"/>
                <w:sz w:val="17"/>
              </w:rPr>
              <w:t>Empty PubMed hrefs</w:t>
            </w:r>
          </w:p>
        </w:tc>
        <w:tc>
          <w:tcPr>
            <w:tcW w:type="dxa" w:w="2232"/>
          </w:tcPr>
          <w:p>
            <w:pPr>
              <w:spacing w:after="30" w:line="240" w:lineRule="auto"/>
            </w:pPr>
            <w:r>
              <w:rPr>
                <w:rFonts w:ascii="Calibri" w:hAnsi="Calibri"/>
                <w:color w:val="1A1A1A"/>
                <w:sz w:val="17"/>
              </w:rPr>
              <w:t>not measured</w:t>
            </w:r>
          </w:p>
        </w:tc>
        <w:tc>
          <w:tcPr>
            <w:tcW w:type="dxa" w:w="2592"/>
          </w:tcPr>
          <w:p>
            <w:pPr>
              <w:spacing w:after="30" w:line="240" w:lineRule="auto"/>
            </w:pPr>
            <w:r>
              <w:rPr>
                <w:rFonts w:ascii="Calibri" w:hAnsi="Calibri"/>
                <w:color w:val="1A1A1A"/>
                <w:sz w:val="17"/>
              </w:rPr>
              <w:t>3 (two files)</w:t>
            </w:r>
          </w:p>
        </w:tc>
        <w:tc>
          <w:tcPr>
            <w:tcW w:type="dxa" w:w="1656"/>
          </w:tcPr>
          <w:p>
            <w:pPr>
              <w:spacing w:after="30" w:line="240" w:lineRule="auto"/>
            </w:pPr>
            <w:r>
              <w:rPr>
                <w:rFonts w:ascii="Calibri" w:hAnsi="Calibri"/>
                <w:color w:val="636363"/>
                <w:sz w:val="17"/>
              </w:rPr>
              <w:t>new finding</w:t>
            </w:r>
          </w:p>
        </w:tc>
      </w:tr>
      <w:tr>
        <w:tc>
          <w:tcPr>
            <w:tcW w:type="dxa" w:w="3168"/>
          </w:tcPr>
          <w:p>
            <w:pPr>
              <w:spacing w:after="30" w:line="240" w:lineRule="auto"/>
            </w:pPr>
            <w:r>
              <w:rPr>
                <w:rFonts w:ascii="Calibri" w:hAnsi="Calibri"/>
                <w:color w:val="1A1A1A"/>
                <w:sz w:val="17"/>
              </w:rPr>
              <w:t>Dashboards under 3 unique PMIDs</w:t>
            </w:r>
          </w:p>
        </w:tc>
        <w:tc>
          <w:tcPr>
            <w:tcW w:type="dxa" w:w="2232"/>
          </w:tcPr>
          <w:p>
            <w:pPr>
              <w:spacing w:after="30" w:line="240" w:lineRule="auto"/>
            </w:pPr>
            <w:r>
              <w:rPr>
                <w:rFonts w:ascii="Calibri" w:hAnsi="Calibri"/>
                <w:color w:val="1A1A1A"/>
                <w:sz w:val="17"/>
              </w:rPr>
              <w:t>2</w:t>
            </w:r>
          </w:p>
        </w:tc>
        <w:tc>
          <w:tcPr>
            <w:tcW w:type="dxa" w:w="2592"/>
          </w:tcPr>
          <w:p>
            <w:pPr>
              <w:spacing w:after="30" w:line="240" w:lineRule="auto"/>
            </w:pPr>
            <w:r>
              <w:rPr>
                <w:rFonts w:ascii="Calibri" w:hAnsi="Calibri"/>
                <w:color w:val="1A1A1A"/>
                <w:sz w:val="17"/>
              </w:rPr>
              <w:t>2</w:t>
            </w:r>
          </w:p>
        </w:tc>
        <w:tc>
          <w:tcPr>
            <w:tcW w:type="dxa" w:w="1656"/>
          </w:tcPr>
          <w:p>
            <w:pPr>
              <w:spacing w:after="30" w:line="240" w:lineRule="auto"/>
            </w:pPr>
            <w:r>
              <w:rPr>
                <w:rFonts w:ascii="Calibri" w:hAnsi="Calibri"/>
                <w:color w:val="636363"/>
                <w:sz w:val="17"/>
              </w:rPr>
              <w:t>unchanged</w:t>
            </w:r>
          </w:p>
        </w:tc>
      </w:tr>
      <w:tr>
        <w:tc>
          <w:tcPr>
            <w:tcW w:type="dxa" w:w="3168"/>
          </w:tcPr>
          <w:p>
            <w:pPr>
              <w:spacing w:after="30" w:line="240" w:lineRule="auto"/>
            </w:pPr>
            <w:r>
              <w:rPr>
                <w:rFonts w:ascii="Calibri" w:hAnsi="Calibri"/>
                <w:color w:val="1A1A1A"/>
                <w:sz w:val="17"/>
              </w:rPr>
              <w:t>Platform unique PMIDs</w:t>
            </w:r>
          </w:p>
        </w:tc>
        <w:tc>
          <w:tcPr>
            <w:tcW w:type="dxa" w:w="2232"/>
          </w:tcPr>
          <w:p>
            <w:pPr>
              <w:spacing w:after="30" w:line="240" w:lineRule="auto"/>
            </w:pPr>
            <w:r>
              <w:rPr>
                <w:rFonts w:ascii="Calibri" w:hAnsi="Calibri"/>
                <w:color w:val="1A1A1A"/>
                <w:sz w:val="17"/>
              </w:rPr>
              <w:t>278</w:t>
            </w:r>
          </w:p>
        </w:tc>
        <w:tc>
          <w:tcPr>
            <w:tcW w:type="dxa" w:w="2592"/>
          </w:tcPr>
          <w:p>
            <w:pPr>
              <w:spacing w:after="30" w:line="240" w:lineRule="auto"/>
            </w:pPr>
            <w:r>
              <w:rPr>
                <w:rFonts w:ascii="Calibri" w:hAnsi="Calibri"/>
                <w:color w:val="1A1A1A"/>
                <w:sz w:val="17"/>
              </w:rPr>
              <w:t>323</w:t>
            </w:r>
          </w:p>
        </w:tc>
        <w:tc>
          <w:tcPr>
            <w:tcW w:type="dxa" w:w="1656"/>
          </w:tcPr>
          <w:p>
            <w:pPr>
              <w:spacing w:after="30" w:line="240" w:lineRule="auto"/>
            </w:pPr>
            <w:r>
              <w:rPr>
                <w:rFonts w:ascii="Calibri" w:hAnsi="Calibri"/>
                <w:color w:val="2D7D46"/>
                <w:sz w:val="17"/>
              </w:rPr>
              <w:t>improved</w:t>
            </w:r>
          </w:p>
        </w:tc>
      </w:tr>
      <w:tr>
        <w:tc>
          <w:tcPr>
            <w:tcW w:type="dxa" w:w="3168"/>
          </w:tcPr>
          <w:p>
            <w:pPr>
              <w:spacing w:after="30" w:line="240" w:lineRule="auto"/>
            </w:pPr>
            <w:r>
              <w:rPr>
                <w:rFonts w:ascii="Calibri" w:hAnsi="Calibri"/>
                <w:color w:val="1A1A1A"/>
                <w:sz w:val="17"/>
              </w:rPr>
              <w:t>Validated corpus papers</w:t>
            </w:r>
          </w:p>
        </w:tc>
        <w:tc>
          <w:tcPr>
            <w:tcW w:type="dxa" w:w="2232"/>
          </w:tcPr>
          <w:p>
            <w:pPr>
              <w:spacing w:after="30" w:line="240" w:lineRule="auto"/>
            </w:pPr>
            <w:r>
              <w:rPr>
                <w:rFonts w:ascii="Calibri" w:hAnsi="Calibri"/>
                <w:color w:val="1A1A1A"/>
                <w:sz w:val="17"/>
              </w:rPr>
              <w:t>260</w:t>
            </w:r>
          </w:p>
        </w:tc>
        <w:tc>
          <w:tcPr>
            <w:tcW w:type="dxa" w:w="2592"/>
          </w:tcPr>
          <w:p>
            <w:pPr>
              <w:spacing w:after="30" w:line="240" w:lineRule="auto"/>
            </w:pPr>
            <w:r>
              <w:rPr>
                <w:rFonts w:ascii="Calibri" w:hAnsi="Calibri"/>
                <w:color w:val="1A1A1A"/>
                <w:sz w:val="17"/>
              </w:rPr>
              <w:t>315</w:t>
            </w:r>
          </w:p>
        </w:tc>
        <w:tc>
          <w:tcPr>
            <w:tcW w:type="dxa" w:w="1656"/>
          </w:tcPr>
          <w:p>
            <w:pPr>
              <w:spacing w:after="30" w:line="240" w:lineRule="auto"/>
            </w:pPr>
            <w:r>
              <w:rPr>
                <w:rFonts w:ascii="Calibri" w:hAnsi="Calibri"/>
                <w:color w:val="2D7D46"/>
                <w:sz w:val="17"/>
              </w:rPr>
              <w:t>improved</w:t>
            </w:r>
          </w:p>
        </w:tc>
      </w:tr>
      <w:tr>
        <w:tc>
          <w:tcPr>
            <w:tcW w:type="dxa" w:w="3168"/>
          </w:tcPr>
          <w:p>
            <w:pPr>
              <w:spacing w:after="30" w:line="240" w:lineRule="auto"/>
            </w:pPr>
            <w:r>
              <w:rPr>
                <w:rFonts w:ascii="Calibri" w:hAnsi="Calibri"/>
                <w:color w:val="1A1A1A"/>
                <w:sz w:val="17"/>
              </w:rPr>
              <w:t>WEAK share of corpus</w:t>
            </w:r>
          </w:p>
        </w:tc>
        <w:tc>
          <w:tcPr>
            <w:tcW w:type="dxa" w:w="2232"/>
          </w:tcPr>
          <w:p>
            <w:pPr>
              <w:spacing w:after="30" w:line="240" w:lineRule="auto"/>
            </w:pPr>
            <w:r>
              <w:rPr>
                <w:rFonts w:ascii="Calibri" w:hAnsi="Calibri"/>
                <w:color w:val="1A1A1A"/>
                <w:sz w:val="17"/>
              </w:rPr>
              <w:t>51.5%</w:t>
            </w:r>
          </w:p>
        </w:tc>
        <w:tc>
          <w:tcPr>
            <w:tcW w:type="dxa" w:w="2592"/>
          </w:tcPr>
          <w:p>
            <w:pPr>
              <w:spacing w:after="30" w:line="240" w:lineRule="auto"/>
            </w:pPr>
            <w:r>
              <w:rPr>
                <w:rFonts w:ascii="Calibri" w:hAnsi="Calibri"/>
                <w:color w:val="1A1A1A"/>
                <w:sz w:val="17"/>
              </w:rPr>
              <w:t>43.5%</w:t>
            </w:r>
          </w:p>
        </w:tc>
        <w:tc>
          <w:tcPr>
            <w:tcW w:type="dxa" w:w="1656"/>
          </w:tcPr>
          <w:p>
            <w:pPr>
              <w:spacing w:after="30" w:line="240" w:lineRule="auto"/>
            </w:pPr>
            <w:r>
              <w:rPr>
                <w:rFonts w:ascii="Calibri" w:hAnsi="Calibri"/>
                <w:color w:val="2D7D46"/>
                <w:sz w:val="17"/>
              </w:rPr>
              <w:t>improved</w:t>
            </w:r>
          </w:p>
        </w:tc>
      </w:tr>
      <w:tr>
        <w:tc>
          <w:tcPr>
            <w:tcW w:type="dxa" w:w="3168"/>
            <w:tcBorders>
              <w:bottom w:val="single" w:sz="8" w:color="1A1A1A"/>
            </w:tcBorders>
          </w:tcPr>
          <w:p>
            <w:pPr>
              <w:spacing w:after="30" w:line="240" w:lineRule="auto"/>
            </w:pPr>
            <w:r>
              <w:rPr>
                <w:rFonts w:ascii="Calibri" w:hAnsi="Calibri"/>
                <w:color w:val="1A1A1A"/>
                <w:sz w:val="17"/>
              </w:rPr>
              <w:t>Working-copy size</w:t>
            </w:r>
          </w:p>
        </w:tc>
        <w:tc>
          <w:tcPr>
            <w:tcW w:type="dxa" w:w="2232"/>
            <w:tcBorders>
              <w:bottom w:val="single" w:sz="8" w:color="1A1A1A"/>
            </w:tcBorders>
          </w:tcPr>
          <w:p>
            <w:pPr>
              <w:spacing w:after="30" w:line="240" w:lineRule="auto"/>
            </w:pPr>
            <w:r>
              <w:rPr>
                <w:rFonts w:ascii="Calibri" w:hAnsi="Calibri"/>
                <w:color w:val="1A1A1A"/>
                <w:sz w:val="17"/>
              </w:rPr>
              <w:t>3.57 MB / 35 files</w:t>
            </w:r>
          </w:p>
        </w:tc>
        <w:tc>
          <w:tcPr>
            <w:tcW w:type="dxa" w:w="2592"/>
            <w:tcBorders>
              <w:bottom w:val="single" w:sz="8" w:color="1A1A1A"/>
            </w:tcBorders>
          </w:tcPr>
          <w:p>
            <w:pPr>
              <w:spacing w:after="30" w:line="240" w:lineRule="auto"/>
            </w:pPr>
            <w:r>
              <w:rPr>
                <w:rFonts w:ascii="Calibri" w:hAnsi="Calibri"/>
                <w:color w:val="1A1A1A"/>
                <w:sz w:val="17"/>
              </w:rPr>
              <w:t>3.55 MB / 35 files</w:t>
            </w:r>
          </w:p>
        </w:tc>
        <w:tc>
          <w:tcPr>
            <w:tcW w:type="dxa" w:w="1656"/>
            <w:tcBorders>
              <w:bottom w:val="single" w:sz="8" w:color="1A1A1A"/>
            </w:tcBorders>
          </w:tcPr>
          <w:p>
            <w:pPr>
              <w:spacing w:after="30" w:line="240" w:lineRule="auto"/>
            </w:pPr>
            <w:r>
              <w:rPr>
                <w:rFonts w:ascii="Calibri" w:hAnsi="Calibri"/>
                <w:color w:val="636363"/>
                <w:sz w:val="17"/>
              </w:rPr>
              <w:t>flat</w:t>
            </w:r>
          </w:p>
        </w:tc>
      </w:tr>
    </w:tbl>
    <w:p>
      <w:r>
        <w:br w:type="page"/>
      </w:r>
    </w:p>
    <w:p>
      <w:pPr>
        <w:spacing w:after="60" w:before="340" w:line="276" w:lineRule="auto"/>
        <w:pBdr>
          <w:bottom w:val="single" w:sz="6" w:space="4" w:color="1A1A1A"/>
        </w:pBdr>
      </w:pPr>
      <w:r>
        <w:rPr>
          <w:rFonts w:ascii="Georgia" w:hAnsi="Georgia"/>
          <w:b w:val="0"/>
          <w:i w:val="0"/>
          <w:color w:val="1A1A1A"/>
          <w:sz w:val="26"/>
        </w:rPr>
        <w:t>Dashboard-by-dashboard status</w:t>
      </w:r>
    </w:p>
    <w:p>
      <w:pPr>
        <w:spacing w:after="120" w:before="0" w:line="276" w:lineRule="auto"/>
      </w:pPr>
      <w:r>
        <w:rPr>
          <w:rFonts w:ascii="Calibri" w:hAnsi="Calibri"/>
          <w:b w:val="0"/>
          <w:i w:val="0"/>
          <w:color w:val="636363"/>
          <w:sz w:val="17"/>
        </w:rPr>
        <w:t>All 35 working-copy dashboards, alphabetical. PMIDs = distinct PubMed identifiers referenced in the rendered page. Nav, Back and ARIA flag presence of the cross-dashboard bar, the hub back-link, and aria-*/role markup.</w:t>
      </w:r>
    </w:p>
    <w:tbl>
      <w:tblPr>
        <w:tblStyle w:val="TableGrid"/>
        <w:tblW w:type="dxa" w:w="9676"/>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2736"/>
        <w:gridCol w:w="547"/>
        <w:gridCol w:w="691"/>
        <w:gridCol w:w="518"/>
        <w:gridCol w:w="547"/>
        <w:gridCol w:w="576"/>
        <w:gridCol w:w="3110"/>
        <w:gridCol w:w="950"/>
      </w:tblGrid>
      <w:tr>
        <w:tc>
          <w:tcPr>
            <w:tcW w:type="dxa" w:w="2736"/>
            <w:tcBorders>
              <w:bottom w:val="single" w:sz="8" w:color="1A1A1A"/>
            </w:tcBorders>
          </w:tcPr>
          <w:p>
            <w:pPr>
              <w:spacing w:after="40" w:line="240" w:lineRule="auto"/>
            </w:pPr>
            <w:r>
              <w:rPr>
                <w:rFonts w:ascii="Calibri" w:hAnsi="Calibri"/>
                <w:b/>
                <w:color w:val="1A1A1A"/>
                <w:sz w:val="15"/>
              </w:rPr>
              <w:t>Dashboard</w:t>
            </w:r>
          </w:p>
        </w:tc>
        <w:tc>
          <w:tcPr>
            <w:tcW w:type="dxa" w:w="547"/>
            <w:tcBorders>
              <w:bottom w:val="single" w:sz="8" w:color="1A1A1A"/>
            </w:tcBorders>
          </w:tcPr>
          <w:p>
            <w:pPr>
              <w:spacing w:after="40" w:line="240" w:lineRule="auto"/>
              <w:jc w:val="right"/>
            </w:pPr>
            <w:r>
              <w:rPr>
                <w:rFonts w:ascii="Calibri" w:hAnsi="Calibri"/>
                <w:b/>
                <w:color w:val="1A1A1A"/>
                <w:sz w:val="15"/>
              </w:rPr>
              <w:t>KB</w:t>
            </w:r>
          </w:p>
        </w:tc>
        <w:tc>
          <w:tcPr>
            <w:tcW w:type="dxa" w:w="691"/>
            <w:tcBorders>
              <w:bottom w:val="single" w:sz="8" w:color="1A1A1A"/>
            </w:tcBorders>
          </w:tcPr>
          <w:p>
            <w:pPr>
              <w:spacing w:after="40" w:line="240" w:lineRule="auto"/>
              <w:jc w:val="right"/>
            </w:pPr>
            <w:r>
              <w:rPr>
                <w:rFonts w:ascii="Calibri" w:hAnsi="Calibri"/>
                <w:b/>
                <w:color w:val="1A1A1A"/>
                <w:sz w:val="15"/>
              </w:rPr>
              <w:t>PMIDs</w:t>
            </w:r>
          </w:p>
        </w:tc>
        <w:tc>
          <w:tcPr>
            <w:tcW w:type="dxa" w:w="518"/>
            <w:tcBorders>
              <w:bottom w:val="single" w:sz="8" w:color="1A1A1A"/>
            </w:tcBorders>
          </w:tcPr>
          <w:p>
            <w:pPr>
              <w:spacing w:after="40" w:line="240" w:lineRule="auto"/>
              <w:jc w:val="right"/>
            </w:pPr>
            <w:r>
              <w:rPr>
                <w:rFonts w:ascii="Calibri" w:hAnsi="Calibri"/>
                <w:b/>
                <w:color w:val="1A1A1A"/>
                <w:sz w:val="15"/>
              </w:rPr>
              <w:t>Nav</w:t>
            </w:r>
          </w:p>
        </w:tc>
        <w:tc>
          <w:tcPr>
            <w:tcW w:type="dxa" w:w="547"/>
            <w:tcBorders>
              <w:bottom w:val="single" w:sz="8" w:color="1A1A1A"/>
            </w:tcBorders>
          </w:tcPr>
          <w:p>
            <w:pPr>
              <w:spacing w:after="40" w:line="240" w:lineRule="auto"/>
              <w:jc w:val="right"/>
            </w:pPr>
            <w:r>
              <w:rPr>
                <w:rFonts w:ascii="Calibri" w:hAnsi="Calibri"/>
                <w:b/>
                <w:color w:val="1A1A1A"/>
                <w:sz w:val="15"/>
              </w:rPr>
              <w:t>Back</w:t>
            </w:r>
          </w:p>
        </w:tc>
        <w:tc>
          <w:tcPr>
            <w:tcW w:type="dxa" w:w="576"/>
            <w:tcBorders>
              <w:bottom w:val="single" w:sz="8" w:color="1A1A1A"/>
            </w:tcBorders>
          </w:tcPr>
          <w:p>
            <w:pPr>
              <w:spacing w:after="40" w:line="240" w:lineRule="auto"/>
              <w:jc w:val="right"/>
            </w:pPr>
            <w:r>
              <w:rPr>
                <w:rFonts w:ascii="Calibri" w:hAnsi="Calibri"/>
                <w:b/>
                <w:color w:val="1A1A1A"/>
                <w:sz w:val="15"/>
              </w:rPr>
              <w:t>ARIA</w:t>
            </w:r>
          </w:p>
        </w:tc>
        <w:tc>
          <w:tcPr>
            <w:tcW w:type="dxa" w:w="3110"/>
            <w:tcBorders>
              <w:bottom w:val="single" w:sz="8" w:color="1A1A1A"/>
            </w:tcBorders>
          </w:tcPr>
          <w:p>
            <w:pPr>
              <w:spacing w:after="40" w:line="240" w:lineRule="auto"/>
            </w:pPr>
            <w:r>
              <w:rPr>
                <w:rFonts w:ascii="Calibri" w:hAnsi="Calibri"/>
                <w:b/>
                <w:color w:val="1A1A1A"/>
                <w:sz w:val="15"/>
              </w:rPr>
              <w:t>Issues found</w:t>
            </w:r>
          </w:p>
        </w:tc>
        <w:tc>
          <w:tcPr>
            <w:tcW w:type="dxa" w:w="950"/>
            <w:tcBorders>
              <w:bottom w:val="single" w:sz="8" w:color="1A1A1A"/>
            </w:tcBorders>
          </w:tcPr>
          <w:p>
            <w:pPr>
              <w:spacing w:after="40" w:line="240" w:lineRule="auto"/>
            </w:pPr>
            <w:r>
              <w:rPr>
                <w:rFonts w:ascii="Calibri" w:hAnsi="Calibri"/>
                <w:b/>
                <w:color w:val="1A1A1A"/>
                <w:sz w:val="15"/>
              </w:rPr>
              <w:t>Priority</w:t>
            </w:r>
          </w:p>
        </w:tc>
      </w:tr>
      <w:tr>
        <w:tc>
          <w:tcPr>
            <w:tcW w:type="dxa" w:w="2736"/>
          </w:tcPr>
          <w:p>
            <w:pPr>
              <w:spacing w:after="30" w:line="240" w:lineRule="auto"/>
            </w:pPr>
            <w:r>
              <w:rPr>
                <w:rFonts w:ascii="Calibri" w:hAnsi="Calibri"/>
                <w:color w:val="1A1A1A"/>
                <w:sz w:val="15"/>
              </w:rPr>
              <w:t>Acronym_Database</w:t>
            </w:r>
          </w:p>
        </w:tc>
        <w:tc>
          <w:tcPr>
            <w:tcW w:type="dxa" w:w="547"/>
          </w:tcPr>
          <w:p>
            <w:pPr>
              <w:spacing w:after="30" w:line="240" w:lineRule="auto"/>
              <w:jc w:val="right"/>
            </w:pPr>
            <w:r>
              <w:rPr>
                <w:rFonts w:ascii="Calibri" w:hAnsi="Calibri"/>
                <w:color w:val="1A1A1A"/>
                <w:sz w:val="15"/>
              </w:rPr>
              <w:t>94</w:t>
            </w:r>
          </w:p>
        </w:tc>
        <w:tc>
          <w:tcPr>
            <w:tcW w:type="dxa" w:w="691"/>
          </w:tcPr>
          <w:p>
            <w:pPr>
              <w:spacing w:after="30" w:line="240" w:lineRule="auto"/>
              <w:jc w:val="right"/>
            </w:pPr>
            <w:r>
              <w:rPr>
                <w:rFonts w:ascii="Calibri" w:hAnsi="Calibri"/>
                <w:color w:val="1A1A1A"/>
                <w:sz w:val="15"/>
              </w:rPr>
              <w:t>0</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1A1A1A"/>
                <w:sz w:val="15"/>
              </w:rPr>
              <w:t>0 PMIDs (utility page)</w:t>
            </w:r>
          </w:p>
        </w:tc>
        <w:tc>
          <w:tcPr>
            <w:tcW w:type="dxa" w:w="950"/>
          </w:tcPr>
          <w:p>
            <w:pPr>
              <w:spacing w:after="30" w:line="240" w:lineRule="auto"/>
            </w:pPr>
            <w:r>
              <w:rPr>
                <w:rFonts w:ascii="Calibri" w:hAnsi="Calibri"/>
                <w:color w:val="636363"/>
                <w:sz w:val="15"/>
              </w:rPr>
              <w:t>LOW</w:t>
            </w:r>
          </w:p>
        </w:tc>
      </w:tr>
      <w:tr>
        <w:tc>
          <w:tcPr>
            <w:tcW w:type="dxa" w:w="2736"/>
          </w:tcPr>
          <w:p>
            <w:pPr>
              <w:spacing w:after="30" w:line="240" w:lineRule="auto"/>
            </w:pPr>
            <w:r>
              <w:rPr>
                <w:rFonts w:ascii="Calibri" w:hAnsi="Calibri"/>
                <w:color w:val="1A1A1A"/>
                <w:sz w:val="15"/>
              </w:rPr>
              <w:t>CART_Access_Barriers</w:t>
            </w:r>
          </w:p>
        </w:tc>
        <w:tc>
          <w:tcPr>
            <w:tcW w:type="dxa" w:w="547"/>
          </w:tcPr>
          <w:p>
            <w:pPr>
              <w:spacing w:after="30" w:line="240" w:lineRule="auto"/>
              <w:jc w:val="right"/>
            </w:pPr>
            <w:r>
              <w:rPr>
                <w:rFonts w:ascii="Calibri" w:hAnsi="Calibri"/>
                <w:color w:val="1A1A1A"/>
                <w:sz w:val="15"/>
              </w:rPr>
              <w:t>85</w:t>
            </w:r>
          </w:p>
        </w:tc>
        <w:tc>
          <w:tcPr>
            <w:tcW w:type="dxa" w:w="691"/>
          </w:tcPr>
          <w:p>
            <w:pPr>
              <w:spacing w:after="30" w:line="240" w:lineRule="auto"/>
              <w:jc w:val="right"/>
            </w:pPr>
            <w:r>
              <w:rPr>
                <w:rFonts w:ascii="Calibri" w:hAnsi="Calibri"/>
                <w:color w:val="1A1A1A"/>
                <w:sz w:val="15"/>
              </w:rPr>
              <w:t>13</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Clinical_Trial_Dashboard</w:t>
            </w:r>
          </w:p>
        </w:tc>
        <w:tc>
          <w:tcPr>
            <w:tcW w:type="dxa" w:w="547"/>
          </w:tcPr>
          <w:p>
            <w:pPr>
              <w:spacing w:after="30" w:line="240" w:lineRule="auto"/>
              <w:jc w:val="right"/>
            </w:pPr>
            <w:r>
              <w:rPr>
                <w:rFonts w:ascii="Calibri" w:hAnsi="Calibri"/>
                <w:color w:val="1A1A1A"/>
                <w:sz w:val="15"/>
              </w:rPr>
              <w:t>475</w:t>
            </w:r>
          </w:p>
        </w:tc>
        <w:tc>
          <w:tcPr>
            <w:tcW w:type="dxa" w:w="691"/>
          </w:tcPr>
          <w:p>
            <w:pPr>
              <w:spacing w:after="30" w:line="240" w:lineRule="auto"/>
              <w:jc w:val="right"/>
            </w:pPr>
            <w:r>
              <w:rPr>
                <w:rFonts w:ascii="Calibri" w:hAnsi="Calibri"/>
                <w:color w:val="1A1A1A"/>
                <w:sz w:val="15"/>
              </w:rPr>
              <w:t>4</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Corpus_Analysis</w:t>
            </w:r>
          </w:p>
        </w:tc>
        <w:tc>
          <w:tcPr>
            <w:tcW w:type="dxa" w:w="547"/>
          </w:tcPr>
          <w:p>
            <w:pPr>
              <w:spacing w:after="30" w:line="240" w:lineRule="auto"/>
              <w:jc w:val="right"/>
            </w:pPr>
            <w:r>
              <w:rPr>
                <w:rFonts w:ascii="Calibri" w:hAnsi="Calibri"/>
                <w:color w:val="1A1A1A"/>
                <w:sz w:val="15"/>
              </w:rPr>
              <w:t>86</w:t>
            </w:r>
          </w:p>
        </w:tc>
        <w:tc>
          <w:tcPr>
            <w:tcW w:type="dxa" w:w="691"/>
          </w:tcPr>
          <w:p>
            <w:pPr>
              <w:spacing w:after="30" w:line="240" w:lineRule="auto"/>
              <w:jc w:val="right"/>
            </w:pPr>
            <w:r>
              <w:rPr>
                <w:rFonts w:ascii="Calibri" w:hAnsi="Calibri"/>
                <w:color w:val="1A1A1A"/>
                <w:sz w:val="15"/>
              </w:rPr>
              <w:t>5</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Drug_Repurposing_Islet</w:t>
            </w:r>
          </w:p>
        </w:tc>
        <w:tc>
          <w:tcPr>
            <w:tcW w:type="dxa" w:w="547"/>
          </w:tcPr>
          <w:p>
            <w:pPr>
              <w:spacing w:after="30" w:line="240" w:lineRule="auto"/>
              <w:jc w:val="right"/>
            </w:pPr>
            <w:r>
              <w:rPr>
                <w:rFonts w:ascii="Calibri" w:hAnsi="Calibri"/>
                <w:color w:val="1A1A1A"/>
                <w:sz w:val="15"/>
              </w:rPr>
              <w:t>60</w:t>
            </w:r>
          </w:p>
        </w:tc>
        <w:tc>
          <w:tcPr>
            <w:tcW w:type="dxa" w:w="691"/>
          </w:tcPr>
          <w:p>
            <w:pPr>
              <w:spacing w:after="30" w:line="240" w:lineRule="auto"/>
              <w:jc w:val="right"/>
            </w:pPr>
            <w:r>
              <w:rPr>
                <w:rFonts w:ascii="Calibri" w:hAnsi="Calibri"/>
                <w:color w:val="1A1A1A"/>
                <w:sz w:val="15"/>
              </w:rPr>
              <w:t>9</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1A1A1A"/>
                <w:sz w:val="15"/>
              </w:rPr>
              <w:t>7 malformed PubMed hrefs</w:t>
            </w:r>
          </w:p>
        </w:tc>
        <w:tc>
          <w:tcPr>
            <w:tcW w:type="dxa" w:w="950"/>
          </w:tcPr>
          <w:p>
            <w:pPr>
              <w:spacing w:after="30" w:line="240" w:lineRule="auto"/>
            </w:pPr>
            <w:r>
              <w:rPr>
                <w:rFonts w:ascii="Calibri" w:hAnsi="Calibri"/>
                <w:color w:val="B07020"/>
                <w:sz w:val="15"/>
              </w:rPr>
              <w:t>MEDIUM</w:t>
            </w:r>
          </w:p>
        </w:tc>
      </w:tr>
      <w:tr>
        <w:tc>
          <w:tcPr>
            <w:tcW w:type="dxa" w:w="2736"/>
          </w:tcPr>
          <w:p>
            <w:pPr>
              <w:spacing w:after="30" w:line="240" w:lineRule="auto"/>
            </w:pPr>
            <w:r>
              <w:rPr>
                <w:rFonts w:ascii="Calibri" w:hAnsi="Calibri"/>
                <w:color w:val="1A1A1A"/>
                <w:sz w:val="15"/>
              </w:rPr>
              <w:t>Drug_Repurposing_Screen</w:t>
            </w:r>
          </w:p>
        </w:tc>
        <w:tc>
          <w:tcPr>
            <w:tcW w:type="dxa" w:w="547"/>
          </w:tcPr>
          <w:p>
            <w:pPr>
              <w:spacing w:after="30" w:line="240" w:lineRule="auto"/>
              <w:jc w:val="right"/>
            </w:pPr>
            <w:r>
              <w:rPr>
                <w:rFonts w:ascii="Calibri" w:hAnsi="Calibri"/>
                <w:color w:val="1A1A1A"/>
                <w:sz w:val="15"/>
              </w:rPr>
              <w:t>120</w:t>
            </w:r>
          </w:p>
        </w:tc>
        <w:tc>
          <w:tcPr>
            <w:tcW w:type="dxa" w:w="691"/>
          </w:tcPr>
          <w:p>
            <w:pPr>
              <w:spacing w:after="30" w:line="240" w:lineRule="auto"/>
              <w:jc w:val="right"/>
            </w:pPr>
            <w:r>
              <w:rPr>
                <w:rFonts w:ascii="Calibri" w:hAnsi="Calibri"/>
                <w:color w:val="1A1A1A"/>
                <w:sz w:val="15"/>
              </w:rPr>
              <w:t>9</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Equity_Map</w:t>
            </w:r>
          </w:p>
        </w:tc>
        <w:tc>
          <w:tcPr>
            <w:tcW w:type="dxa" w:w="547"/>
          </w:tcPr>
          <w:p>
            <w:pPr>
              <w:spacing w:after="30" w:line="240" w:lineRule="auto"/>
              <w:jc w:val="right"/>
            </w:pPr>
            <w:r>
              <w:rPr>
                <w:rFonts w:ascii="Calibri" w:hAnsi="Calibri"/>
                <w:color w:val="1A1A1A"/>
                <w:sz w:val="15"/>
              </w:rPr>
              <w:t>81</w:t>
            </w:r>
          </w:p>
        </w:tc>
        <w:tc>
          <w:tcPr>
            <w:tcW w:type="dxa" w:w="691"/>
          </w:tcPr>
          <w:p>
            <w:pPr>
              <w:spacing w:after="30" w:line="240" w:lineRule="auto"/>
              <w:jc w:val="right"/>
            </w:pPr>
            <w:r>
              <w:rPr>
                <w:rFonts w:ascii="Calibri" w:hAnsi="Calibri"/>
                <w:color w:val="1A1A1A"/>
                <w:sz w:val="15"/>
              </w:rPr>
              <w:t>9</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Extracted_Evidence</w:t>
            </w:r>
          </w:p>
        </w:tc>
        <w:tc>
          <w:tcPr>
            <w:tcW w:type="dxa" w:w="547"/>
          </w:tcPr>
          <w:p>
            <w:pPr>
              <w:spacing w:after="30" w:line="240" w:lineRule="auto"/>
              <w:jc w:val="right"/>
            </w:pPr>
            <w:r>
              <w:rPr>
                <w:rFonts w:ascii="Calibri" w:hAnsi="Calibri"/>
                <w:color w:val="1A1A1A"/>
                <w:sz w:val="15"/>
              </w:rPr>
              <w:t>101</w:t>
            </w:r>
          </w:p>
        </w:tc>
        <w:tc>
          <w:tcPr>
            <w:tcW w:type="dxa" w:w="691"/>
          </w:tcPr>
          <w:p>
            <w:pPr>
              <w:spacing w:after="30" w:line="240" w:lineRule="auto"/>
              <w:jc w:val="right"/>
            </w:pPr>
            <w:r>
              <w:rPr>
                <w:rFonts w:ascii="Calibri" w:hAnsi="Calibri"/>
                <w:color w:val="1A1A1A"/>
                <w:sz w:val="15"/>
              </w:rPr>
              <w:t>52</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GKA_LADA</w:t>
            </w:r>
          </w:p>
        </w:tc>
        <w:tc>
          <w:tcPr>
            <w:tcW w:type="dxa" w:w="547"/>
          </w:tcPr>
          <w:p>
            <w:pPr>
              <w:spacing w:after="30" w:line="240" w:lineRule="auto"/>
              <w:jc w:val="right"/>
            </w:pPr>
            <w:r>
              <w:rPr>
                <w:rFonts w:ascii="Calibri" w:hAnsi="Calibri"/>
                <w:color w:val="1A1A1A"/>
                <w:sz w:val="15"/>
              </w:rPr>
              <w:t>43</w:t>
            </w:r>
          </w:p>
        </w:tc>
        <w:tc>
          <w:tcPr>
            <w:tcW w:type="dxa" w:w="691"/>
          </w:tcPr>
          <w:p>
            <w:pPr>
              <w:spacing w:after="30" w:line="240" w:lineRule="auto"/>
              <w:jc w:val="right"/>
            </w:pPr>
            <w:r>
              <w:rPr>
                <w:rFonts w:ascii="Calibri" w:hAnsi="Calibri"/>
                <w:color w:val="1A1A1A"/>
                <w:sz w:val="15"/>
              </w:rPr>
              <w:t>13</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GKA_Landscape</w:t>
            </w:r>
          </w:p>
        </w:tc>
        <w:tc>
          <w:tcPr>
            <w:tcW w:type="dxa" w:w="547"/>
          </w:tcPr>
          <w:p>
            <w:pPr>
              <w:spacing w:after="30" w:line="240" w:lineRule="auto"/>
              <w:jc w:val="right"/>
            </w:pPr>
            <w:r>
              <w:rPr>
                <w:rFonts w:ascii="Calibri" w:hAnsi="Calibri"/>
                <w:color w:val="1A1A1A"/>
                <w:sz w:val="15"/>
              </w:rPr>
              <w:t>60</w:t>
            </w:r>
          </w:p>
        </w:tc>
        <w:tc>
          <w:tcPr>
            <w:tcW w:type="dxa" w:w="691"/>
          </w:tcPr>
          <w:p>
            <w:pPr>
              <w:spacing w:after="30" w:line="240" w:lineRule="auto"/>
              <w:jc w:val="right"/>
            </w:pPr>
            <w:r>
              <w:rPr>
                <w:rFonts w:ascii="Calibri" w:hAnsi="Calibri"/>
                <w:color w:val="1A1A1A"/>
                <w:sz w:val="15"/>
              </w:rPr>
              <w:t>8</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GKA_Pricing</w:t>
            </w:r>
          </w:p>
        </w:tc>
        <w:tc>
          <w:tcPr>
            <w:tcW w:type="dxa" w:w="547"/>
          </w:tcPr>
          <w:p>
            <w:pPr>
              <w:spacing w:after="30" w:line="240" w:lineRule="auto"/>
              <w:jc w:val="right"/>
            </w:pPr>
            <w:r>
              <w:rPr>
                <w:rFonts w:ascii="Calibri" w:hAnsi="Calibri"/>
                <w:color w:val="1A1A1A"/>
                <w:sz w:val="15"/>
              </w:rPr>
              <w:t>53</w:t>
            </w:r>
          </w:p>
        </w:tc>
        <w:tc>
          <w:tcPr>
            <w:tcW w:type="dxa" w:w="691"/>
          </w:tcPr>
          <w:p>
            <w:pPr>
              <w:spacing w:after="30" w:line="240" w:lineRule="auto"/>
              <w:jc w:val="right"/>
            </w:pPr>
            <w:r>
              <w:rPr>
                <w:rFonts w:ascii="Calibri" w:hAnsi="Calibri"/>
                <w:color w:val="1A1A1A"/>
                <w:sz w:val="15"/>
              </w:rPr>
              <w:t>12</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Gap_Deep_Dives</w:t>
            </w:r>
          </w:p>
        </w:tc>
        <w:tc>
          <w:tcPr>
            <w:tcW w:type="dxa" w:w="547"/>
          </w:tcPr>
          <w:p>
            <w:pPr>
              <w:spacing w:after="30" w:line="240" w:lineRule="auto"/>
              <w:jc w:val="right"/>
            </w:pPr>
            <w:r>
              <w:rPr>
                <w:rFonts w:ascii="Calibri" w:hAnsi="Calibri"/>
                <w:color w:val="1A1A1A"/>
                <w:sz w:val="15"/>
              </w:rPr>
              <w:t>218</w:t>
            </w:r>
          </w:p>
        </w:tc>
        <w:tc>
          <w:tcPr>
            <w:tcW w:type="dxa" w:w="691"/>
          </w:tcPr>
          <w:p>
            <w:pPr>
              <w:spacing w:after="30" w:line="240" w:lineRule="auto"/>
              <w:jc w:val="right"/>
            </w:pPr>
            <w:r>
              <w:rPr>
                <w:rFonts w:ascii="Calibri" w:hAnsi="Calibri"/>
                <w:color w:val="1A1A1A"/>
                <w:sz w:val="15"/>
              </w:rPr>
              <w:t>20</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Gap_Evidence</w:t>
            </w:r>
          </w:p>
        </w:tc>
        <w:tc>
          <w:tcPr>
            <w:tcW w:type="dxa" w:w="547"/>
          </w:tcPr>
          <w:p>
            <w:pPr>
              <w:spacing w:after="30" w:line="240" w:lineRule="auto"/>
              <w:jc w:val="right"/>
            </w:pPr>
            <w:r>
              <w:rPr>
                <w:rFonts w:ascii="Calibri" w:hAnsi="Calibri"/>
                <w:color w:val="1A1A1A"/>
                <w:sz w:val="15"/>
              </w:rPr>
              <w:t>188</w:t>
            </w:r>
          </w:p>
        </w:tc>
        <w:tc>
          <w:tcPr>
            <w:tcW w:type="dxa" w:w="691"/>
          </w:tcPr>
          <w:p>
            <w:pPr>
              <w:spacing w:after="30" w:line="240" w:lineRule="auto"/>
              <w:jc w:val="right"/>
            </w:pPr>
            <w:r>
              <w:rPr>
                <w:rFonts w:ascii="Calibri" w:hAnsi="Calibri"/>
                <w:color w:val="1A1A1A"/>
                <w:sz w:val="15"/>
              </w:rPr>
              <w:t>75</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Gap_Synthesis</w:t>
            </w:r>
          </w:p>
        </w:tc>
        <w:tc>
          <w:tcPr>
            <w:tcW w:type="dxa" w:w="547"/>
          </w:tcPr>
          <w:p>
            <w:pPr>
              <w:spacing w:after="30" w:line="240" w:lineRule="auto"/>
              <w:jc w:val="right"/>
            </w:pPr>
            <w:r>
              <w:rPr>
                <w:rFonts w:ascii="Calibri" w:hAnsi="Calibri"/>
                <w:color w:val="1A1A1A"/>
                <w:sz w:val="15"/>
              </w:rPr>
              <w:t>122</w:t>
            </w:r>
          </w:p>
        </w:tc>
        <w:tc>
          <w:tcPr>
            <w:tcW w:type="dxa" w:w="691"/>
          </w:tcPr>
          <w:p>
            <w:pPr>
              <w:spacing w:after="30" w:line="240" w:lineRule="auto"/>
              <w:jc w:val="right"/>
            </w:pPr>
            <w:r>
              <w:rPr>
                <w:rFonts w:ascii="Calibri" w:hAnsi="Calibri"/>
                <w:color w:val="1A1A1A"/>
                <w:sz w:val="15"/>
              </w:rPr>
              <w:t>8</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Generic_Drug_Catalog</w:t>
            </w:r>
          </w:p>
        </w:tc>
        <w:tc>
          <w:tcPr>
            <w:tcW w:type="dxa" w:w="547"/>
          </w:tcPr>
          <w:p>
            <w:pPr>
              <w:spacing w:after="30" w:line="240" w:lineRule="auto"/>
              <w:jc w:val="right"/>
            </w:pPr>
            <w:r>
              <w:rPr>
                <w:rFonts w:ascii="Calibri" w:hAnsi="Calibri"/>
                <w:color w:val="1A1A1A"/>
                <w:sz w:val="15"/>
              </w:rPr>
              <w:t>48</w:t>
            </w:r>
          </w:p>
        </w:tc>
        <w:tc>
          <w:tcPr>
            <w:tcW w:type="dxa" w:w="691"/>
          </w:tcPr>
          <w:p>
            <w:pPr>
              <w:spacing w:after="30" w:line="240" w:lineRule="auto"/>
              <w:jc w:val="right"/>
            </w:pPr>
            <w:r>
              <w:rPr>
                <w:rFonts w:ascii="Calibri" w:hAnsi="Calibri"/>
                <w:color w:val="1A1A1A"/>
                <w:sz w:val="15"/>
              </w:rPr>
              <w:t>2</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1A1A1A"/>
                <w:sz w:val="15"/>
              </w:rPr>
              <w:t>2 unique PMIDs (below 3-source floor)</w:t>
            </w:r>
          </w:p>
        </w:tc>
        <w:tc>
          <w:tcPr>
            <w:tcW w:type="dxa" w:w="950"/>
          </w:tcPr>
          <w:p>
            <w:pPr>
              <w:spacing w:after="30" w:line="240" w:lineRule="auto"/>
            </w:pPr>
            <w:r>
              <w:rPr>
                <w:rFonts w:ascii="Calibri" w:hAnsi="Calibri"/>
                <w:color w:val="B07020"/>
                <w:sz w:val="15"/>
              </w:rPr>
              <w:t>MEDIUM</w:t>
            </w:r>
          </w:p>
        </w:tc>
      </w:tr>
      <w:tr>
        <w:tc>
          <w:tcPr>
            <w:tcW w:type="dxa" w:w="2736"/>
          </w:tcPr>
          <w:p>
            <w:pPr>
              <w:spacing w:after="30" w:line="240" w:lineRule="auto"/>
            </w:pPr>
            <w:r>
              <w:rPr>
                <w:rFonts w:ascii="Calibri" w:hAnsi="Calibri"/>
                <w:color w:val="1A1A1A"/>
                <w:sz w:val="15"/>
              </w:rPr>
              <w:t>Health_Equity</w:t>
            </w:r>
          </w:p>
        </w:tc>
        <w:tc>
          <w:tcPr>
            <w:tcW w:type="dxa" w:w="547"/>
          </w:tcPr>
          <w:p>
            <w:pPr>
              <w:spacing w:after="30" w:line="240" w:lineRule="auto"/>
              <w:jc w:val="right"/>
            </w:pPr>
            <w:r>
              <w:rPr>
                <w:rFonts w:ascii="Calibri" w:hAnsi="Calibri"/>
                <w:color w:val="1A1A1A"/>
                <w:sz w:val="15"/>
              </w:rPr>
              <w:t>76</w:t>
            </w:r>
          </w:p>
        </w:tc>
        <w:tc>
          <w:tcPr>
            <w:tcW w:type="dxa" w:w="691"/>
          </w:tcPr>
          <w:p>
            <w:pPr>
              <w:spacing w:after="30" w:line="240" w:lineRule="auto"/>
              <w:jc w:val="right"/>
            </w:pPr>
            <w:r>
              <w:rPr>
                <w:rFonts w:ascii="Calibri" w:hAnsi="Calibri"/>
                <w:color w:val="1A1A1A"/>
                <w:sz w:val="15"/>
              </w:rPr>
              <w:t>10</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1A1A1A"/>
                <w:sz w:val="15"/>
              </w:rPr>
              <w:t>2 empty PubMed hrefs</w:t>
            </w:r>
          </w:p>
        </w:tc>
        <w:tc>
          <w:tcPr>
            <w:tcW w:type="dxa" w:w="950"/>
          </w:tcPr>
          <w:p>
            <w:pPr>
              <w:spacing w:after="30" w:line="240" w:lineRule="auto"/>
            </w:pPr>
            <w:r>
              <w:rPr>
                <w:rFonts w:ascii="Calibri" w:hAnsi="Calibri"/>
                <w:color w:val="B07020"/>
                <w:sz w:val="15"/>
              </w:rPr>
              <w:t>MEDIUM</w:t>
            </w:r>
          </w:p>
        </w:tc>
      </w:tr>
      <w:tr>
        <w:tc>
          <w:tcPr>
            <w:tcW w:type="dxa" w:w="2736"/>
          </w:tcPr>
          <w:p>
            <w:pPr>
              <w:spacing w:after="30" w:line="240" w:lineRule="auto"/>
            </w:pPr>
            <w:r>
              <w:rPr>
                <w:rFonts w:ascii="Calibri" w:hAnsi="Calibri"/>
                <w:color w:val="1A1A1A"/>
                <w:sz w:val="15"/>
              </w:rPr>
              <w:t>Immunomod_LADA</w:t>
            </w:r>
          </w:p>
        </w:tc>
        <w:tc>
          <w:tcPr>
            <w:tcW w:type="dxa" w:w="547"/>
          </w:tcPr>
          <w:p>
            <w:pPr>
              <w:spacing w:after="30" w:line="240" w:lineRule="auto"/>
              <w:jc w:val="right"/>
            </w:pPr>
            <w:r>
              <w:rPr>
                <w:rFonts w:ascii="Calibri" w:hAnsi="Calibri"/>
                <w:color w:val="1A1A1A"/>
                <w:sz w:val="15"/>
              </w:rPr>
              <w:t>52</w:t>
            </w:r>
          </w:p>
        </w:tc>
        <w:tc>
          <w:tcPr>
            <w:tcW w:type="dxa" w:w="691"/>
          </w:tcPr>
          <w:p>
            <w:pPr>
              <w:spacing w:after="30" w:line="240" w:lineRule="auto"/>
              <w:jc w:val="right"/>
            </w:pPr>
            <w:r>
              <w:rPr>
                <w:rFonts w:ascii="Calibri" w:hAnsi="Calibri"/>
                <w:color w:val="1A1A1A"/>
                <w:sz w:val="15"/>
              </w:rPr>
              <w:t>10</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Islet_Drug_Repurposing</w:t>
            </w:r>
          </w:p>
        </w:tc>
        <w:tc>
          <w:tcPr>
            <w:tcW w:type="dxa" w:w="547"/>
          </w:tcPr>
          <w:p>
            <w:pPr>
              <w:spacing w:after="30" w:line="240" w:lineRule="auto"/>
              <w:jc w:val="right"/>
            </w:pPr>
            <w:r>
              <w:rPr>
                <w:rFonts w:ascii="Calibri" w:hAnsi="Calibri"/>
                <w:color w:val="1A1A1A"/>
                <w:sz w:val="15"/>
              </w:rPr>
              <w:t>116</w:t>
            </w:r>
          </w:p>
        </w:tc>
        <w:tc>
          <w:tcPr>
            <w:tcW w:type="dxa" w:w="691"/>
          </w:tcPr>
          <w:p>
            <w:pPr>
              <w:spacing w:after="30" w:line="240" w:lineRule="auto"/>
              <w:jc w:val="right"/>
            </w:pPr>
            <w:r>
              <w:rPr>
                <w:rFonts w:ascii="Calibri" w:hAnsi="Calibri"/>
                <w:color w:val="1A1A1A"/>
                <w:sz w:val="15"/>
              </w:rPr>
              <w:t>5</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Islet_Transplant_Analysis</w:t>
            </w:r>
          </w:p>
        </w:tc>
        <w:tc>
          <w:tcPr>
            <w:tcW w:type="dxa" w:w="547"/>
          </w:tcPr>
          <w:p>
            <w:pPr>
              <w:spacing w:after="30" w:line="240" w:lineRule="auto"/>
              <w:jc w:val="right"/>
            </w:pPr>
            <w:r>
              <w:rPr>
                <w:rFonts w:ascii="Calibri" w:hAnsi="Calibri"/>
                <w:color w:val="1A1A1A"/>
                <w:sz w:val="15"/>
              </w:rPr>
              <w:t>74</w:t>
            </w:r>
          </w:p>
        </w:tc>
        <w:tc>
          <w:tcPr>
            <w:tcW w:type="dxa" w:w="691"/>
          </w:tcPr>
          <w:p>
            <w:pPr>
              <w:spacing w:after="30" w:line="240" w:lineRule="auto"/>
              <w:jc w:val="right"/>
            </w:pPr>
            <w:r>
              <w:rPr>
                <w:rFonts w:ascii="Calibri" w:hAnsi="Calibri"/>
                <w:color w:val="1A1A1A"/>
                <w:sz w:val="15"/>
              </w:rPr>
              <w:t>4</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1A1A1A"/>
                <w:sz w:val="15"/>
              </w:rPr>
              <w:t>1 unlinked PMID (37359825)</w:t>
            </w:r>
          </w:p>
        </w:tc>
        <w:tc>
          <w:tcPr>
            <w:tcW w:type="dxa" w:w="950"/>
          </w:tcPr>
          <w:p>
            <w:pPr>
              <w:spacing w:after="30" w:line="240" w:lineRule="auto"/>
            </w:pPr>
            <w:r>
              <w:rPr>
                <w:rFonts w:ascii="Calibri" w:hAnsi="Calibri"/>
                <w:color w:val="636363"/>
                <w:sz w:val="15"/>
              </w:rPr>
              <w:t>LOW</w:t>
            </w:r>
          </w:p>
        </w:tc>
      </w:tr>
      <w:tr>
        <w:tc>
          <w:tcPr>
            <w:tcW w:type="dxa" w:w="2736"/>
          </w:tcPr>
          <w:p>
            <w:pPr>
              <w:spacing w:after="30" w:line="240" w:lineRule="auto"/>
            </w:pPr>
            <w:r>
              <w:rPr>
                <w:rFonts w:ascii="Calibri" w:hAnsi="Calibri"/>
                <w:color w:val="1A1A1A"/>
                <w:sz w:val="15"/>
              </w:rPr>
              <w:t>Islet_Transplant_Equity</w:t>
            </w:r>
          </w:p>
        </w:tc>
        <w:tc>
          <w:tcPr>
            <w:tcW w:type="dxa" w:w="547"/>
          </w:tcPr>
          <w:p>
            <w:pPr>
              <w:spacing w:after="30" w:line="240" w:lineRule="auto"/>
              <w:jc w:val="right"/>
            </w:pPr>
            <w:r>
              <w:rPr>
                <w:rFonts w:ascii="Calibri" w:hAnsi="Calibri"/>
                <w:color w:val="1A1A1A"/>
                <w:sz w:val="15"/>
              </w:rPr>
              <w:t>44</w:t>
            </w:r>
          </w:p>
        </w:tc>
        <w:tc>
          <w:tcPr>
            <w:tcW w:type="dxa" w:w="691"/>
          </w:tcPr>
          <w:p>
            <w:pPr>
              <w:spacing w:after="30" w:line="240" w:lineRule="auto"/>
              <w:jc w:val="right"/>
            </w:pPr>
            <w:r>
              <w:rPr>
                <w:rFonts w:ascii="Calibri" w:hAnsi="Calibri"/>
                <w:color w:val="1A1A1A"/>
                <w:sz w:val="15"/>
              </w:rPr>
              <w:t>5</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LADA_Diagnostic_Model</w:t>
            </w:r>
          </w:p>
        </w:tc>
        <w:tc>
          <w:tcPr>
            <w:tcW w:type="dxa" w:w="547"/>
          </w:tcPr>
          <w:p>
            <w:pPr>
              <w:spacing w:after="30" w:line="240" w:lineRule="auto"/>
              <w:jc w:val="right"/>
            </w:pPr>
            <w:r>
              <w:rPr>
                <w:rFonts w:ascii="Calibri" w:hAnsi="Calibri"/>
                <w:color w:val="1A1A1A"/>
                <w:sz w:val="15"/>
              </w:rPr>
              <w:t>57</w:t>
            </w:r>
          </w:p>
        </w:tc>
        <w:tc>
          <w:tcPr>
            <w:tcW w:type="dxa" w:w="691"/>
          </w:tcPr>
          <w:p>
            <w:pPr>
              <w:spacing w:after="30" w:line="240" w:lineRule="auto"/>
              <w:jc w:val="right"/>
            </w:pPr>
            <w:r>
              <w:rPr>
                <w:rFonts w:ascii="Calibri" w:hAnsi="Calibri"/>
                <w:color w:val="1A1A1A"/>
                <w:sz w:val="15"/>
              </w:rPr>
              <w:t>7</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LADA_Natural_History</w:t>
            </w:r>
          </w:p>
        </w:tc>
        <w:tc>
          <w:tcPr>
            <w:tcW w:type="dxa" w:w="547"/>
          </w:tcPr>
          <w:p>
            <w:pPr>
              <w:spacing w:after="30" w:line="240" w:lineRule="auto"/>
              <w:jc w:val="right"/>
            </w:pPr>
            <w:r>
              <w:rPr>
                <w:rFonts w:ascii="Calibri" w:hAnsi="Calibri"/>
                <w:color w:val="1A1A1A"/>
                <w:sz w:val="15"/>
              </w:rPr>
              <w:t>60</w:t>
            </w:r>
          </w:p>
        </w:tc>
        <w:tc>
          <w:tcPr>
            <w:tcW w:type="dxa" w:w="691"/>
          </w:tcPr>
          <w:p>
            <w:pPr>
              <w:spacing w:after="30" w:line="240" w:lineRule="auto"/>
              <w:jc w:val="right"/>
            </w:pPr>
            <w:r>
              <w:rPr>
                <w:rFonts w:ascii="Calibri" w:hAnsi="Calibri"/>
                <w:color w:val="1A1A1A"/>
                <w:sz w:val="15"/>
              </w:rPr>
              <w:t>7</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LADA_Prevalence</w:t>
            </w:r>
          </w:p>
        </w:tc>
        <w:tc>
          <w:tcPr>
            <w:tcW w:type="dxa" w:w="547"/>
          </w:tcPr>
          <w:p>
            <w:pPr>
              <w:spacing w:after="30" w:line="240" w:lineRule="auto"/>
              <w:jc w:val="right"/>
            </w:pPr>
            <w:r>
              <w:rPr>
                <w:rFonts w:ascii="Calibri" w:hAnsi="Calibri"/>
                <w:color w:val="1A1A1A"/>
                <w:sz w:val="15"/>
              </w:rPr>
              <w:t>55</w:t>
            </w:r>
          </w:p>
        </w:tc>
        <w:tc>
          <w:tcPr>
            <w:tcW w:type="dxa" w:w="691"/>
          </w:tcPr>
          <w:p>
            <w:pPr>
              <w:spacing w:after="30" w:line="240" w:lineRule="auto"/>
              <w:jc w:val="right"/>
            </w:pPr>
            <w:r>
              <w:rPr>
                <w:rFonts w:ascii="Calibri" w:hAnsi="Calibri"/>
                <w:color w:val="1A1A1A"/>
                <w:sz w:val="15"/>
              </w:rPr>
              <w:t>2</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1A1A1A"/>
                <w:sz w:val="15"/>
              </w:rPr>
              <w:t>2 unique PMIDs (below 3-source floor)</w:t>
            </w:r>
          </w:p>
        </w:tc>
        <w:tc>
          <w:tcPr>
            <w:tcW w:type="dxa" w:w="950"/>
          </w:tcPr>
          <w:p>
            <w:pPr>
              <w:spacing w:after="30" w:line="240" w:lineRule="auto"/>
            </w:pPr>
            <w:r>
              <w:rPr>
                <w:rFonts w:ascii="Calibri" w:hAnsi="Calibri"/>
                <w:color w:val="B07020"/>
                <w:sz w:val="15"/>
              </w:rPr>
              <w:t>MEDIUM</w:t>
            </w:r>
          </w:p>
        </w:tc>
      </w:tr>
      <w:tr>
        <w:tc>
          <w:tcPr>
            <w:tcW w:type="dxa" w:w="2736"/>
          </w:tcPr>
          <w:p>
            <w:pPr>
              <w:spacing w:after="30" w:line="240" w:lineRule="auto"/>
            </w:pPr>
            <w:r>
              <w:rPr>
                <w:rFonts w:ascii="Calibri" w:hAnsi="Calibri"/>
                <w:color w:val="1A1A1A"/>
                <w:sz w:val="15"/>
              </w:rPr>
              <w:t>Medical_Data_Dictionary</w:t>
            </w:r>
          </w:p>
        </w:tc>
        <w:tc>
          <w:tcPr>
            <w:tcW w:type="dxa" w:w="547"/>
          </w:tcPr>
          <w:p>
            <w:pPr>
              <w:spacing w:after="30" w:line="240" w:lineRule="auto"/>
              <w:jc w:val="right"/>
            </w:pPr>
            <w:r>
              <w:rPr>
                <w:rFonts w:ascii="Calibri" w:hAnsi="Calibri"/>
                <w:color w:val="1A1A1A"/>
                <w:sz w:val="15"/>
              </w:rPr>
              <w:t>358</w:t>
            </w:r>
          </w:p>
        </w:tc>
        <w:tc>
          <w:tcPr>
            <w:tcW w:type="dxa" w:w="691"/>
          </w:tcPr>
          <w:p>
            <w:pPr>
              <w:spacing w:after="30" w:line="240" w:lineRule="auto"/>
              <w:jc w:val="right"/>
            </w:pPr>
            <w:r>
              <w:rPr>
                <w:rFonts w:ascii="Calibri" w:hAnsi="Calibri"/>
                <w:color w:val="1A1A1A"/>
                <w:sz w:val="15"/>
              </w:rPr>
              <w:t>90</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Methodology</w:t>
            </w:r>
          </w:p>
        </w:tc>
        <w:tc>
          <w:tcPr>
            <w:tcW w:type="dxa" w:w="547"/>
          </w:tcPr>
          <w:p>
            <w:pPr>
              <w:spacing w:after="30" w:line="240" w:lineRule="auto"/>
              <w:jc w:val="right"/>
            </w:pPr>
            <w:r>
              <w:rPr>
                <w:rFonts w:ascii="Calibri" w:hAnsi="Calibri"/>
                <w:color w:val="1A1A1A"/>
                <w:sz w:val="15"/>
              </w:rPr>
              <w:t>65</w:t>
            </w:r>
          </w:p>
        </w:tc>
        <w:tc>
          <w:tcPr>
            <w:tcW w:type="dxa" w:w="691"/>
          </w:tcPr>
          <w:p>
            <w:pPr>
              <w:spacing w:after="30" w:line="240" w:lineRule="auto"/>
              <w:jc w:val="right"/>
            </w:pPr>
            <w:r>
              <w:rPr>
                <w:rFonts w:ascii="Calibri" w:hAnsi="Calibri"/>
                <w:color w:val="1A1A1A"/>
                <w:sz w:val="15"/>
              </w:rPr>
              <w:t>0</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1A1A1A"/>
                <w:sz w:val="15"/>
              </w:rPr>
              <w:t>0 PMIDs (utility page); 1 empty PubMed href</w:t>
            </w:r>
          </w:p>
        </w:tc>
        <w:tc>
          <w:tcPr>
            <w:tcW w:type="dxa" w:w="950"/>
          </w:tcPr>
          <w:p>
            <w:pPr>
              <w:spacing w:after="30" w:line="240" w:lineRule="auto"/>
            </w:pPr>
            <w:r>
              <w:rPr>
                <w:rFonts w:ascii="Calibri" w:hAnsi="Calibri"/>
                <w:color w:val="636363"/>
                <w:sz w:val="15"/>
              </w:rPr>
              <w:t>LOW</w:t>
            </w:r>
          </w:p>
        </w:tc>
      </w:tr>
      <w:tr>
        <w:tc>
          <w:tcPr>
            <w:tcW w:type="dxa" w:w="2736"/>
          </w:tcPr>
          <w:p>
            <w:pPr>
              <w:spacing w:after="30" w:line="240" w:lineRule="auto"/>
            </w:pPr>
            <w:r>
              <w:rPr>
                <w:rFonts w:ascii="Calibri" w:hAnsi="Calibri"/>
                <w:color w:val="1A1A1A"/>
                <w:sz w:val="15"/>
              </w:rPr>
              <w:t>Nutrition_Beta_Cells</w:t>
            </w:r>
          </w:p>
        </w:tc>
        <w:tc>
          <w:tcPr>
            <w:tcW w:type="dxa" w:w="547"/>
          </w:tcPr>
          <w:p>
            <w:pPr>
              <w:spacing w:after="30" w:line="240" w:lineRule="auto"/>
              <w:jc w:val="right"/>
            </w:pPr>
            <w:r>
              <w:rPr>
                <w:rFonts w:ascii="Calibri" w:hAnsi="Calibri"/>
                <w:color w:val="1A1A1A"/>
                <w:sz w:val="15"/>
              </w:rPr>
              <w:t>46</w:t>
            </w:r>
          </w:p>
        </w:tc>
        <w:tc>
          <w:tcPr>
            <w:tcW w:type="dxa" w:w="691"/>
          </w:tcPr>
          <w:p>
            <w:pPr>
              <w:spacing w:after="30" w:line="240" w:lineRule="auto"/>
              <w:jc w:val="right"/>
            </w:pPr>
            <w:r>
              <w:rPr>
                <w:rFonts w:ascii="Calibri" w:hAnsi="Calibri"/>
                <w:color w:val="1A1A1A"/>
                <w:sz w:val="15"/>
              </w:rPr>
              <w:t>10</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Nutrition_LADA</w:t>
            </w:r>
          </w:p>
        </w:tc>
        <w:tc>
          <w:tcPr>
            <w:tcW w:type="dxa" w:w="547"/>
          </w:tcPr>
          <w:p>
            <w:pPr>
              <w:spacing w:after="30" w:line="240" w:lineRule="auto"/>
              <w:jc w:val="right"/>
            </w:pPr>
            <w:r>
              <w:rPr>
                <w:rFonts w:ascii="Calibri" w:hAnsi="Calibri"/>
                <w:color w:val="1A1A1A"/>
                <w:sz w:val="15"/>
              </w:rPr>
              <w:t>55</w:t>
            </w:r>
          </w:p>
        </w:tc>
        <w:tc>
          <w:tcPr>
            <w:tcW w:type="dxa" w:w="691"/>
          </w:tcPr>
          <w:p>
            <w:pPr>
              <w:spacing w:after="30" w:line="240" w:lineRule="auto"/>
              <w:jc w:val="right"/>
            </w:pPr>
            <w:r>
              <w:rPr>
                <w:rFonts w:ascii="Calibri" w:hAnsi="Calibri"/>
                <w:color w:val="1A1A1A"/>
                <w:sz w:val="15"/>
              </w:rPr>
              <w:t>14</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PMID_Verification</w:t>
            </w:r>
          </w:p>
        </w:tc>
        <w:tc>
          <w:tcPr>
            <w:tcW w:type="dxa" w:w="547"/>
          </w:tcPr>
          <w:p>
            <w:pPr>
              <w:spacing w:after="30" w:line="240" w:lineRule="auto"/>
              <w:jc w:val="right"/>
            </w:pPr>
            <w:r>
              <w:rPr>
                <w:rFonts w:ascii="Calibri" w:hAnsi="Calibri"/>
                <w:color w:val="1A1A1A"/>
                <w:sz w:val="15"/>
              </w:rPr>
              <w:t>182</w:t>
            </w:r>
          </w:p>
        </w:tc>
        <w:tc>
          <w:tcPr>
            <w:tcW w:type="dxa" w:w="691"/>
          </w:tcPr>
          <w:p>
            <w:pPr>
              <w:spacing w:after="30" w:line="240" w:lineRule="auto"/>
              <w:jc w:val="right"/>
            </w:pPr>
            <w:r>
              <w:rPr>
                <w:rFonts w:ascii="Calibri" w:hAnsi="Calibri"/>
                <w:color w:val="1A1A1A"/>
                <w:sz w:val="15"/>
              </w:rPr>
              <w:t>276</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Paper_Library</w:t>
            </w:r>
          </w:p>
        </w:tc>
        <w:tc>
          <w:tcPr>
            <w:tcW w:type="dxa" w:w="547"/>
          </w:tcPr>
          <w:p>
            <w:pPr>
              <w:spacing w:after="30" w:line="240" w:lineRule="auto"/>
              <w:jc w:val="right"/>
            </w:pPr>
            <w:r>
              <w:rPr>
                <w:rFonts w:ascii="Calibri" w:hAnsi="Calibri"/>
                <w:color w:val="1A1A1A"/>
                <w:sz w:val="15"/>
              </w:rPr>
              <w:t>237</w:t>
            </w:r>
          </w:p>
        </w:tc>
        <w:tc>
          <w:tcPr>
            <w:tcW w:type="dxa" w:w="691"/>
          </w:tcPr>
          <w:p>
            <w:pPr>
              <w:spacing w:after="30" w:line="240" w:lineRule="auto"/>
              <w:jc w:val="right"/>
            </w:pPr>
            <w:r>
              <w:rPr>
                <w:rFonts w:ascii="Calibri" w:hAnsi="Calibri"/>
                <w:color w:val="1A1A1A"/>
                <w:sz w:val="15"/>
              </w:rPr>
              <w:t>315</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Prediction_Ledger</w:t>
            </w:r>
          </w:p>
        </w:tc>
        <w:tc>
          <w:tcPr>
            <w:tcW w:type="dxa" w:w="547"/>
          </w:tcPr>
          <w:p>
            <w:pPr>
              <w:spacing w:after="30" w:line="240" w:lineRule="auto"/>
              <w:jc w:val="right"/>
            </w:pPr>
            <w:r>
              <w:rPr>
                <w:rFonts w:ascii="Calibri" w:hAnsi="Calibri"/>
                <w:color w:val="1A1A1A"/>
                <w:sz w:val="15"/>
              </w:rPr>
              <w:t>21</w:t>
            </w:r>
          </w:p>
        </w:tc>
        <w:tc>
          <w:tcPr>
            <w:tcW w:type="dxa" w:w="691"/>
          </w:tcPr>
          <w:p>
            <w:pPr>
              <w:spacing w:after="30" w:line="240" w:lineRule="auto"/>
              <w:jc w:val="right"/>
            </w:pPr>
            <w:r>
              <w:rPr>
                <w:rFonts w:ascii="Calibri" w:hAnsi="Calibri"/>
                <w:color w:val="1A1A1A"/>
                <w:sz w:val="15"/>
              </w:rPr>
              <w:t>0</w:t>
            </w:r>
          </w:p>
        </w:tc>
        <w:tc>
          <w:tcPr>
            <w:tcW w:type="dxa" w:w="518"/>
          </w:tcPr>
          <w:p>
            <w:pPr>
              <w:spacing w:after="30" w:line="240" w:lineRule="auto"/>
              <w:jc w:val="right"/>
            </w:pPr>
            <w:r>
              <w:rPr>
                <w:rFonts w:ascii="Calibri" w:hAnsi="Calibri"/>
                <w:color w:val="A03030"/>
                <w:sz w:val="15"/>
              </w:rPr>
              <w:t>no</w:t>
            </w:r>
          </w:p>
        </w:tc>
        <w:tc>
          <w:tcPr>
            <w:tcW w:type="dxa" w:w="547"/>
          </w:tcPr>
          <w:p>
            <w:pPr>
              <w:spacing w:after="30" w:line="240" w:lineRule="auto"/>
              <w:jc w:val="right"/>
            </w:pPr>
            <w:r>
              <w:rPr>
                <w:rFonts w:ascii="Calibri" w:hAnsi="Calibri"/>
                <w:color w:val="A03030"/>
                <w:sz w:val="15"/>
              </w:rPr>
              <w:t>no</w:t>
            </w:r>
          </w:p>
        </w:tc>
        <w:tc>
          <w:tcPr>
            <w:tcW w:type="dxa" w:w="576"/>
          </w:tcPr>
          <w:p>
            <w:pPr>
              <w:spacing w:after="30" w:line="240" w:lineRule="auto"/>
              <w:jc w:val="right"/>
            </w:pPr>
            <w:r>
              <w:rPr>
                <w:rFonts w:ascii="Calibri" w:hAnsi="Calibri"/>
                <w:color w:val="A03030"/>
                <w:sz w:val="15"/>
              </w:rPr>
              <w:t>no</w:t>
            </w:r>
          </w:p>
        </w:tc>
        <w:tc>
          <w:tcPr>
            <w:tcW w:type="dxa" w:w="3110"/>
          </w:tcPr>
          <w:p>
            <w:pPr>
              <w:spacing w:after="30" w:line="240" w:lineRule="auto"/>
            </w:pPr>
            <w:r>
              <w:rPr>
                <w:rFonts w:ascii="Calibri" w:hAnsi="Calibri"/>
                <w:color w:val="1A1A1A"/>
                <w:sz w:val="15"/>
              </w:rPr>
              <w:t>Outside pipeline; no nav, back-link or ARIA</w:t>
            </w:r>
          </w:p>
        </w:tc>
        <w:tc>
          <w:tcPr>
            <w:tcW w:type="dxa" w:w="950"/>
          </w:tcPr>
          <w:p>
            <w:pPr>
              <w:spacing w:after="30" w:line="240" w:lineRule="auto"/>
            </w:pPr>
            <w:r>
              <w:rPr>
                <w:rFonts w:ascii="Calibri" w:hAnsi="Calibri"/>
                <w:color w:val="A03030"/>
                <w:sz w:val="15"/>
              </w:rPr>
              <w:t>HIGH</w:t>
            </w:r>
          </w:p>
        </w:tc>
      </w:tr>
      <w:tr>
        <w:tc>
          <w:tcPr>
            <w:tcW w:type="dxa" w:w="2736"/>
          </w:tcPr>
          <w:p>
            <w:pPr>
              <w:spacing w:after="30" w:line="240" w:lineRule="auto"/>
            </w:pPr>
            <w:r>
              <w:rPr>
                <w:rFonts w:ascii="Calibri" w:hAnsi="Calibri"/>
                <w:color w:val="1A1A1A"/>
                <w:sz w:val="15"/>
              </w:rPr>
              <w:t>Research_Dashboard</w:t>
            </w:r>
          </w:p>
        </w:tc>
        <w:tc>
          <w:tcPr>
            <w:tcW w:type="dxa" w:w="547"/>
          </w:tcPr>
          <w:p>
            <w:pPr>
              <w:spacing w:after="30" w:line="240" w:lineRule="auto"/>
              <w:jc w:val="right"/>
            </w:pPr>
            <w:r>
              <w:rPr>
                <w:rFonts w:ascii="Calibri" w:hAnsi="Calibri"/>
                <w:color w:val="1A1A1A"/>
                <w:sz w:val="15"/>
              </w:rPr>
              <w:t>66</w:t>
            </w:r>
          </w:p>
        </w:tc>
        <w:tc>
          <w:tcPr>
            <w:tcW w:type="dxa" w:w="691"/>
          </w:tcPr>
          <w:p>
            <w:pPr>
              <w:spacing w:after="30" w:line="240" w:lineRule="auto"/>
              <w:jc w:val="right"/>
            </w:pPr>
            <w:r>
              <w:rPr>
                <w:rFonts w:ascii="Calibri" w:hAnsi="Calibri"/>
                <w:color w:val="1A1A1A"/>
                <w:sz w:val="15"/>
              </w:rPr>
              <w:t>7</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Research_Paths</w:t>
            </w:r>
          </w:p>
        </w:tc>
        <w:tc>
          <w:tcPr>
            <w:tcW w:type="dxa" w:w="547"/>
          </w:tcPr>
          <w:p>
            <w:pPr>
              <w:spacing w:after="30" w:line="240" w:lineRule="auto"/>
              <w:jc w:val="right"/>
            </w:pPr>
            <w:r>
              <w:rPr>
                <w:rFonts w:ascii="Calibri" w:hAnsi="Calibri"/>
                <w:color w:val="1A1A1A"/>
                <w:sz w:val="15"/>
              </w:rPr>
              <w:t>63</w:t>
            </w:r>
          </w:p>
        </w:tc>
        <w:tc>
          <w:tcPr>
            <w:tcW w:type="dxa" w:w="691"/>
          </w:tcPr>
          <w:p>
            <w:pPr>
              <w:spacing w:after="30" w:line="240" w:lineRule="auto"/>
              <w:jc w:val="right"/>
            </w:pPr>
            <w:r>
              <w:rPr>
                <w:rFonts w:ascii="Calibri" w:hAnsi="Calibri"/>
                <w:color w:val="1A1A1A"/>
                <w:sz w:val="15"/>
              </w:rPr>
              <w:t>7</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Statistical_Analysis</w:t>
            </w:r>
          </w:p>
        </w:tc>
        <w:tc>
          <w:tcPr>
            <w:tcW w:type="dxa" w:w="547"/>
          </w:tcPr>
          <w:p>
            <w:pPr>
              <w:spacing w:after="30" w:line="240" w:lineRule="auto"/>
              <w:jc w:val="right"/>
            </w:pPr>
            <w:r>
              <w:rPr>
                <w:rFonts w:ascii="Calibri" w:hAnsi="Calibri"/>
                <w:color w:val="1A1A1A"/>
                <w:sz w:val="15"/>
              </w:rPr>
              <w:t>38</w:t>
            </w:r>
          </w:p>
        </w:tc>
        <w:tc>
          <w:tcPr>
            <w:tcW w:type="dxa" w:w="691"/>
          </w:tcPr>
          <w:p>
            <w:pPr>
              <w:spacing w:after="30" w:line="240" w:lineRule="auto"/>
              <w:jc w:val="right"/>
            </w:pPr>
            <w:r>
              <w:rPr>
                <w:rFonts w:ascii="Calibri" w:hAnsi="Calibri"/>
                <w:color w:val="1A1A1A"/>
                <w:sz w:val="15"/>
              </w:rPr>
              <w:t>6</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Pr>
          <w:p>
            <w:pPr>
              <w:spacing w:after="30" w:line="240" w:lineRule="auto"/>
            </w:pPr>
            <w:r>
              <w:rPr>
                <w:rFonts w:ascii="Calibri" w:hAnsi="Calibri"/>
                <w:color w:val="1A1A1A"/>
                <w:sz w:val="15"/>
              </w:rPr>
              <w:t>Treg_Neuropathy</w:t>
            </w:r>
          </w:p>
        </w:tc>
        <w:tc>
          <w:tcPr>
            <w:tcW w:type="dxa" w:w="547"/>
          </w:tcPr>
          <w:p>
            <w:pPr>
              <w:spacing w:after="30" w:line="240" w:lineRule="auto"/>
              <w:jc w:val="right"/>
            </w:pPr>
            <w:r>
              <w:rPr>
                <w:rFonts w:ascii="Calibri" w:hAnsi="Calibri"/>
                <w:color w:val="1A1A1A"/>
                <w:sz w:val="15"/>
              </w:rPr>
              <w:t>68</w:t>
            </w:r>
          </w:p>
        </w:tc>
        <w:tc>
          <w:tcPr>
            <w:tcW w:type="dxa" w:w="691"/>
          </w:tcPr>
          <w:p>
            <w:pPr>
              <w:spacing w:after="30" w:line="240" w:lineRule="auto"/>
              <w:jc w:val="right"/>
            </w:pPr>
            <w:r>
              <w:rPr>
                <w:rFonts w:ascii="Calibri" w:hAnsi="Calibri"/>
                <w:color w:val="1A1A1A"/>
                <w:sz w:val="15"/>
              </w:rPr>
              <w:t>7</w:t>
            </w:r>
          </w:p>
        </w:tc>
        <w:tc>
          <w:tcPr>
            <w:tcW w:type="dxa" w:w="518"/>
          </w:tcPr>
          <w:p>
            <w:pPr>
              <w:spacing w:after="30" w:line="240" w:lineRule="auto"/>
              <w:jc w:val="right"/>
            </w:pPr>
            <w:r>
              <w:rPr>
                <w:rFonts w:ascii="Calibri" w:hAnsi="Calibri"/>
                <w:color w:val="1A1A1A"/>
                <w:sz w:val="15"/>
              </w:rPr>
              <w:t>yes</w:t>
            </w:r>
          </w:p>
        </w:tc>
        <w:tc>
          <w:tcPr>
            <w:tcW w:type="dxa" w:w="547"/>
          </w:tcPr>
          <w:p>
            <w:pPr>
              <w:spacing w:after="30" w:line="240" w:lineRule="auto"/>
              <w:jc w:val="right"/>
            </w:pPr>
            <w:r>
              <w:rPr>
                <w:rFonts w:ascii="Calibri" w:hAnsi="Calibri"/>
                <w:color w:val="1A1A1A"/>
                <w:sz w:val="15"/>
              </w:rPr>
              <w:t>yes</w:t>
            </w:r>
          </w:p>
        </w:tc>
        <w:tc>
          <w:tcPr>
            <w:tcW w:type="dxa" w:w="576"/>
          </w:tcPr>
          <w:p>
            <w:pPr>
              <w:spacing w:after="30" w:line="240" w:lineRule="auto"/>
              <w:jc w:val="right"/>
            </w:pPr>
            <w:r>
              <w:rPr>
                <w:rFonts w:ascii="Calibri" w:hAnsi="Calibri"/>
                <w:color w:val="1A1A1A"/>
                <w:sz w:val="15"/>
              </w:rPr>
              <w:t>yes</w:t>
            </w:r>
          </w:p>
        </w:tc>
        <w:tc>
          <w:tcPr>
            <w:tcW w:type="dxa" w:w="3110"/>
          </w:tcPr>
          <w:p>
            <w:pPr>
              <w:spacing w:after="30" w:line="240" w:lineRule="auto"/>
            </w:pPr>
            <w:r>
              <w:rPr>
                <w:rFonts w:ascii="Calibri" w:hAnsi="Calibri"/>
                <w:color w:val="636363"/>
                <w:sz w:val="15"/>
              </w:rPr>
              <w:t>none</w:t>
            </w:r>
          </w:p>
        </w:tc>
        <w:tc>
          <w:tcPr>
            <w:tcW w:type="dxa" w:w="950"/>
          </w:tcPr>
          <w:p>
            <w:pPr>
              <w:spacing w:after="30" w:line="240" w:lineRule="auto"/>
            </w:pPr>
            <w:r>
              <w:rPr>
                <w:rFonts w:ascii="Calibri" w:hAnsi="Calibri"/>
                <w:color w:val="636363"/>
                <w:sz w:val="15"/>
              </w:rPr>
              <w:t>—</w:t>
            </w:r>
          </w:p>
        </w:tc>
      </w:tr>
      <w:tr>
        <w:tc>
          <w:tcPr>
            <w:tcW w:type="dxa" w:w="2736"/>
            <w:tcBorders>
              <w:bottom w:val="single" w:sz="8" w:color="1A1A1A"/>
            </w:tcBorders>
          </w:tcPr>
          <w:p>
            <w:pPr>
              <w:spacing w:after="30" w:line="240" w:lineRule="auto"/>
            </w:pPr>
            <w:r>
              <w:rPr>
                <w:rFonts w:ascii="Calibri" w:hAnsi="Calibri"/>
                <w:color w:val="1A1A1A"/>
                <w:sz w:val="15"/>
              </w:rPr>
              <w:t>Trial_Equity_Mapper</w:t>
            </w:r>
          </w:p>
        </w:tc>
        <w:tc>
          <w:tcPr>
            <w:tcW w:type="dxa" w:w="547"/>
            <w:tcBorders>
              <w:bottom w:val="single" w:sz="8" w:color="1A1A1A"/>
            </w:tcBorders>
          </w:tcPr>
          <w:p>
            <w:pPr>
              <w:spacing w:after="30" w:line="240" w:lineRule="auto"/>
              <w:jc w:val="right"/>
            </w:pPr>
            <w:r>
              <w:rPr>
                <w:rFonts w:ascii="Calibri" w:hAnsi="Calibri"/>
                <w:color w:val="1A1A1A"/>
                <w:sz w:val="15"/>
              </w:rPr>
              <w:t>73</w:t>
            </w:r>
          </w:p>
        </w:tc>
        <w:tc>
          <w:tcPr>
            <w:tcW w:type="dxa" w:w="691"/>
            <w:tcBorders>
              <w:bottom w:val="single" w:sz="8" w:color="1A1A1A"/>
            </w:tcBorders>
          </w:tcPr>
          <w:p>
            <w:pPr>
              <w:spacing w:after="30" w:line="240" w:lineRule="auto"/>
              <w:jc w:val="right"/>
            </w:pPr>
            <w:r>
              <w:rPr>
                <w:rFonts w:ascii="Calibri" w:hAnsi="Calibri"/>
                <w:color w:val="1A1A1A"/>
                <w:sz w:val="15"/>
              </w:rPr>
              <w:t>8</w:t>
            </w:r>
          </w:p>
        </w:tc>
        <w:tc>
          <w:tcPr>
            <w:tcW w:type="dxa" w:w="518"/>
            <w:tcBorders>
              <w:bottom w:val="single" w:sz="8" w:color="1A1A1A"/>
            </w:tcBorders>
          </w:tcPr>
          <w:p>
            <w:pPr>
              <w:spacing w:after="30" w:line="240" w:lineRule="auto"/>
              <w:jc w:val="right"/>
            </w:pPr>
            <w:r>
              <w:rPr>
                <w:rFonts w:ascii="Calibri" w:hAnsi="Calibri"/>
                <w:color w:val="1A1A1A"/>
                <w:sz w:val="15"/>
              </w:rPr>
              <w:t>yes</w:t>
            </w:r>
          </w:p>
        </w:tc>
        <w:tc>
          <w:tcPr>
            <w:tcW w:type="dxa" w:w="547"/>
            <w:tcBorders>
              <w:bottom w:val="single" w:sz="8" w:color="1A1A1A"/>
            </w:tcBorders>
          </w:tcPr>
          <w:p>
            <w:pPr>
              <w:spacing w:after="30" w:line="240" w:lineRule="auto"/>
              <w:jc w:val="right"/>
            </w:pPr>
            <w:r>
              <w:rPr>
                <w:rFonts w:ascii="Calibri" w:hAnsi="Calibri"/>
                <w:color w:val="1A1A1A"/>
                <w:sz w:val="15"/>
              </w:rPr>
              <w:t>yes</w:t>
            </w:r>
          </w:p>
        </w:tc>
        <w:tc>
          <w:tcPr>
            <w:tcW w:type="dxa" w:w="576"/>
            <w:tcBorders>
              <w:bottom w:val="single" w:sz="8" w:color="1A1A1A"/>
            </w:tcBorders>
          </w:tcPr>
          <w:p>
            <w:pPr>
              <w:spacing w:after="30" w:line="240" w:lineRule="auto"/>
              <w:jc w:val="right"/>
            </w:pPr>
            <w:r>
              <w:rPr>
                <w:rFonts w:ascii="Calibri" w:hAnsi="Calibri"/>
                <w:color w:val="1A1A1A"/>
                <w:sz w:val="15"/>
              </w:rPr>
              <w:t>yes</w:t>
            </w:r>
          </w:p>
        </w:tc>
        <w:tc>
          <w:tcPr>
            <w:tcW w:type="dxa" w:w="3110"/>
            <w:tcBorders>
              <w:bottom w:val="single" w:sz="8" w:color="1A1A1A"/>
            </w:tcBorders>
          </w:tcPr>
          <w:p>
            <w:pPr>
              <w:spacing w:after="30" w:line="240" w:lineRule="auto"/>
            </w:pPr>
            <w:r>
              <w:rPr>
                <w:rFonts w:ascii="Calibri" w:hAnsi="Calibri"/>
                <w:color w:val="636363"/>
                <w:sz w:val="15"/>
              </w:rPr>
              <w:t>none</w:t>
            </w:r>
          </w:p>
        </w:tc>
        <w:tc>
          <w:tcPr>
            <w:tcW w:type="dxa" w:w="950"/>
            <w:tcBorders>
              <w:bottom w:val="single" w:sz="8" w:color="1A1A1A"/>
            </w:tcBorders>
          </w:tcPr>
          <w:p>
            <w:pPr>
              <w:spacing w:after="30" w:line="240" w:lineRule="auto"/>
            </w:pPr>
            <w:r>
              <w:rPr>
                <w:rFonts w:ascii="Calibri" w:hAnsi="Calibri"/>
                <w:color w:val="636363"/>
                <w:sz w:val="15"/>
              </w:rPr>
              <w:t>—</w:t>
            </w:r>
          </w:p>
        </w:tc>
      </w:tr>
    </w:tbl>
    <w:p>
      <w:pPr>
        <w:spacing w:after="120" w:before="100" w:line="276" w:lineRule="auto"/>
      </w:pPr>
      <w:r>
        <w:rPr>
          <w:rFonts w:ascii="Calibri" w:hAnsi="Calibri"/>
          <w:b w:val="0"/>
          <w:i w:val="0"/>
          <w:color w:val="636363"/>
          <w:sz w:val="17"/>
        </w:rPr>
        <w:t>Totals:   35 dashboards (34 in-pipeline, 1 orphaned)   ·   3.55 MB working copy   ·   323 unique PMIDs   ·   nav / back-link / ARIA present on 34 of 34 in-pipeline</w:t>
      </w:r>
    </w:p>
    <w:p>
      <w:pPr>
        <w:spacing w:after="60" w:before="340" w:line="276" w:lineRule="auto"/>
        <w:pBdr>
          <w:bottom w:val="single" w:sz="6" w:space="4" w:color="1A1A1A"/>
        </w:pBdr>
      </w:pPr>
      <w:r>
        <w:rPr>
          <w:rFonts w:ascii="Georgia" w:hAnsi="Georgia"/>
          <w:b w:val="0"/>
          <w:i w:val="0"/>
          <w:color w:val="1A1A1A"/>
          <w:sz w:val="26"/>
        </w:rPr>
        <w:t>1 · Navigation &amp; UX consistency</w:t>
      </w:r>
    </w:p>
    <w:p>
      <w:pPr>
        <w:spacing w:after="120" w:before="0" w:line="276" w:lineRule="auto"/>
      </w:pPr>
      <w:r>
        <w:rPr>
          <w:rFonts w:ascii="Calibri" w:hAnsi="Calibri"/>
          <w:b w:val="0"/>
          <w:i w:val="0"/>
          <w:color w:val="1A1A1A"/>
          <w:sz w:val="20"/>
        </w:rPr>
        <w:t>Held. All 34 in-pipeline dashboards carry an identical navigation bar with 33 cross-links, a hub back-link to index.html, and 14–16 ARIA attributes. postprocess_dashboards.py running as the penultimate build stage continues to hold this state without drift. No regression from August 16.</w:t>
      </w:r>
    </w:p>
    <w:p>
      <w:pPr>
        <w:spacing w:after="120" w:before="0" w:line="276" w:lineRule="auto"/>
      </w:pPr>
      <w:r>
        <w:rPr>
          <w:rFonts w:ascii="Calibri" w:hAnsi="Calibri"/>
          <w:b w:val="0"/>
          <w:i w:val="0"/>
          <w:color w:val="1A1A1A"/>
          <w:sz w:val="20"/>
        </w:rPr>
        <w:t>Prediction_Ledger.html is the exception, and the diagnosis changed this week. Previously it was reported as a zero-byte stub. This run, build_prediction_ledger.py was executed directly: it completes in under a second and writes 21,872 bytes of valid HTML. The file was empty solely because the builder is absent from run_quality_improvements.py. The rebuilt file confirms the second-order cost — it has no navigation bar, no back-link, and a single ARIA attribute, because postprocess_dashboards.py only walks files the pipeline produced. Registering the builder fixes the emptiness, the navigation, the ARIA, the docs/ sync and the landing-page omission in one change.</w:t>
      </w:r>
    </w:p>
    <w:p>
      <w:pPr>
        <w:spacing w:after="120" w:before="0" w:line="276" w:lineRule="auto"/>
      </w:pPr>
      <w:r>
        <w:rPr>
          <w:rFonts w:ascii="Calibri" w:hAnsi="Calibri"/>
          <w:b w:val="0"/>
          <w:i w:val="0"/>
          <w:color w:val="1A1A1A"/>
          <w:sz w:val="20"/>
        </w:rPr>
        <w:t>Landing page. All 34 dashboard links in docs/index.html resolve against docs/Dashboards/. Prediction_Ledger.html is the only dashboard file with no landing-page entry.</w:t>
      </w:r>
    </w:p>
    <w:p>
      <w:pPr>
        <w:spacing w:after="120" w:before="0" w:line="276" w:lineRule="auto"/>
      </w:pPr>
      <w:r>
        <w:rPr>
          <w:rFonts w:ascii="Calibri" w:hAnsi="Calibri"/>
          <w:b w:val="0"/>
          <w:i w:val="0"/>
          <w:color w:val="1A1A1A"/>
          <w:sz w:val="20"/>
        </w:rPr>
        <w:t>Two non-HTML links still do not resolve (HIGH, carried). docs/index.html advertises Analysis/Results/literature_gap_report.md and Analysis/Results/pubmed_recent_summary.md as “Available.” No Analysis directory is published under docs/. Both are 404 on the live site today — verified by fetching the page and reading the two card links. Carried unchanged from August 16.</w:t>
      </w:r>
    </w:p>
    <w:p>
      <w:pPr>
        <w:spacing w:after="60" w:before="340" w:line="276" w:lineRule="auto"/>
        <w:pBdr>
          <w:bottom w:val="single" w:sz="6" w:space="4" w:color="1A1A1A"/>
        </w:pBdr>
      </w:pPr>
      <w:r>
        <w:rPr>
          <w:rFonts w:ascii="Georgia" w:hAnsi="Georgia"/>
          <w:b w:val="0"/>
          <w:i w:val="0"/>
          <w:color w:val="1A1A1A"/>
          <w:sz w:val="26"/>
        </w:rPr>
        <w:t>2 · Research validity &amp; citation completeness</w:t>
      </w:r>
    </w:p>
    <w:p>
      <w:pPr>
        <w:spacing w:after="120" w:before="0" w:line="276" w:lineRule="auto"/>
      </w:pPr>
      <w:r>
        <w:rPr>
          <w:rFonts w:ascii="Calibri" w:hAnsi="Calibri"/>
          <w:b w:val="0"/>
          <w:i w:val="0"/>
          <w:color w:val="1A1A1A"/>
          <w:sz w:val="20"/>
        </w:rPr>
        <w:t>323 unique PMIDs across the platform, up from 278. The citation validator scored 315 papers this run against 260 last week.</w:t>
      </w:r>
    </w:p>
    <w:p>
      <w:pPr>
        <w:spacing w:after="80" w:line="276" w:lineRule="auto"/>
        <w:ind w:left="259" w:hanging="187"/>
      </w:pPr>
      <w:r>
        <w:rPr>
          <w:rFonts w:ascii="Calibri" w:hAnsi="Calibri"/>
          <w:color w:val="636363"/>
          <w:sz w:val="19"/>
        </w:rPr>
        <w:t xml:space="preserve">— </w:t>
      </w:r>
      <w:r>
        <w:rPr>
          <w:rFonts w:ascii="Calibri" w:hAnsi="Calibri"/>
          <w:b/>
          <w:color w:val="1A1A1A"/>
          <w:sz w:val="19"/>
        </w:rPr>
        <w:t xml:space="preserve">Zero PMIDs (LOW, carried): </w:t>
      </w:r>
      <w:r>
        <w:rPr>
          <w:rFonts w:ascii="Calibri" w:hAnsi="Calibri"/>
          <w:color w:val="1A1A1A"/>
          <w:sz w:val="19"/>
        </w:rPr>
        <w:t>Acronym_Database and Methodology. Both are utility pages — a glossary and a methods description — that legitimately carry no primary citations. Recommend whitelisting rather than fixing.</w:t>
      </w:r>
    </w:p>
    <w:p>
      <w:pPr>
        <w:spacing w:after="80" w:line="276" w:lineRule="auto"/>
        <w:ind w:left="259" w:hanging="187"/>
      </w:pPr>
      <w:r>
        <w:rPr>
          <w:rFonts w:ascii="Calibri" w:hAnsi="Calibri"/>
          <w:color w:val="636363"/>
          <w:sz w:val="19"/>
        </w:rPr>
        <w:t xml:space="preserve">— </w:t>
      </w:r>
      <w:r>
        <w:rPr>
          <w:rFonts w:ascii="Calibri" w:hAnsi="Calibri"/>
          <w:b/>
          <w:color w:val="1A1A1A"/>
          <w:sz w:val="19"/>
        </w:rPr>
        <w:t xml:space="preserve">Low citation density (MEDIUM, carried): </w:t>
      </w:r>
      <w:r>
        <w:rPr>
          <w:rFonts w:ascii="Calibri" w:hAnsi="Calibri"/>
          <w:color w:val="1A1A1A"/>
          <w:sz w:val="19"/>
        </w:rPr>
        <w:t>Generic_Drug_Catalog and LADA_Prevalence, 2 unique PMIDs each. Unchanged across four cycles. Both make quantitative claims — 20 off-patent drugs with diabetes evidence, 8.8% LADA prevalence among adults diagnosed with T2D — that sit below the project’s own three-source floor.</w:t>
      </w:r>
    </w:p>
    <w:p>
      <w:pPr>
        <w:spacing w:after="80" w:line="276" w:lineRule="auto"/>
        <w:ind w:left="259" w:hanging="187"/>
      </w:pPr>
      <w:r>
        <w:rPr>
          <w:rFonts w:ascii="Calibri" w:hAnsi="Calibri"/>
          <w:color w:val="636363"/>
          <w:sz w:val="19"/>
        </w:rPr>
        <w:t xml:space="preserve">— </w:t>
      </w:r>
      <w:r>
        <w:rPr>
          <w:rFonts w:ascii="Calibri" w:hAnsi="Calibri"/>
          <w:b/>
          <w:color w:val="1A1A1A"/>
          <w:sz w:val="19"/>
        </w:rPr>
        <w:t xml:space="preserve">Malformed PubMed hrefs (MEDIUM, carried): </w:t>
      </w:r>
      <w:r>
        <w:rPr>
          <w:rFonts w:ascii="Calibri" w:hAnsi="Calibri"/>
          <w:color w:val="1A1A1A"/>
          <w:sz w:val="19"/>
        </w:rPr>
        <w:t>7 in Drug_Repurposing_Islet, unchanged. The file points pubmed.ncbi.nlm.nih.gov at an NCT identifier (NCT01319331) and at six free-text fragments — “Mechanistic” (×3), “Clinical”, “Emerging”, “BANDIT”. Every one is a dead link.</w:t>
      </w:r>
    </w:p>
    <w:p>
      <w:pPr>
        <w:spacing w:after="80" w:line="276" w:lineRule="auto"/>
        <w:ind w:left="259" w:hanging="187"/>
      </w:pPr>
      <w:r>
        <w:rPr>
          <w:rFonts w:ascii="Calibri" w:hAnsi="Calibri"/>
          <w:color w:val="636363"/>
          <w:sz w:val="19"/>
        </w:rPr>
        <w:t xml:space="preserve">— </w:t>
      </w:r>
      <w:r>
        <w:rPr>
          <w:rFonts w:ascii="Calibri" w:hAnsi="Calibri"/>
          <w:b/>
          <w:color w:val="1A1A1A"/>
          <w:sz w:val="19"/>
        </w:rPr>
        <w:t xml:space="preserve">Empty PubMed hrefs (MEDIUM, new): </w:t>
      </w:r>
      <w:r>
        <w:rPr>
          <w:rFonts w:ascii="Calibri" w:hAnsi="Calibri"/>
          <w:color w:val="1A1A1A"/>
          <w:sz w:val="19"/>
        </w:rPr>
        <w:t>3 anchors link to https://pubmed.ncbi.nlm.nih.gov/ with no identifier — 2 in Health_Equity, 1 in Methodology. They render as citation links and land on the PubMed home page. Not previously measured; likely present in earlier cycles.</w:t>
      </w:r>
    </w:p>
    <w:p>
      <w:pPr>
        <w:spacing w:after="80" w:line="276" w:lineRule="auto"/>
        <w:ind w:left="259" w:hanging="187"/>
      </w:pPr>
      <w:r>
        <w:rPr>
          <w:rFonts w:ascii="Calibri" w:hAnsi="Calibri"/>
          <w:color w:val="636363"/>
          <w:sz w:val="19"/>
        </w:rPr>
        <w:t xml:space="preserve">— </w:t>
      </w:r>
      <w:r>
        <w:rPr>
          <w:rFonts w:ascii="Calibri" w:hAnsi="Calibri"/>
          <w:b/>
          <w:color w:val="1A1A1A"/>
          <w:sz w:val="19"/>
        </w:rPr>
        <w:t xml:space="preserve">Unlinked PMID (LOW, new): </w:t>
      </w:r>
      <w:r>
        <w:rPr>
          <w:rFonts w:ascii="Calibri" w:hAnsi="Calibri"/>
          <w:color w:val="1A1A1A"/>
          <w:sz w:val="19"/>
        </w:rPr>
        <w:t>PMID 37359825 in Islet_Transplant_Analysis appears as plain text without an anchor. Cosmetic.</w:t>
      </w:r>
    </w:p>
    <w:p>
      <w:pPr>
        <w:spacing w:after="80" w:line="276" w:lineRule="auto"/>
        <w:ind w:left="259" w:hanging="187"/>
      </w:pPr>
      <w:r>
        <w:rPr>
          <w:rFonts w:ascii="Calibri" w:hAnsi="Calibri"/>
          <w:color w:val="636363"/>
          <w:sz w:val="19"/>
        </w:rPr>
        <w:t xml:space="preserve">— </w:t>
      </w:r>
      <w:r>
        <w:rPr>
          <w:rFonts w:ascii="Calibri" w:hAnsi="Calibri"/>
          <w:b/>
          <w:color w:val="1A1A1A"/>
          <w:sz w:val="19"/>
        </w:rPr>
        <w:t xml:space="preserve">Duplicate-as-different-study: </w:t>
      </w:r>
      <w:r>
        <w:rPr>
          <w:rFonts w:ascii="Calibri" w:hAnsi="Calibri"/>
          <w:color w:val="1A1A1A"/>
          <w:sz w:val="19"/>
        </w:rPr>
        <w:t>None found. Every repeated PMID inside Gap_Evidence, Paper_Library and Extracted_Evidence resolves to one study cited in multiple sections; the differing link text is formatting variance — “PMID:x” versus “[PMID:x]” versus a truncated title — not a citation collision. Checked by grouping every anchor href by identifier and comparing link text across all 35 files.</w:t>
      </w:r>
    </w:p>
    <w:p>
      <w:pPr>
        <w:spacing w:after="120" w:before="0" w:line="276" w:lineRule="auto"/>
      </w:pPr>
      <w:r>
        <w:rPr>
          <w:rFonts w:ascii="Calibri" w:hAnsi="Calibri"/>
          <w:b w:val="0"/>
          <w:i w:val="0"/>
          <w:color w:val="1A1A1A"/>
          <w:sz w:val="20"/>
        </w:rPr>
        <w:t>All PubMed links that carry a numeric identifier use the canonical https://pubmed.ncbi.nlm.nih.gov/{pmid}/ form. No alternate host, no legacy /pubmed/ path.</w:t>
      </w:r>
    </w:p>
    <w:p>
      <w:pPr>
        <w:spacing w:after="120" w:before="0" w:line="276" w:lineRule="auto"/>
      </w:pPr>
      <w:r>
        <w:rPr>
          <w:rFonts w:ascii="Calibri" w:hAnsi="Calibri"/>
          <w:b w:val="0"/>
          <w:i w:val="0"/>
          <w:color w:val="1A1A1A"/>
          <w:sz w:val="20"/>
        </w:rPr>
        <w:t>The phantom paper persists (MEDIUM, carried). The validator’s single MISMATCH remains PMID 12345678 — a sequential placeholder that resolves to an unrelated demography paper. One MISMATCH in 315 is a good rate, but this particular one is a test fixture that reached production.</w:t>
      </w:r>
    </w:p>
    <w:p>
      <w:pPr>
        <w:spacing w:after="120" w:before="0" w:line="276" w:lineRule="auto"/>
      </w:pPr>
      <w:r>
        <w:rPr>
          <w:rFonts w:ascii="Calibri" w:hAnsi="Calibri"/>
          <w:b w:val="0"/>
          <w:i w:val="0"/>
          <w:color w:val="1A1A1A"/>
          <w:sz w:val="20"/>
        </w:rPr>
        <w:t>Evidence strength improved materially. Of 315 validated papers: 74 CONFIRMED (23.5%), 63 PLAUSIBLE (20.0%), 137 WEAK (43.5%), 39 NO_CLAIM (12.4%), 1 MISMATCH, 1 NO_DATA. The WEAK share fell 8 points from 51.5%. Read that carefully: the corpus grew 21% while the weak fraction shrank, which means the papers added this cycle scored better than the existing average. That is the intended direction and the first time it has been observed.</w:t>
      </w:r>
    </w:p>
    <w:p>
      <w:pPr>
        <w:spacing w:after="60" w:before="340" w:line="276" w:lineRule="auto"/>
        <w:pBdr>
          <w:bottom w:val="single" w:sz="6" w:space="4" w:color="1A1A1A"/>
        </w:pBdr>
      </w:pPr>
      <w:r>
        <w:rPr>
          <w:rFonts w:ascii="Georgia" w:hAnsi="Georgia"/>
          <w:b w:val="0"/>
          <w:i w:val="0"/>
          <w:color w:val="1A1A1A"/>
          <w:sz w:val="26"/>
        </w:rPr>
        <w:t>3 · Build integrity</w:t>
      </w:r>
    </w:p>
    <w:p>
      <w:pPr>
        <w:spacing w:after="120" w:before="0" w:line="276" w:lineRule="auto"/>
      </w:pPr>
      <w:r>
        <w:rPr>
          <w:rFonts w:ascii="Calibri" w:hAnsi="Calibri"/>
          <w:b w:val="0"/>
          <w:i w:val="0"/>
          <w:color w:val="1A1A1A"/>
          <w:sz w:val="20"/>
        </w:rPr>
        <w:t>PASS — full execution, not compile-check. All 51 steps registered in run_quality_improvements.py ran to completion with exit code 0 and no tracebacks. The runner grew by 8 steps since August 16; the additions are citation-namespace gates, extractor wildcard auditing, path-store reconciliation and a live-site artifact assertion — all products of the August 20–23 daily iterations.</w:t>
      </w:r>
    </w:p>
    <w:p>
      <w:pPr>
        <w:spacing w:after="120" w:before="0" w:line="276" w:lineRule="auto"/>
      </w:pPr>
      <w:r>
        <w:rPr>
          <w:rFonts w:ascii="Calibri" w:hAnsi="Calibri"/>
          <w:b w:val="0"/>
          <w:i w:val="0"/>
          <w:color w:val="1A1A1A"/>
          <w:sz w:val="20"/>
        </w:rPr>
        <w:t>Five steps are gates rather than builders (mismatch gate, off-topic path gate, dose/label gate, identifier-namespace gate, adjudicated-artifact assertion). All five passed, meaning no unresolved citation mismatch, no off-topic external citation on a research path, and no adjudicated-artifact path live on the published site.</w:t>
      </w:r>
    </w:p>
    <w:p>
      <w:pPr>
        <w:spacing w:after="120" w:before="0" w:line="276" w:lineRule="auto"/>
      </w:pPr>
      <w:r>
        <w:rPr>
          <w:rFonts w:ascii="Calibri" w:hAnsi="Calibri"/>
          <w:b w:val="0"/>
          <w:i w:val="0"/>
          <w:color w:val="1A1A1A"/>
          <w:sz w:val="20"/>
        </w:rPr>
        <w:t>One builder is registered nowhere. build_prediction_ledger.py sits in Analysis/Scripts/ alongside the other builders and appears in no step list. It is the only orphaned builder found.</w:t>
      </w:r>
    </w:p>
    <w:p>
      <w:pPr>
        <w:spacing w:after="120" w:before="0" w:line="276" w:lineRule="auto"/>
      </w:pPr>
      <w:r>
        <w:rPr>
          <w:rFonts w:ascii="Calibri" w:hAnsi="Calibri"/>
          <w:b w:val="0"/>
          <w:i w:val="0"/>
          <w:color w:val="1A1A1A"/>
          <w:sz w:val="20"/>
        </w:rPr>
        <w:t>Size &amp; count: 3.55 MB across 35 files, flat against the 3.57 MB / 35-file August 16 baseline. The rebuilt Prediction_Ledger added 21 KB; net movement is otherwise noise.</w:t>
      </w:r>
    </w:p>
    <w:p>
      <w:pPr>
        <w:spacing w:after="120" w:before="0" w:line="276" w:lineRule="auto"/>
      </w:pPr>
      <w:r>
        <w:rPr>
          <w:rFonts w:ascii="Calibri" w:hAnsi="Calibri"/>
          <w:b w:val="0"/>
          <w:i w:val="0"/>
          <w:color w:val="1A1A1A"/>
          <w:sz w:val="20"/>
        </w:rPr>
        <w:t>Housekeeping: Dashboards/_quarantine/ still holds five files including a .bak, dated March 30 and untouched for five months. Analysis/Results/ carries roughly forty dated agent_state.json backups, though the working tree shows many now staged for deletion. Datasets/Clinical_Trials/ is empty — trial snapshots actually live in Analysis/Results/, which is worth reconciling.</w:t>
      </w:r>
    </w:p>
    <w:p>
      <w:pPr>
        <w:spacing w:after="60" w:before="340" w:line="276" w:lineRule="auto"/>
        <w:pBdr>
          <w:bottom w:val="single" w:sz="6" w:space="4" w:color="1A1A1A"/>
        </w:pBdr>
      </w:pPr>
      <w:r>
        <w:rPr>
          <w:rFonts w:ascii="Georgia" w:hAnsi="Georgia"/>
          <w:b w:val="0"/>
          <w:i w:val="0"/>
          <w:color w:val="1A1A1A"/>
          <w:sz w:val="26"/>
        </w:rPr>
        <w:t>4 · Content freshness</w:t>
      </w:r>
    </w:p>
    <w:p>
      <w:pPr>
        <w:spacing w:after="120" w:before="0" w:line="276" w:lineRule="auto"/>
      </w:pPr>
      <w:r>
        <w:rPr>
          <w:rFonts w:ascii="Calibri" w:hAnsi="Calibri"/>
          <w:b w:val="0"/>
          <w:i w:val="0"/>
          <w:color w:val="1A1A1A"/>
          <w:sz w:val="20"/>
        </w:rPr>
        <w:t>The live site is four months behind (HIGH, carried and worsening). bottumj.github.io was fetched and read this run. Its footer reads “Last updated: 2026-04-19.” It headlines 767 clinical trials; the working copy holds 858. It describes a 226-paper library against the current 315-paper corpus, 202 indexed papers in Corpus_Analysis, and 100 dictionary terms against 117. Eighty-eight commits are unpushed, up from 79. Local docs/index.html correctly reads 2026-08-23 — the mirror is right, the remote is stale, and only a push separates them.</w:t>
      </w:r>
    </w:p>
    <w:p>
      <w:pPr>
        <w:spacing w:after="120" w:before="0" w:line="276" w:lineRule="auto"/>
      </w:pPr>
      <w:r>
        <w:rPr>
          <w:rFonts w:ascii="Calibri" w:hAnsi="Calibri"/>
          <w:b w:val="0"/>
          <w:i w:val="0"/>
          <w:color w:val="1A1A1A"/>
          <w:sz w:val="20"/>
        </w:rPr>
        <w:t>Landing card copy has drifted from the builds it describes (MEDIUM, carried). Even in the current local docs/index.html, several card statistics are hardcoded in rebuild_website.py rather than interpolated from build output, so they understate the platform the moment a builder’s numbers change. The 858-trial headline is interpolated correctly and should be the pattern for the rest.</w:t>
      </w:r>
    </w:p>
    <w:p>
      <w:pPr>
        <w:spacing w:after="120" w:before="0" w:line="276" w:lineRule="auto"/>
      </w:pPr>
      <w:r>
        <w:rPr>
          <w:rFonts w:ascii="Calibri" w:hAnsi="Calibri"/>
          <w:b w:val="0"/>
          <w:i w:val="0"/>
          <w:color w:val="1A1A1A"/>
          <w:sz w:val="20"/>
        </w:rPr>
        <w:t>Trial data 37 days old (MEDIUM, worsened). The most recent snapshot is clinical_trials_snapshot_2026-07-17.json. Daily snapshots run continuously from 2026-03-15 through 2026-07-17 and then stop. clinical_trials_latest.json still reports 858 studies, so dashboards are consistent with each other — they are simply consistent with a five-week-old view of ClinicalTrials.gov.</w:t>
      </w:r>
    </w:p>
    <w:p>
      <w:pPr>
        <w:spacing w:after="120" w:before="0" w:line="276" w:lineRule="auto"/>
      </w:pPr>
      <w:r>
        <w:rPr>
          <w:rFonts w:ascii="Calibri" w:hAnsi="Calibri"/>
          <w:b w:val="0"/>
          <w:i w:val="0"/>
          <w:color w:val="1A1A1A"/>
          <w:sz w:val="20"/>
        </w:rPr>
        <w:t>The “746” premise remains retired. No dashboard displays 746 as a trial count. Every remaining occurrence is an SVG grid coordinate or a substring of an NCT identifier (NCT04061746). The number to watch is 858 locally against 767 live.</w:t>
      </w:r>
    </w:p>
    <w:p>
      <w:pPr>
        <w:spacing w:after="120" w:before="0" w:line="276" w:lineRule="auto"/>
      </w:pPr>
      <w:r>
        <w:rPr>
          <w:rFonts w:ascii="Calibri" w:hAnsi="Calibri"/>
          <w:b w:val="0"/>
          <w:i w:val="0"/>
          <w:color w:val="1A1A1A"/>
          <w:sz w:val="20"/>
        </w:rPr>
        <w:t>The landing page’s “In Progress &amp; Upcoming” section still carries three items — Multi-Omics Biomarker Integration, Pressure Test: LADA Model + Trial Mapper, and a completed BRONZE-to-SILVER Gap Promotion. Neither in-progress item has a date, so nothing is formally overdue, but the completed item has been sitting under “Upcoming” for at least three cycles and belongs in the record of finished work.</w:t>
      </w:r>
    </w:p>
    <w:p>
      <w:pPr>
        <w:spacing w:after="60" w:before="340" w:line="276" w:lineRule="auto"/>
        <w:pBdr>
          <w:bottom w:val="single" w:sz="6" w:space="4" w:color="1A1A1A"/>
        </w:pBdr>
      </w:pPr>
      <w:r>
        <w:rPr>
          <w:rFonts w:ascii="Georgia" w:hAnsi="Georgia"/>
          <w:b w:val="0"/>
          <w:i w:val="0"/>
          <w:color w:val="1A1A1A"/>
          <w:sz w:val="26"/>
        </w:rPr>
        <w:t>5 · Accessibility &amp; inclusivity</w:t>
      </w:r>
    </w:p>
    <w:p>
      <w:pPr>
        <w:spacing w:after="120" w:before="0" w:line="276" w:lineRule="auto"/>
      </w:pPr>
      <w:r>
        <w:rPr>
          <w:rFonts w:ascii="Calibri" w:hAnsi="Calibri"/>
          <w:b w:val="0"/>
          <w:i w:val="0"/>
          <w:color w:val="1A1A1A"/>
          <w:sz w:val="20"/>
        </w:rPr>
        <w:t>ARIA holds. All 34 in-pipeline dashboards carry aria-* or role markup, typically 14–16 attributes per file. Prediction_Ledger carries one, for the reason given in section 1.</w:t>
      </w:r>
    </w:p>
    <w:p>
      <w:pPr>
        <w:spacing w:after="120" w:before="0" w:line="276" w:lineRule="auto"/>
      </w:pPr>
      <w:r>
        <w:rPr>
          <w:rFonts w:ascii="Calibri" w:hAnsi="Calibri"/>
          <w:b w:val="0"/>
          <w:i w:val="0"/>
          <w:color w:val="1A1A1A"/>
          <w:sz w:val="20"/>
        </w:rPr>
        <w:t>Body contrast passes AA; footer contrast does not (MEDIUM, carried). The palette defines three text colors on the #fafaf7 background:</w:t>
      </w:r>
    </w:p>
    <w:tbl>
      <w:tblPr>
        <w:tblStyle w:val="TableGrid"/>
        <w:tblW w:type="dxa" w:w="7272"/>
        <w:jc w:val="left"/>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1800"/>
        <w:gridCol w:w="1440"/>
        <w:gridCol w:w="2088"/>
        <w:gridCol w:w="1944"/>
      </w:tblGrid>
      <w:tr>
        <w:tc>
          <w:tcPr>
            <w:tcW w:type="dxa" w:w="1800"/>
            <w:tcBorders>
              <w:bottom w:val="single" w:sz="8" w:color="1A1A1A"/>
            </w:tcBorders>
          </w:tcPr>
          <w:p>
            <w:pPr>
              <w:spacing w:after="40" w:line="240" w:lineRule="auto"/>
            </w:pPr>
            <w:r>
              <w:rPr>
                <w:rFonts w:ascii="Calibri" w:hAnsi="Calibri"/>
                <w:b/>
                <w:color w:val="1A1A1A"/>
                <w:sz w:val="17"/>
              </w:rPr>
              <w:t>Token</w:t>
            </w:r>
          </w:p>
        </w:tc>
        <w:tc>
          <w:tcPr>
            <w:tcW w:type="dxa" w:w="1440"/>
            <w:tcBorders>
              <w:bottom w:val="single" w:sz="8" w:color="1A1A1A"/>
            </w:tcBorders>
          </w:tcPr>
          <w:p>
            <w:pPr>
              <w:spacing w:after="40" w:line="240" w:lineRule="auto"/>
            </w:pPr>
            <w:r>
              <w:rPr>
                <w:rFonts w:ascii="Calibri" w:hAnsi="Calibri"/>
                <w:b/>
                <w:color w:val="1A1A1A"/>
                <w:sz w:val="17"/>
              </w:rPr>
              <w:t>Hex</w:t>
            </w:r>
          </w:p>
        </w:tc>
        <w:tc>
          <w:tcPr>
            <w:tcW w:type="dxa" w:w="2088"/>
            <w:tcBorders>
              <w:bottom w:val="single" w:sz="8" w:color="1A1A1A"/>
            </w:tcBorders>
          </w:tcPr>
          <w:p>
            <w:pPr>
              <w:spacing w:after="40" w:line="240" w:lineRule="auto"/>
            </w:pPr>
            <w:r>
              <w:rPr>
                <w:rFonts w:ascii="Calibri" w:hAnsi="Calibri"/>
                <w:b/>
                <w:color w:val="1A1A1A"/>
                <w:sz w:val="17"/>
              </w:rPr>
              <w:t>Contrast on #fafaf7</w:t>
            </w:r>
          </w:p>
        </w:tc>
        <w:tc>
          <w:tcPr>
            <w:tcW w:type="dxa" w:w="1944"/>
            <w:tcBorders>
              <w:bottom w:val="single" w:sz="8" w:color="1A1A1A"/>
            </w:tcBorders>
          </w:tcPr>
          <w:p>
            <w:pPr>
              <w:spacing w:after="40" w:line="240" w:lineRule="auto"/>
            </w:pPr>
            <w:r>
              <w:rPr>
                <w:rFonts w:ascii="Calibri" w:hAnsi="Calibri"/>
                <w:b/>
                <w:color w:val="1A1A1A"/>
                <w:sz w:val="17"/>
              </w:rPr>
              <w:t>WCAG</w:t>
            </w:r>
          </w:p>
        </w:tc>
      </w:tr>
      <w:tr>
        <w:tc>
          <w:tcPr>
            <w:tcW w:type="dxa" w:w="1800"/>
          </w:tcPr>
          <w:p>
            <w:pPr>
              <w:spacing w:after="30" w:line="240" w:lineRule="auto"/>
            </w:pPr>
            <w:r>
              <w:rPr>
                <w:rFonts w:ascii="Calibri" w:hAnsi="Calibri"/>
                <w:color w:val="1A1A1A"/>
                <w:sz w:val="17"/>
              </w:rPr>
              <w:t>--text</w:t>
            </w:r>
          </w:p>
        </w:tc>
        <w:tc>
          <w:tcPr>
            <w:tcW w:type="dxa" w:w="1440"/>
          </w:tcPr>
          <w:p>
            <w:pPr>
              <w:spacing w:after="30" w:line="240" w:lineRule="auto"/>
            </w:pPr>
            <w:r>
              <w:rPr>
                <w:rFonts w:ascii="Calibri" w:hAnsi="Calibri"/>
                <w:color w:val="1A1A1A"/>
                <w:sz w:val="17"/>
              </w:rPr>
              <w:t>#1A1A1A</w:t>
            </w:r>
          </w:p>
        </w:tc>
        <w:tc>
          <w:tcPr>
            <w:tcW w:type="dxa" w:w="2088"/>
          </w:tcPr>
          <w:p>
            <w:pPr>
              <w:spacing w:after="30" w:line="240" w:lineRule="auto"/>
            </w:pPr>
            <w:r>
              <w:rPr>
                <w:rFonts w:ascii="Calibri" w:hAnsi="Calibri"/>
                <w:color w:val="1A1A1A"/>
                <w:sz w:val="17"/>
              </w:rPr>
              <w:t>16.64 : 1</w:t>
            </w:r>
          </w:p>
        </w:tc>
        <w:tc>
          <w:tcPr>
            <w:tcW w:type="dxa" w:w="1944"/>
          </w:tcPr>
          <w:p>
            <w:pPr>
              <w:spacing w:after="30" w:line="240" w:lineRule="auto"/>
            </w:pPr>
            <w:r>
              <w:rPr>
                <w:rFonts w:ascii="Calibri" w:hAnsi="Calibri"/>
                <w:color w:val="2D7D46"/>
                <w:sz w:val="17"/>
              </w:rPr>
              <w:t>passes AAA</w:t>
            </w:r>
          </w:p>
        </w:tc>
      </w:tr>
      <w:tr>
        <w:tc>
          <w:tcPr>
            <w:tcW w:type="dxa" w:w="1800"/>
          </w:tcPr>
          <w:p>
            <w:pPr>
              <w:spacing w:after="30" w:line="240" w:lineRule="auto"/>
            </w:pPr>
            <w:r>
              <w:rPr>
                <w:rFonts w:ascii="Calibri" w:hAnsi="Calibri"/>
                <w:color w:val="1A1A1A"/>
                <w:sz w:val="17"/>
              </w:rPr>
              <w:t>--muted</w:t>
            </w:r>
          </w:p>
        </w:tc>
        <w:tc>
          <w:tcPr>
            <w:tcW w:type="dxa" w:w="1440"/>
          </w:tcPr>
          <w:p>
            <w:pPr>
              <w:spacing w:after="30" w:line="240" w:lineRule="auto"/>
            </w:pPr>
            <w:r>
              <w:rPr>
                <w:rFonts w:ascii="Calibri" w:hAnsi="Calibri"/>
                <w:color w:val="1A1A1A"/>
                <w:sz w:val="17"/>
              </w:rPr>
              <w:t>#636363</w:t>
            </w:r>
          </w:p>
        </w:tc>
        <w:tc>
          <w:tcPr>
            <w:tcW w:type="dxa" w:w="2088"/>
          </w:tcPr>
          <w:p>
            <w:pPr>
              <w:spacing w:after="30" w:line="240" w:lineRule="auto"/>
            </w:pPr>
            <w:r>
              <w:rPr>
                <w:rFonts w:ascii="Calibri" w:hAnsi="Calibri"/>
                <w:color w:val="1A1A1A"/>
                <w:sz w:val="17"/>
              </w:rPr>
              <w:t>5.75 : 1</w:t>
            </w:r>
          </w:p>
        </w:tc>
        <w:tc>
          <w:tcPr>
            <w:tcW w:type="dxa" w:w="1944"/>
          </w:tcPr>
          <w:p>
            <w:pPr>
              <w:spacing w:after="30" w:line="240" w:lineRule="auto"/>
            </w:pPr>
            <w:r>
              <w:rPr>
                <w:rFonts w:ascii="Calibri" w:hAnsi="Calibri"/>
                <w:color w:val="2D7D46"/>
                <w:sz w:val="17"/>
              </w:rPr>
              <w:t>passes AA</w:t>
            </w:r>
          </w:p>
        </w:tc>
      </w:tr>
      <w:tr>
        <w:tc>
          <w:tcPr>
            <w:tcW w:type="dxa" w:w="1800"/>
            <w:tcBorders>
              <w:bottom w:val="single" w:sz="8" w:color="1A1A1A"/>
            </w:tcBorders>
          </w:tcPr>
          <w:p>
            <w:pPr>
              <w:spacing w:after="30" w:line="240" w:lineRule="auto"/>
            </w:pPr>
            <w:r>
              <w:rPr>
                <w:rFonts w:ascii="Calibri" w:hAnsi="Calibri"/>
                <w:color w:val="1A1A1A"/>
                <w:sz w:val="17"/>
              </w:rPr>
              <w:t>--light</w:t>
            </w:r>
          </w:p>
        </w:tc>
        <w:tc>
          <w:tcPr>
            <w:tcW w:type="dxa" w:w="1440"/>
            <w:tcBorders>
              <w:bottom w:val="single" w:sz="8" w:color="1A1A1A"/>
            </w:tcBorders>
          </w:tcPr>
          <w:p>
            <w:pPr>
              <w:spacing w:after="30" w:line="240" w:lineRule="auto"/>
            </w:pPr>
            <w:r>
              <w:rPr>
                <w:rFonts w:ascii="Calibri" w:hAnsi="Calibri"/>
                <w:color w:val="1A1A1A"/>
                <w:sz w:val="17"/>
              </w:rPr>
              <w:t>#999999</w:t>
            </w:r>
          </w:p>
        </w:tc>
        <w:tc>
          <w:tcPr>
            <w:tcW w:type="dxa" w:w="2088"/>
            <w:tcBorders>
              <w:bottom w:val="single" w:sz="8" w:color="1A1A1A"/>
            </w:tcBorders>
          </w:tcPr>
          <w:p>
            <w:pPr>
              <w:spacing w:after="30" w:line="240" w:lineRule="auto"/>
            </w:pPr>
            <w:r>
              <w:rPr>
                <w:rFonts w:ascii="Calibri" w:hAnsi="Calibri"/>
                <w:color w:val="1A1A1A"/>
                <w:sz w:val="17"/>
              </w:rPr>
              <w:t>3.30 : 1</w:t>
            </w:r>
          </w:p>
        </w:tc>
        <w:tc>
          <w:tcPr>
            <w:tcW w:type="dxa" w:w="1944"/>
            <w:tcBorders>
              <w:bottom w:val="single" w:sz="8" w:color="1A1A1A"/>
            </w:tcBorders>
          </w:tcPr>
          <w:p>
            <w:pPr>
              <w:spacing w:after="30" w:line="240" w:lineRule="auto"/>
            </w:pPr>
            <w:r>
              <w:rPr>
                <w:rFonts w:ascii="Calibri" w:hAnsi="Calibri"/>
                <w:color w:val="A03030"/>
                <w:sz w:val="17"/>
              </w:rPr>
              <w:t>fails AA (4.5:1)</w:t>
            </w:r>
          </w:p>
        </w:tc>
      </w:tr>
    </w:tbl>
    <w:p>
      <w:pPr>
        <w:spacing w:after="120" w:before="100" w:line="276" w:lineRule="auto"/>
      </w:pPr>
      <w:r>
        <w:rPr>
          <w:rFonts w:ascii="Calibri" w:hAnsi="Calibri"/>
          <w:b w:val="0"/>
          <w:i w:val="0"/>
          <w:color w:val="1A1A1A"/>
          <w:sz w:val="20"/>
        </w:rPr>
        <w:t>--light is used in index.html and four dashboards for footer text, upcoming-status labels and flow arrows. At 3.30:1 it fails WCAG AA for normal text (4.5:1). Darkening to #5A5A5A reaches 6.60:1 and preserves the visual hierarchy against --muted. One-token change in rebuild_website.py.</w:t>
      </w:r>
    </w:p>
    <w:p>
      <w:pPr>
        <w:spacing w:after="120" w:before="0" w:line="276" w:lineRule="auto"/>
      </w:pPr>
      <w:r>
        <w:rPr>
          <w:rFonts w:ascii="Calibri" w:hAnsi="Calibri"/>
          <w:b w:val="0"/>
          <w:i w:val="0"/>
          <w:color w:val="1A1A1A"/>
          <w:sz w:val="20"/>
        </w:rPr>
        <w:t>Tables use header markup. Every dashboard containing a &lt;table&gt; uses &lt;th&gt; header cells — 30 files, 121 tables, no header-less data table found. Five dashboards contain no tables at all. Every dashboard declares a document language on &lt;html&gt;.</w:t>
      </w:r>
    </w:p>
    <w:p>
      <w:pPr>
        <w:spacing w:after="60" w:before="340" w:line="276" w:lineRule="auto"/>
        <w:pBdr>
          <w:bottom w:val="single" w:sz="6" w:space="4" w:color="1A1A1A"/>
        </w:pBdr>
      </w:pPr>
      <w:r>
        <w:rPr>
          <w:rFonts w:ascii="Georgia" w:hAnsi="Georgia"/>
          <w:b w:val="0"/>
          <w:i w:val="0"/>
          <w:color w:val="1A1A1A"/>
          <w:sz w:val="26"/>
        </w:rPr>
        <w:t>6 · Collaboration infrastructure</w:t>
      </w:r>
    </w:p>
    <w:p>
      <w:pPr>
        <w:spacing w:after="80" w:line="276" w:lineRule="auto"/>
        <w:ind w:left="259" w:hanging="187"/>
      </w:pPr>
      <w:r>
        <w:rPr>
          <w:rFonts w:ascii="Calibri" w:hAnsi="Calibri"/>
          <w:color w:val="636363"/>
          <w:sz w:val="19"/>
        </w:rPr>
        <w:t xml:space="preserve">— </w:t>
      </w:r>
      <w:r>
        <w:rPr>
          <w:rFonts w:ascii="Calibri" w:hAnsi="Calibri"/>
          <w:b/>
          <w:color w:val="1A1A1A"/>
          <w:sz w:val="19"/>
        </w:rPr>
        <w:t xml:space="preserve">CONTRIBUTING.md — </w:t>
      </w:r>
      <w:r>
        <w:rPr>
          <w:rFonts w:ascii="Calibri" w:hAnsi="Calibri"/>
          <w:color w:val="1A1A1A"/>
          <w:sz w:val="19"/>
        </w:rPr>
        <w:t>present, repo root. Documents data-error, new-gap and add-citation workflows and states an explicit source standard: every quantitative claim cites a PMID, DOI or URL, and the GOLD/SILVER/BRONZE tiers are defined in contributor-facing language.</w:t>
      </w:r>
    </w:p>
    <w:p>
      <w:pPr>
        <w:spacing w:after="80" w:line="276" w:lineRule="auto"/>
        <w:ind w:left="259" w:hanging="187"/>
      </w:pPr>
      <w:r>
        <w:rPr>
          <w:rFonts w:ascii="Calibri" w:hAnsi="Calibri"/>
          <w:color w:val="636363"/>
          <w:sz w:val="19"/>
        </w:rPr>
        <w:t xml:space="preserve">— </w:t>
      </w:r>
      <w:r>
        <w:rPr>
          <w:rFonts w:ascii="Calibri" w:hAnsi="Calibri"/>
          <w:b/>
          <w:color w:val="1A1A1A"/>
          <w:sz w:val="19"/>
        </w:rPr>
        <w:t xml:space="preserve">Citation format — </w:t>
      </w:r>
      <w:r>
        <w:rPr>
          <w:rFonts w:ascii="Calibri" w:hAnsi="Calibri"/>
          <w:color w:val="1A1A1A"/>
          <w:sz w:val="19"/>
        </w:rPr>
        <w:t>present, not machine-readable (LOW, carried). CONTRIBUTING.md carries both an APA block and a BibTeX entry with the OSF registration in a note field. There is still no CITATION.cff, so GitHub cannot render a “Cite this repository” button and Zenodo cannot ingest metadata automatically.</w:t>
      </w:r>
    </w:p>
    <w:p>
      <w:pPr>
        <w:spacing w:after="80" w:line="276" w:lineRule="auto"/>
        <w:ind w:left="259" w:hanging="187"/>
      </w:pPr>
      <w:r>
        <w:rPr>
          <w:rFonts w:ascii="Calibri" w:hAnsi="Calibri"/>
          <w:color w:val="636363"/>
          <w:sz w:val="19"/>
        </w:rPr>
        <w:t xml:space="preserve">— </w:t>
      </w:r>
      <w:r>
        <w:rPr>
          <w:rFonts w:ascii="Calibri" w:hAnsi="Calibri"/>
          <w:b/>
          <w:color w:val="1A1A1A"/>
          <w:sz w:val="19"/>
        </w:rPr>
        <w:t xml:space="preserve">Issue templates — </w:t>
      </w:r>
      <w:r>
        <w:rPr>
          <w:rFonts w:ascii="Calibri" w:hAnsi="Calibri"/>
          <w:color w:val="1A1A1A"/>
          <w:sz w:val="19"/>
        </w:rPr>
        <w:t>4 present (LOW, carried). bug_report, data_error, feature_request and new_gap under .github/ISSUE_TEMPLATE/. Still no config.yml, so the chooser is unconfigured and blank issues remain enabled.</w:t>
      </w:r>
    </w:p>
    <w:p>
      <w:pPr>
        <w:spacing w:after="60" w:before="340" w:line="276" w:lineRule="auto"/>
        <w:pBdr>
          <w:bottom w:val="single" w:sz="6" w:space="4" w:color="1A1A1A"/>
        </w:pBdr>
      </w:pPr>
      <w:r>
        <w:rPr>
          <w:rFonts w:ascii="Georgia" w:hAnsi="Georgia"/>
          <w:b w:val="0"/>
          <w:i w:val="0"/>
          <w:color w:val="1A1A1A"/>
          <w:sz w:val="26"/>
        </w:rPr>
        <w:t>Priority action items</w:t>
      </w:r>
    </w:p>
    <w:p>
      <w:pPr>
        <w:spacing w:after="80" w:before="240" w:line="276" w:lineRule="auto"/>
      </w:pPr>
      <w:r>
        <w:rPr>
          <w:rFonts w:ascii="Georgia" w:hAnsi="Georgia"/>
          <w:b w:val="0"/>
          <w:i w:val="0"/>
          <w:color w:val="1A1A1A"/>
          <w:sz w:val="22"/>
        </w:rPr>
        <w:t>HIGH</w:t>
      </w:r>
    </w:p>
    <w:p>
      <w:pPr>
        <w:spacing w:after="90" w:line="276" w:lineRule="auto"/>
        <w:ind w:left="302" w:hanging="302"/>
      </w:pPr>
      <w:r>
        <w:rPr>
          <w:rFonts w:ascii="Calibri" w:hAnsi="Calibri"/>
          <w:b/>
          <w:sz w:val="19"/>
        </w:rPr>
        <w:t xml:space="preserve">1.  </w:t>
      </w:r>
      <w:r>
        <w:rPr>
          <w:rFonts w:ascii="Calibri" w:hAnsi="Calibri"/>
          <w:color w:val="1A1A1A"/>
          <w:sz w:val="19"/>
        </w:rPr>
        <w:t>Push. Authenticate git locally and push the 88 pending commits. Four months of work — 51 clean pipeline steps, a corpus grown to 315 papers, a WEAK share down 8 points — is invisible to every reader until this happens. It has been the top item for four consecutive audits.</w:t>
      </w:r>
    </w:p>
    <w:p>
      <w:pPr>
        <w:spacing w:after="90" w:line="276" w:lineRule="auto"/>
        <w:ind w:left="302" w:hanging="302"/>
      </w:pPr>
      <w:r>
        <w:rPr>
          <w:rFonts w:ascii="Calibri" w:hAnsi="Calibri"/>
          <w:b/>
          <w:sz w:val="19"/>
        </w:rPr>
        <w:t xml:space="preserve">2.  </w:t>
      </w:r>
      <w:r>
        <w:rPr>
          <w:rFonts w:ascii="Calibri" w:hAnsi="Calibri"/>
          <w:color w:val="1A1A1A"/>
          <w:sz w:val="19"/>
        </w:rPr>
        <w:t>Register build_prediction_ledger.py in run_quality_improvements.py, ahead of the postprocess step. This single change fills the empty file, gives it navigation, back-link and ARIA, syncs it into docs/, and makes it eligible for a landing-page card. If the ledger is not wanted, delete the stub and the builder instead — but do one or the other.</w:t>
      </w:r>
    </w:p>
    <w:p>
      <w:pPr>
        <w:spacing w:after="90" w:line="276" w:lineRule="auto"/>
        <w:ind w:left="302" w:hanging="302"/>
      </w:pPr>
      <w:r>
        <w:rPr>
          <w:rFonts w:ascii="Calibri" w:hAnsi="Calibri"/>
          <w:b/>
          <w:sz w:val="19"/>
        </w:rPr>
        <w:t xml:space="preserve">3.  </w:t>
      </w:r>
      <w:r>
        <w:rPr>
          <w:rFonts w:ascii="Calibri" w:hAnsi="Calibri"/>
          <w:color w:val="1A1A1A"/>
          <w:sz w:val="19"/>
        </w:rPr>
        <w:t>Publish or unlink the two Markdown reports. docs/index.html advertises literature_gap_report.md and pubmed_recent_summary.md as Available; neither exists under docs/, and both are live 404s today. Either copy Analysis/Results/ into the published tree or remove the two cards.</w:t>
      </w:r>
    </w:p>
    <w:p>
      <w:pPr>
        <w:spacing w:after="80" w:before="240" w:line="276" w:lineRule="auto"/>
      </w:pPr>
      <w:r>
        <w:rPr>
          <w:rFonts w:ascii="Georgia" w:hAnsi="Georgia"/>
          <w:b w:val="0"/>
          <w:i w:val="0"/>
          <w:color w:val="1A1A1A"/>
          <w:sz w:val="22"/>
        </w:rPr>
        <w:t>MEDIUM</w:t>
      </w:r>
    </w:p>
    <w:p>
      <w:pPr>
        <w:spacing w:after="90" w:line="276" w:lineRule="auto"/>
        <w:ind w:left="302" w:hanging="302"/>
      </w:pPr>
      <w:r>
        <w:rPr>
          <w:rFonts w:ascii="Calibri" w:hAnsi="Calibri"/>
          <w:b/>
          <w:sz w:val="19"/>
        </w:rPr>
        <w:t xml:space="preserve">1.  </w:t>
      </w:r>
      <w:r>
        <w:rPr>
          <w:rFonts w:ascii="Calibri" w:hAnsi="Calibri"/>
          <w:color w:val="1A1A1A"/>
          <w:sz w:val="19"/>
        </w:rPr>
        <w:t>Restart the ClinicalTrials.gov daily pull. Snapshots stop at 2026-07-17; the corpus is 37 days old and the gap grows every day it stays unattended.</w:t>
      </w:r>
    </w:p>
    <w:p>
      <w:pPr>
        <w:spacing w:after="90" w:line="276" w:lineRule="auto"/>
        <w:ind w:left="302" w:hanging="302"/>
      </w:pPr>
      <w:r>
        <w:rPr>
          <w:rFonts w:ascii="Calibri" w:hAnsi="Calibri"/>
          <w:b/>
          <w:sz w:val="19"/>
        </w:rPr>
        <w:t xml:space="preserve">2.  </w:t>
      </w:r>
      <w:r>
        <w:rPr>
          <w:rFonts w:ascii="Calibri" w:hAnsi="Calibri"/>
          <w:color w:val="1A1A1A"/>
          <w:sz w:val="19"/>
        </w:rPr>
        <w:t>Repair the 10 broken PubMed hrefs — 7 malformed in Drug_Repurposing_Islet, 3 empty across Health_Equity and Methodology. Add a build-time assertion that every pubmed.ncbi.nlm.nih.gov href ends in a numeric identifier; that gate would have caught all ten and will prevent recurrence.</w:t>
      </w:r>
    </w:p>
    <w:p>
      <w:pPr>
        <w:spacing w:after="90" w:line="276" w:lineRule="auto"/>
        <w:ind w:left="302" w:hanging="302"/>
      </w:pPr>
      <w:r>
        <w:rPr>
          <w:rFonts w:ascii="Calibri" w:hAnsi="Calibri"/>
          <w:b/>
          <w:sz w:val="19"/>
        </w:rPr>
        <w:t xml:space="preserve">3.  </w:t>
      </w:r>
      <w:r>
        <w:rPr>
          <w:rFonts w:ascii="Calibri" w:hAnsi="Calibri"/>
          <w:color w:val="1A1A1A"/>
          <w:sz w:val="19"/>
        </w:rPr>
        <w:t>Purge PMID 12345678 from the corpus and add a placeholder-identifier check to the validator. A test fixture reaching production is a process defect, not a data defect.</w:t>
      </w:r>
    </w:p>
    <w:p>
      <w:pPr>
        <w:spacing w:after="90" w:line="276" w:lineRule="auto"/>
        <w:ind w:left="302" w:hanging="302"/>
      </w:pPr>
      <w:r>
        <w:rPr>
          <w:rFonts w:ascii="Calibri" w:hAnsi="Calibri"/>
          <w:b/>
          <w:sz w:val="19"/>
        </w:rPr>
        <w:t xml:space="preserve">4.  </w:t>
      </w:r>
      <w:r>
        <w:rPr>
          <w:rFonts w:ascii="Calibri" w:hAnsi="Calibri"/>
          <w:color w:val="1A1A1A"/>
          <w:sz w:val="19"/>
        </w:rPr>
        <w:t>Darken --light from #999999 to #5A5A5A. 3.30:1 fails WCAG AA; #5A5A5A reaches 6.60:1. Affects footer, upcoming-status labels and flow arrows across index.html and four dashboards.</w:t>
      </w:r>
    </w:p>
    <w:p>
      <w:pPr>
        <w:spacing w:after="90" w:line="276" w:lineRule="auto"/>
        <w:ind w:left="302" w:hanging="302"/>
      </w:pPr>
      <w:r>
        <w:rPr>
          <w:rFonts w:ascii="Calibri" w:hAnsi="Calibri"/>
          <w:b/>
          <w:sz w:val="19"/>
        </w:rPr>
        <w:t xml:space="preserve">5.  </w:t>
      </w:r>
      <w:r>
        <w:rPr>
          <w:rFonts w:ascii="Calibri" w:hAnsi="Calibri"/>
          <w:color w:val="1A1A1A"/>
          <w:sz w:val="19"/>
        </w:rPr>
        <w:t>Strengthen Generic_Drug_Catalog and LADA_Prevalence. 2 unique PMIDs each, below the project’s own three-source floor, carried four cycles.</w:t>
      </w:r>
    </w:p>
    <w:p>
      <w:pPr>
        <w:spacing w:after="80" w:before="240" w:line="276" w:lineRule="auto"/>
      </w:pPr>
      <w:r>
        <w:rPr>
          <w:rFonts w:ascii="Georgia" w:hAnsi="Georgia"/>
          <w:b w:val="0"/>
          <w:i w:val="0"/>
          <w:color w:val="1A1A1A"/>
          <w:sz w:val="22"/>
        </w:rPr>
        <w:t>LOW</w:t>
      </w:r>
    </w:p>
    <w:p>
      <w:pPr>
        <w:spacing w:after="90" w:line="276" w:lineRule="auto"/>
        <w:ind w:left="302" w:hanging="302"/>
      </w:pPr>
      <w:r>
        <w:rPr>
          <w:rFonts w:ascii="Calibri" w:hAnsi="Calibri"/>
          <w:b/>
          <w:sz w:val="19"/>
        </w:rPr>
        <w:t xml:space="preserve">1.  </w:t>
      </w:r>
      <w:r>
        <w:rPr>
          <w:rFonts w:ascii="Calibri" w:hAnsi="Calibri"/>
          <w:color w:val="1A1A1A"/>
          <w:sz w:val="19"/>
        </w:rPr>
        <w:t>Add CITATION.cff and .github/ISSUE_TEMPLATE/config.yml. Two small files that make the project machine-citable and the issue chooser deliberate.</w:t>
      </w:r>
    </w:p>
    <w:p>
      <w:pPr>
        <w:spacing w:after="90" w:line="276" w:lineRule="auto"/>
        <w:ind w:left="302" w:hanging="302"/>
      </w:pPr>
      <w:r>
        <w:rPr>
          <w:rFonts w:ascii="Calibri" w:hAnsi="Calibri"/>
          <w:b/>
          <w:sz w:val="19"/>
        </w:rPr>
        <w:t xml:space="preserve">2.  </w:t>
      </w:r>
      <w:r>
        <w:rPr>
          <w:rFonts w:ascii="Calibri" w:hAnsi="Calibri"/>
          <w:color w:val="1A1A1A"/>
          <w:sz w:val="19"/>
        </w:rPr>
        <w:t>Whitelist Acronym_Database and Methodology from the zero-PMID rule. Both are utility pages. The rule flags them every week and will keep doing so.</w:t>
      </w:r>
    </w:p>
    <w:p>
      <w:pPr>
        <w:spacing w:after="90" w:line="276" w:lineRule="auto"/>
        <w:ind w:left="302" w:hanging="302"/>
      </w:pPr>
      <w:r>
        <w:rPr>
          <w:rFonts w:ascii="Calibri" w:hAnsi="Calibri"/>
          <w:b/>
          <w:sz w:val="19"/>
        </w:rPr>
        <w:t xml:space="preserve">3.  </w:t>
      </w:r>
      <w:r>
        <w:rPr>
          <w:rFonts w:ascii="Calibri" w:hAnsi="Calibri"/>
          <w:color w:val="1A1A1A"/>
          <w:sz w:val="19"/>
        </w:rPr>
        <w:t>Prune Dashboards/_quarantine/, reconcile the empty Datasets/Clinical_Trials/ against the snapshots actually living in Analysis/Results/, and finish the agent_state.json backup deletion already staged in the working tree.</w:t>
      </w:r>
    </w:p>
    <w:p>
      <w:pPr>
        <w:spacing w:after="120" w:before="280" w:line="276" w:lineRule="auto"/>
        <w:pBdr>
          <w:top w:val="single" w:sz="4" w:space="4" w:color="999999"/>
        </w:pBdr>
      </w:pPr>
      <w:r>
        <w:rPr>
          <w:rFonts w:ascii="Calibri" w:hAnsi="Calibri"/>
          <w:b w:val="0"/>
          <w:i/>
          <w:color w:val="636363"/>
          <w:sz w:val="16"/>
        </w:rPr>
        <w:t>Method: all file-level figures measured directly against the working copy at C:\Users\justi\OneDrive\Diabetes_Research on 2026-08-23, cross-checked with grep and independent Python parsing. The full 51-step pipeline was executed, not compile-checked. build_prediction_ledger.py was executed separately to diagnose the empty-file finding; that execution wrote Dashboards/Prediction_Ledger.html, which is why the docs/ mirror shows one stale file this run. Contrast ratios computed per the WCAG 2.1 relative-luminance formula. Live-site claims verified by fetching bottumj.github.io/diabetes-research-hub and reading the rendered page. Prior-cycle figures read from Platform_Audit_Report_2026-08-16.docx.</w:t>
      </w:r>
    </w:p>
    <w:sectPr w:rsidR="00FC693F" w:rsidRPr="0006063C" w:rsidSect="00034616">
      <w:pgSz w:w="12240" w:h="15840"/>
      <w:pgMar w:top="1080" w:right="1260" w:bottom="108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