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a1a1a"/>
          <w:sz w:val="44"/>
          <w:szCs w:val="44"/>
        </w:rPr>
        <w:t xml:space="preserve">DIABETES RESEARCH HUB</w:t>
      </w:r>
    </w:p>
    <w:p>
      <w:pPr>
        <w:spacing w:after="100"/>
        <w:jc w:val="center"/>
      </w:pPr>
      <w:r>
        <w:rPr>
          <w:rFonts w:ascii="Arial" w:cs="Arial" w:eastAsia="Arial" w:hAnsi="Arial"/>
          <w:color w:val="2c5f8a"/>
          <w:sz w:val="32"/>
          <w:szCs w:val="32"/>
        </w:rPr>
        <w:t xml:space="preserve">Platform Audit Report</w:t>
      </w:r>
    </w:p>
    <w:p>
      <w:pPr>
        <w:spacing w:after="400"/>
        <w:jc w:val="center"/>
      </w:pPr>
      <w:r>
        <w:rPr>
          <w:rFonts w:ascii="Arial" w:cs="Arial" w:eastAsia="Arial" w:hAnsi="Arial"/>
          <w:i/>
          <w:iCs/>
          <w:color w:val="636363"/>
          <w:sz w:val="22"/>
          <w:szCs w:val="22"/>
        </w:rPr>
        <w:t xml:space="preserve">Comprehensive Review: UX, Research Validity, and Next Steps</w:t>
      </w:r>
    </w:p>
    <w:p>
      <w:pPr>
        <w:spacing w:after="100"/>
        <w:jc w:val="center"/>
      </w:pPr>
      <w:r>
        <w:rPr>
          <w:rFonts w:ascii="Arial" w:cs="Arial" w:eastAsia="Arial" w:hAnsi="Arial"/>
          <w:sz w:val="22"/>
          <w:szCs w:val="22"/>
        </w:rPr>
        <w:t xml:space="preserve">March 16, 2026</w:t>
      </w:r>
    </w:p>
    <w:p>
      <w:pPr>
        <w:spacing w:after="100"/>
        <w:jc w:val="center"/>
      </w:pPr>
      <w:r>
        <w:rPr>
          <w:rFonts w:ascii="Arial" w:cs="Arial" w:eastAsia="Arial" w:hAnsi="Arial"/>
          <w:sz w:val="22"/>
          <w:szCs w:val="22"/>
        </w:rPr>
        <w:t xml:space="preserve">Prepared for Justin Bottum</w:t>
      </w:r>
    </w:p>
    <w:p>
      <w:pPr>
        <w:jc w:val="center"/>
      </w:pPr>
      <w:r>
        <w:rPr>
          <w:rFonts w:ascii="Arial" w:cs="Arial" w:eastAsia="Arial" w:hAnsi="Arial"/>
          <w:color w:val="2c5f8a"/>
          <w:sz w:val="20"/>
          <w:szCs w:val="20"/>
        </w:rPr>
        <w:t xml:space="preserve">https://bottumj.github.io/diabetes-research-hub/</w:t>
      </w:r>
    </w:p>
    <w:p>
      <w:r>
        <w:br w:type="page"/>
      </w:r>
    </w:p>
    <w:p>
      <w:pPr>
        <w:pStyle w:val="Heading1"/>
        <w:spacing w:after="150" w:before="300"/>
      </w:pPr>
      <w:r>
        <w:rPr>
          <w:rFonts w:ascii="Arial" w:cs="Arial" w:eastAsia="Arial" w:hAnsi="Arial"/>
        </w:rPr>
        <w:t xml:space="preserve">Executive Summary</w:t>
      </w:r>
    </w:p>
    <w:p>
      <w:pPr>
        <w:spacing w:after="120"/>
      </w:pPr>
      <w:r>
        <w:rPr>
          <w:rFonts w:ascii="Arial" w:cs="Arial" w:eastAsia="Arial" w:hAnsi="Arial"/>
          <w:sz w:val="22"/>
          <w:szCs w:val="22"/>
        </w:rPr>
        <w:t xml:space="preserve">This audit evaluates the Diabetes Research Hub across four dimensions: user experience and navigation, research completeness and validity, inclusivity and accessibility, and recommended next steps. The review was conducted by navigating the live GitHub Pages site and examining all 21 dashboard HTML files, 24 Python generation scripts, and the landing page.</w:t>
      </w:r>
    </w:p>
    <w:p>
      <w:pPr>
        <w:spacing w:after="120"/>
      </w:pPr>
      <w:r>
        <w:rPr>
          <w:rFonts w:ascii="Arial" w:cs="Arial" w:eastAsia="Arial" w:hAnsi="Arial"/>
          <w:i/>
          <w:iCs/>
          <w:sz w:val="22"/>
          <w:szCs w:val="22"/>
        </w:rPr>
        <w:t xml:space="preserve">Overall assessment: The platform is an impressive open-source research synthesis effort with 24 automated scripts generating 1.8 MB of interactive, peer-cited content across all 15 identified research gaps. However, the rapid build pace has created consistency gaps that should be addressed before the platform is shared widely with collaborators or research institutions.</w:t>
      </w:r>
    </w:p>
    <w:p>
      <w:pPr>
        <w:pStyle w:val="Heading2"/>
        <w:spacing w:after="150" w:before="300"/>
      </w:pPr>
      <w:r>
        <w:rPr>
          <w:rFonts w:ascii="Arial" w:cs="Arial" w:eastAsia="Arial" w:hAnsi="Arial"/>
        </w:rPr>
        <w:t xml:space="preserve">Key Metrics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1"/>
              <w:left w:val="single" w:color="CCCCCC" w:sz="1"/>
              <w:bottom w:val="single" w:color="CCCCCC" w:sz="1"/>
              <w:right w:val="single" w:color="CCCCCC" w:sz="1"/>
            </w:tcBorders>
            <w:shd w:fill="F0F0EC" w:val="clear"/>
            <w:tcMar>
              <w:top w:type="dxa" w:w="60"/>
              <w:left w:type="dxa" w:w="100"/>
              <w:bottom w:type="dxa" w:w="60"/>
              <w:right w:type="dxa" w:w="100"/>
            </w:tcMar>
          </w:tcPr>
          <w:p>
            <w:pPr>
              <w:jc w:val="left"/>
            </w:pPr>
            <w:r>
              <w:rPr>
                <w:rFonts w:ascii="Arial" w:cs="Arial" w:eastAsia="Arial" w:hAnsi="Arial"/>
                <w:b/>
                <w:bCs/>
                <w:sz w:val="20"/>
                <w:szCs w:val="20"/>
              </w:rPr>
              <w:t xml:space="preserve">Total dashboards</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21 (16 gap-specific + 5 reference)</w:t>
            </w:r>
          </w:p>
        </w:tc>
      </w:tr>
      <w:tr>
        <w:tc>
          <w:tcPr>
            <w:tcW w:type="dxa" w:w="5040"/>
            <w:tcBorders>
              <w:top w:val="single" w:color="CCCCCC" w:sz="1"/>
              <w:left w:val="single" w:color="CCCCCC" w:sz="1"/>
              <w:bottom w:val="single" w:color="CCCCCC" w:sz="1"/>
              <w:right w:val="single" w:color="CCCCCC" w:sz="1"/>
            </w:tcBorders>
            <w:shd w:fill="F0F0EC" w:val="clear"/>
            <w:tcMar>
              <w:top w:type="dxa" w:w="60"/>
              <w:left w:type="dxa" w:w="100"/>
              <w:bottom w:type="dxa" w:w="60"/>
              <w:right w:type="dxa" w:w="100"/>
            </w:tcMar>
          </w:tcPr>
          <w:p>
            <w:pPr>
              <w:jc w:val="left"/>
            </w:pPr>
            <w:r>
              <w:rPr>
                <w:rFonts w:ascii="Arial" w:cs="Arial" w:eastAsia="Arial" w:hAnsi="Arial"/>
                <w:b/>
                <w:bCs/>
                <w:sz w:val="20"/>
                <w:szCs w:val="20"/>
              </w:rPr>
              <w:t xml:space="preserve">Python scripts</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24 (all pass clean)</w:t>
            </w:r>
          </w:p>
        </w:tc>
      </w:tr>
      <w:tr>
        <w:tc>
          <w:tcPr>
            <w:tcW w:type="dxa" w:w="5040"/>
            <w:tcBorders>
              <w:top w:val="single" w:color="CCCCCC" w:sz="1"/>
              <w:left w:val="single" w:color="CCCCCC" w:sz="1"/>
              <w:bottom w:val="single" w:color="CCCCCC" w:sz="1"/>
              <w:right w:val="single" w:color="CCCCCC" w:sz="1"/>
            </w:tcBorders>
            <w:shd w:fill="F0F0EC" w:val="clear"/>
            <w:tcMar>
              <w:top w:type="dxa" w:w="60"/>
              <w:left w:type="dxa" w:w="100"/>
              <w:bottom w:type="dxa" w:w="60"/>
              <w:right w:type="dxa" w:w="100"/>
            </w:tcMar>
          </w:tcPr>
          <w:p>
            <w:pPr>
              <w:jc w:val="left"/>
            </w:pPr>
            <w:r>
              <w:rPr>
                <w:rFonts w:ascii="Arial" w:cs="Arial" w:eastAsia="Arial" w:hAnsi="Arial"/>
                <w:b/>
                <w:bCs/>
                <w:sz w:val="20"/>
                <w:szCs w:val="20"/>
              </w:rPr>
              <w:t xml:space="preserve">Total output size</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~1.8 MB HTML</w:t>
            </w:r>
          </w:p>
        </w:tc>
      </w:tr>
      <w:tr>
        <w:tc>
          <w:tcPr>
            <w:tcW w:type="dxa" w:w="5040"/>
            <w:tcBorders>
              <w:top w:val="single" w:color="CCCCCC" w:sz="1"/>
              <w:left w:val="single" w:color="CCCCCC" w:sz="1"/>
              <w:bottom w:val="single" w:color="CCCCCC" w:sz="1"/>
              <w:right w:val="single" w:color="CCCCCC" w:sz="1"/>
            </w:tcBorders>
            <w:shd w:fill="F0F0EC" w:val="clear"/>
            <w:tcMar>
              <w:top w:type="dxa" w:w="60"/>
              <w:left w:type="dxa" w:w="100"/>
              <w:bottom w:type="dxa" w:w="60"/>
              <w:right w:type="dxa" w:w="100"/>
            </w:tcMar>
          </w:tcPr>
          <w:p>
            <w:pPr>
              <w:jc w:val="left"/>
            </w:pPr>
            <w:r>
              <w:rPr>
                <w:rFonts w:ascii="Arial" w:cs="Arial" w:eastAsia="Arial" w:hAnsi="Arial"/>
                <w:b/>
                <w:bCs/>
                <w:sz w:val="20"/>
                <w:szCs w:val="20"/>
              </w:rPr>
              <w:t xml:space="preserve">PMIDs cited</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~150+ unique across all dashboards</w:t>
            </w:r>
          </w:p>
        </w:tc>
      </w:tr>
      <w:tr>
        <w:tc>
          <w:tcPr>
            <w:tcW w:type="dxa" w:w="5040"/>
            <w:tcBorders>
              <w:top w:val="single" w:color="CCCCCC" w:sz="1"/>
              <w:left w:val="single" w:color="CCCCCC" w:sz="1"/>
              <w:bottom w:val="single" w:color="CCCCCC" w:sz="1"/>
              <w:right w:val="single" w:color="CCCCCC" w:sz="1"/>
            </w:tcBorders>
            <w:shd w:fill="F0F0EC" w:val="clear"/>
            <w:tcMar>
              <w:top w:type="dxa" w:w="60"/>
              <w:left w:type="dxa" w:w="100"/>
              <w:bottom w:type="dxa" w:w="60"/>
              <w:right w:type="dxa" w:w="100"/>
            </w:tcMar>
          </w:tcPr>
          <w:p>
            <w:pPr>
              <w:jc w:val="left"/>
            </w:pPr>
            <w:r>
              <w:rPr>
                <w:rFonts w:ascii="Arial" w:cs="Arial" w:eastAsia="Arial" w:hAnsi="Arial"/>
                <w:b/>
                <w:bCs/>
                <w:sz w:val="20"/>
                <w:szCs w:val="20"/>
              </w:rPr>
              <w:t xml:space="preserve">Gaps covered</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15 of 15 (2 GOLD, 7 SILVER, 5 BRONZE, 1 UNDER REVIEW)</w:t>
            </w:r>
          </w:p>
        </w:tc>
      </w:tr>
      <w:tr>
        <w:tc>
          <w:tcPr>
            <w:tcW w:type="dxa" w:w="5040"/>
            <w:tcBorders>
              <w:top w:val="single" w:color="CCCCCC" w:sz="1"/>
              <w:left w:val="single" w:color="CCCCCC" w:sz="1"/>
              <w:bottom w:val="single" w:color="CCCCCC" w:sz="1"/>
              <w:right w:val="single" w:color="CCCCCC" w:sz="1"/>
            </w:tcBorders>
            <w:shd w:fill="F0F0EC" w:val="clear"/>
            <w:tcMar>
              <w:top w:type="dxa" w:w="60"/>
              <w:left w:type="dxa" w:w="100"/>
              <w:bottom w:type="dxa" w:w="60"/>
              <w:right w:type="dxa" w:w="100"/>
            </w:tcMar>
          </w:tcPr>
          <w:p>
            <w:pPr>
              <w:jc w:val="left"/>
            </w:pPr>
            <w:r>
              <w:rPr>
                <w:rFonts w:ascii="Arial" w:cs="Arial" w:eastAsia="Arial" w:hAnsi="Arial"/>
                <w:b/>
                <w:bCs/>
                <w:sz w:val="20"/>
                <w:szCs w:val="20"/>
              </w:rPr>
              <w:t xml:space="preserve">Research domains</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35 mapped</w:t>
            </w:r>
          </w:p>
        </w:tc>
      </w:tr>
    </w:tbl>
    <w:p>
      <w:r>
        <w:br w:type="page"/>
      </w:r>
    </w:p>
    <w:p>
      <w:pPr>
        <w:pStyle w:val="Heading1"/>
        <w:spacing w:after="150" w:before="300"/>
      </w:pPr>
      <w:r>
        <w:rPr>
          <w:rFonts w:ascii="Arial" w:cs="Arial" w:eastAsia="Arial" w:hAnsi="Arial"/>
        </w:rPr>
        <w:t xml:space="preserve">Part 1: User Experience and Navigation</w:t>
      </w:r>
    </w:p>
    <w:p>
      <w:pPr>
        <w:pStyle w:val="Heading2"/>
        <w:spacing w:after="150" w:before="300"/>
      </w:pPr>
      <w:r>
        <w:rPr>
          <w:rFonts w:ascii="Arial" w:cs="Arial" w:eastAsia="Arial" w:hAnsi="Arial"/>
        </w:rPr>
        <w:t xml:space="preserve">Landing Page (index.html)</w:t>
      </w:r>
    </w:p>
    <w:p>
      <w:pPr>
        <w:spacing w:after="120"/>
      </w:pPr>
      <w:r>
        <w:rPr>
          <w:rFonts w:ascii="Arial" w:cs="Arial" w:eastAsia="Arial" w:hAnsi="Arial"/>
          <w:b/>
          <w:bCs/>
          <w:sz w:val="22"/>
          <w:szCs w:val="22"/>
        </w:rPr>
        <w:t xml:space="preserve">Strengths:</w:t>
      </w:r>
    </w:p>
    <w:p>
      <w:pPr>
        <w:pStyle w:val="ListParagraph"/>
        <w:numPr>
          <w:ilvl w:val="0"/>
          <w:numId w:val="2"/>
        </w:numPr>
        <w:spacing w:after="80"/>
      </w:pPr>
      <w:r>
        <w:rPr>
          <w:rFonts w:ascii="Arial" w:cs="Arial" w:eastAsia="Arial" w:hAnsi="Arial"/>
          <w:sz w:val="22"/>
          <w:szCs w:val="22"/>
        </w:rPr>
        <w:t xml:space="preserve">Clean Tufte design with cream background, Georgia serif headers, and professional typography</w:t>
      </w:r>
    </w:p>
    <w:p>
      <w:pPr>
        <w:pStyle w:val="ListParagraph"/>
        <w:numPr>
          <w:ilvl w:val="0"/>
          <w:numId w:val="2"/>
        </w:numPr>
        <w:spacing w:after="80"/>
      </w:pPr>
      <w:r>
        <w:rPr>
          <w:rFonts w:ascii="Arial" w:cs="Arial" w:eastAsia="Arial" w:hAnsi="Arial"/>
          <w:sz w:val="22"/>
          <w:szCs w:val="22"/>
        </w:rPr>
        <w:t xml:space="preserve">Key stats visible immediately (746 trials, 35 domains, 435 pairs, 15 alerts)</w:t>
      </w:r>
    </w:p>
    <w:p>
      <w:pPr>
        <w:pStyle w:val="ListParagraph"/>
        <w:numPr>
          <w:ilvl w:val="0"/>
          <w:numId w:val="2"/>
        </w:numPr>
        <w:spacing w:after="80"/>
      </w:pPr>
      <w:r>
        <w:rPr>
          <w:rFonts w:ascii="Arial" w:cs="Arial" w:eastAsia="Arial" w:hAnsi="Arial"/>
          <w:sz w:val="22"/>
          <w:szCs w:val="22"/>
        </w:rPr>
        <w:t xml:space="preserve">Clear methodology section explaining PRODUCE &gt; VALIDATE &gt; PUBLISH &gt; CONNECT pipeline</w:t>
      </w:r>
    </w:p>
    <w:p>
      <w:pPr>
        <w:pStyle w:val="ListParagraph"/>
        <w:numPr>
          <w:ilvl w:val="0"/>
          <w:numId w:val="2"/>
        </w:numPr>
        <w:spacing w:after="80"/>
      </w:pPr>
      <w:r>
        <w:rPr>
          <w:rFonts w:ascii="Arial" w:cs="Arial" w:eastAsia="Arial" w:hAnsi="Arial"/>
          <w:sz w:val="22"/>
          <w:szCs w:val="22"/>
        </w:rPr>
        <w:t xml:space="preserve">Dual licensing clearly stated (MIT code, CC-BY 4.0 content)</w:t>
      </w:r>
    </w:p>
    <w:p>
      <w:pPr>
        <w:pStyle w:val="ListParagraph"/>
        <w:numPr>
          <w:ilvl w:val="0"/>
          <w:numId w:val="2"/>
        </w:numPr>
        <w:spacing w:after="80"/>
      </w:pPr>
      <w:r>
        <w:rPr>
          <w:rFonts w:ascii="Arial" w:cs="Arial" w:eastAsia="Arial" w:hAnsi="Arial"/>
          <w:sz w:val="22"/>
          <w:szCs w:val="22"/>
        </w:rPr>
        <w:t xml:space="preserve">GitHub and OSF links prominent in both nav and footer</w:t>
      </w:r>
    </w:p>
    <w:p>
      <w:pPr>
        <w:pStyle w:val="ListParagraph"/>
        <w:numPr>
          <w:ilvl w:val="0"/>
          <w:numId w:val="2"/>
        </w:numPr>
        <w:spacing w:after="80"/>
      </w:pPr>
      <w:r>
        <w:rPr>
          <w:rFonts w:ascii="Arial" w:cs="Arial" w:eastAsia="Arial" w:hAnsi="Arial"/>
          <w:sz w:val="22"/>
          <w:szCs w:val="22"/>
        </w:rPr>
        <w:t xml:space="preserve">35 research domain tags give immediate scope visibility</w:t>
      </w:r>
    </w:p>
    <w:p>
      <w:pPr>
        <w:spacing w:after="120"/>
      </w:pPr>
      <w:r>
        <w:rPr>
          <w:rFonts w:ascii="Arial" w:cs="Arial" w:eastAsia="Arial" w:hAnsi="Arial"/>
          <w:b/>
          <w:bCs/>
          <w:color w:val="8b2500"/>
          <w:sz w:val="22"/>
          <w:szCs w:val="22"/>
        </w:rPr>
        <w:t xml:space="preserve">Issues Found:</w:t>
      </w:r>
    </w:p>
    <w:p>
      <w:pPr>
        <w:pStyle w:val="ListParagraph"/>
        <w:numPr>
          <w:ilvl w:val="0"/>
          <w:numId w:val="2"/>
        </w:numPr>
        <w:spacing w:after="80"/>
      </w:pPr>
      <w:r>
        <w:rPr>
          <w:rFonts w:ascii="Arial" w:cs="Arial" w:eastAsia="Arial" w:hAnsi="Arial"/>
          <w:sz w:val="22"/>
          <w:szCs w:val="22"/>
        </w:rPr>
        <w:t xml:space="preserve">CRITICAL: 14 of 21 dashboards have NO back-link to the hub landing page. A researcher who lands on a dashboard via search has no way to discover the rest of the platform.</w:t>
      </w:r>
    </w:p>
    <w:p>
      <w:pPr>
        <w:pStyle w:val="ListParagraph"/>
        <w:numPr>
          <w:ilvl w:val="0"/>
          <w:numId w:val="2"/>
        </w:numPr>
        <w:spacing w:after="80"/>
      </w:pPr>
      <w:r>
        <w:rPr>
          <w:rFonts w:ascii="Arial" w:cs="Arial" w:eastAsia="Arial" w:hAnsi="Arial"/>
          <w:sz w:val="22"/>
          <w:szCs w:val="22"/>
        </w:rPr>
        <w:t xml:space="preserve">CRITICAL: 13 of 21 dashboards have NO navigation bar. Only the 7 original dashboards (built in earlier sessions) include the cross-linking nav with Research, Trials, Gaps, Synthesis, Equity, Dictionary, Acronyms links.</w:t>
      </w:r>
    </w:p>
    <w:p>
      <w:pPr>
        <w:pStyle w:val="ListParagraph"/>
        <w:numPr>
          <w:ilvl w:val="0"/>
          <w:numId w:val="2"/>
        </w:numPr>
        <w:spacing w:after="80"/>
      </w:pPr>
      <w:r>
        <w:rPr>
          <w:rFonts w:ascii="Arial" w:cs="Arial" w:eastAsia="Arial" w:hAnsi="Arial"/>
          <w:sz w:val="22"/>
          <w:szCs w:val="22"/>
        </w:rPr>
        <w:t xml:space="preserve">The 21 dashboard cards on the landing page are in chronological build order, not logical research order. A researcher would benefit from grouping by tier (GOLD &gt; SILVER &gt; BRONZE) or by theme (LADA cluster, Islet cluster, Drug cluster, etc.).</w:t>
      </w:r>
    </w:p>
    <w:p>
      <w:pPr>
        <w:pStyle w:val="ListParagraph"/>
        <w:numPr>
          <w:ilvl w:val="0"/>
          <w:numId w:val="2"/>
        </w:numPr>
        <w:spacing w:after="80"/>
      </w:pPr>
      <w:r>
        <w:rPr>
          <w:rFonts w:ascii="Arial" w:cs="Arial" w:eastAsia="Arial" w:hAnsi="Arial"/>
          <w:sz w:val="22"/>
          <w:szCs w:val="22"/>
        </w:rPr>
        <w:t xml:space="preserve">No search functionality on the landing page. With 21+ dashboards, finding specific content requires scrolling.</w:t>
      </w:r>
    </w:p>
    <w:p>
      <w:pPr>
        <w:pStyle w:val="ListParagraph"/>
        <w:numPr>
          <w:ilvl w:val="0"/>
          <w:numId w:val="2"/>
        </w:numPr>
        <w:spacing w:after="80"/>
      </w:pPr>
      <w:r>
        <w:rPr>
          <w:rFonts w:ascii="Arial" w:cs="Arial" w:eastAsia="Arial" w:hAnsi="Arial"/>
          <w:sz w:val="22"/>
          <w:szCs w:val="22"/>
        </w:rPr>
        <w:t xml:space="preserve">The two 'upcoming' cards (Multi-Omics, Drug Repurposing Screen) should be visually separated or moved below available dashboards to avoid confusion.</w:t>
      </w:r>
    </w:p>
    <w:p>
      <w:pPr>
        <w:pStyle w:val="ListParagraph"/>
        <w:numPr>
          <w:ilvl w:val="0"/>
          <w:numId w:val="2"/>
        </w:numPr>
        <w:spacing w:after="80"/>
      </w:pPr>
      <w:r>
        <w:rPr>
          <w:rFonts w:ascii="Arial" w:cs="Arial" w:eastAsia="Arial" w:hAnsi="Arial"/>
          <w:sz w:val="22"/>
          <w:szCs w:val="22"/>
        </w:rPr>
        <w:t xml:space="preserve">Literature Gap Analysis and Publication Monitor link to raw .md files, not formatted HTML dashboards. These render as plain text on GitHub Pages.</w:t>
      </w:r>
    </w:p>
    <w:p>
      <w:pPr>
        <w:pStyle w:val="Heading2"/>
        <w:spacing w:after="150" w:before="300"/>
      </w:pPr>
      <w:r>
        <w:rPr>
          <w:rFonts w:ascii="Arial" w:cs="Arial" w:eastAsia="Arial" w:hAnsi="Arial"/>
        </w:rPr>
        <w:t xml:space="preserve">Cross-Dashboard Navigation</w:t>
      </w:r>
    </w:p>
    <w:p>
      <w:pPr>
        <w:spacing w:after="120"/>
      </w:pPr>
      <w:r>
        <w:rPr>
          <w:rFonts w:ascii="Arial" w:cs="Arial" w:eastAsia="Arial" w:hAnsi="Arial"/>
          <w:sz w:val="22"/>
          <w:szCs w:val="22"/>
        </w:rPr>
        <w:t xml:space="preserve">The 7 dashboards from earlier sessions include a consistent nav bar:</w:t>
      </w:r>
    </w:p>
    <w:p>
      <w:pPr>
        <w:pStyle w:val="ListParagraph"/>
        <w:numPr>
          <w:ilvl w:val="0"/>
          <w:numId w:val="2"/>
        </w:numPr>
        <w:spacing w:after="80"/>
      </w:pPr>
      <w:r>
        <w:rPr>
          <w:rFonts w:ascii="Arial" w:cs="Arial" w:eastAsia="Arial" w:hAnsi="Arial"/>
          <w:sz w:val="22"/>
          <w:szCs w:val="22"/>
        </w:rPr>
        <w:t xml:space="preserve">Back to hub link, Research, Trials, Gaps, Synthesis, Equity, Dictionary, Acronyms</w:t>
      </w:r>
    </w:p>
    <w:p>
      <w:pPr>
        <w:spacing w:after="120"/>
      </w:pPr>
      <w:r>
        <w:rPr>
          <w:rFonts w:ascii="Arial" w:cs="Arial" w:eastAsia="Arial" w:hAnsi="Arial"/>
          <w:sz w:val="22"/>
          <w:szCs w:val="22"/>
        </w:rPr>
        <w:t xml:space="preserve">The 14 dashboards built in this session lack this nav bar entirely. This creates a fractured experience where some dashboards feel connected and others feel orphaned.</w:t>
      </w:r>
    </w:p>
    <w:p>
      <w:pPr>
        <w:spacing w:after="120"/>
      </w:pPr>
      <w:r>
        <w:rPr>
          <w:rFonts w:ascii="Arial" w:cs="Arial" w:eastAsia="Arial" w:hAnsi="Arial"/>
          <w:b/>
          <w:bCs/>
          <w:sz w:val="22"/>
          <w:szCs w:val="22"/>
        </w:rPr>
        <w:t xml:space="preserve">Recommendation: Add a standardized nav bar to ALL dashboards. Include: Hub home, and at minimum 3-4 key cross-links. This is the single highest-impact UX fix.</w:t>
      </w:r>
    </w:p>
    <w:p>
      <w:pPr>
        <w:pStyle w:val="Heading2"/>
        <w:spacing w:after="150" w:before="300"/>
      </w:pPr>
      <w:r>
        <w:rPr>
          <w:rFonts w:ascii="Arial" w:cs="Arial" w:eastAsia="Arial" w:hAnsi="Arial"/>
        </w:rPr>
        <w:t xml:space="preserve">Mobile Responsiveness</w:t>
      </w:r>
    </w:p>
    <w:p>
      <w:pPr>
        <w:spacing w:after="120"/>
      </w:pPr>
      <w:r>
        <w:rPr>
          <w:rFonts w:ascii="Arial" w:cs="Arial" w:eastAsia="Arial" w:hAnsi="Arial"/>
          <w:sz w:val="22"/>
          <w:szCs w:val="22"/>
        </w:rPr>
        <w:t xml:space="preserve">The landing page includes media queries for screens under 700px (cards switch to single column). However, individual dashboards vary in mobile support. The older dashboards have responsive grids; several newer ones use fixed-width containers that may not adapt well on mobile.</w:t>
      </w:r>
    </w:p>
    <w:p>
      <w:r>
        <w:br w:type="page"/>
      </w:r>
    </w:p>
    <w:p>
      <w:pPr>
        <w:pStyle w:val="Heading1"/>
        <w:spacing w:after="150" w:before="300"/>
      </w:pPr>
      <w:r>
        <w:rPr>
          <w:rFonts w:ascii="Arial" w:cs="Arial" w:eastAsia="Arial" w:hAnsi="Arial"/>
        </w:rPr>
        <w:t xml:space="preserve">Part 2: Research Completeness and Validity</w:t>
      </w:r>
    </w:p>
    <w:p>
      <w:pPr>
        <w:pStyle w:val="Heading2"/>
        <w:spacing w:after="150" w:before="300"/>
      </w:pPr>
      <w:r>
        <w:rPr>
          <w:rFonts w:ascii="Arial" w:cs="Arial" w:eastAsia="Arial" w:hAnsi="Arial"/>
        </w:rPr>
        <w:t xml:space="preserve">GOLD Tier Dashboards</w:t>
      </w:r>
    </w:p>
    <w:p>
      <w:pPr>
        <w:pStyle w:val="Heading3"/>
        <w:spacing w:after="150" w:before="300"/>
      </w:pPr>
      <w:r>
        <w:rPr>
          <w:rFonts w:ascii="Arial" w:cs="Arial" w:eastAsia="Arial" w:hAnsi="Arial"/>
        </w:rPr>
        <w:t xml:space="preserve">Gap #1: LADA Natural History Model</w:t>
      </w:r>
    </w:p>
    <w:p>
      <w:pPr>
        <w:spacing w:after="120"/>
      </w:pPr>
      <w:r>
        <w:rPr>
          <w:rFonts w:ascii="Arial" w:cs="Arial" w:eastAsia="Arial" w:hAnsi="Arial"/>
          <w:sz w:val="22"/>
          <w:szCs w:val="22"/>
        </w:rPr>
        <w:t xml:space="preserve">Completeness: STRONG. Five well-structured tabs covering C-peptide decline, autoantibody stratification, intervention windows, genetic markers, and evidence catalog.</w:t>
      </w:r>
    </w:p>
    <w:p>
      <w:pPr>
        <w:spacing w:after="120"/>
      </w:pPr>
      <w:r>
        <w:rPr>
          <w:rFonts w:ascii="Arial" w:cs="Arial" w:eastAsia="Arial" w:hAnsi="Arial"/>
          <w:b/>
          <w:bCs/>
          <w:sz w:val="22"/>
          <w:szCs w:val="22"/>
        </w:rPr>
        <w:t xml:space="preserve">Validity strengths:</w:t>
      </w:r>
    </w:p>
    <w:p>
      <w:pPr>
        <w:pStyle w:val="ListParagraph"/>
        <w:numPr>
          <w:ilvl w:val="0"/>
          <w:numId w:val="2"/>
        </w:numPr>
        <w:spacing w:after="80"/>
      </w:pPr>
      <w:r>
        <w:rPr>
          <w:rFonts w:ascii="Arial" w:cs="Arial" w:eastAsia="Arial" w:hAnsi="Arial"/>
          <w:sz w:val="22"/>
          <w:szCs w:val="22"/>
        </w:rPr>
        <w:t xml:space="preserve">14 PMID citations, all linking to PubMed</w:t>
      </w:r>
    </w:p>
    <w:p>
      <w:pPr>
        <w:pStyle w:val="ListParagraph"/>
        <w:numPr>
          <w:ilvl w:val="0"/>
          <w:numId w:val="2"/>
        </w:numPr>
        <w:spacing w:after="80"/>
      </w:pPr>
      <w:r>
        <w:rPr>
          <w:rFonts w:ascii="Arial" w:cs="Arial" w:eastAsia="Arial" w:hAnsi="Arial"/>
          <w:sz w:val="22"/>
          <w:szCs w:val="22"/>
        </w:rPr>
        <w:t xml:space="preserve">Key cohort data correctly cited: UKPDS (PMID:9742976), HUNT (PMID:30369313), Chinese LADA (PMID:31529065), GAD-alum (PMID:33515517)</w:t>
      </w:r>
    </w:p>
    <w:p>
      <w:pPr>
        <w:pStyle w:val="ListParagraph"/>
        <w:numPr>
          <w:ilvl w:val="0"/>
          <w:numId w:val="2"/>
        </w:numPr>
        <w:spacing w:after="80"/>
      </w:pPr>
      <w:r>
        <w:rPr>
          <w:rFonts w:ascii="Arial" w:cs="Arial" w:eastAsia="Arial" w:hAnsi="Arial"/>
          <w:sz w:val="22"/>
          <w:szCs w:val="22"/>
        </w:rPr>
        <w:t xml:space="preserve">LADA1/LADA2 phenotypic split with quantitative thresholds (GADA 180 U/mL cutoff)</w:t>
      </w:r>
    </w:p>
    <w:p>
      <w:pPr>
        <w:pStyle w:val="ListParagraph"/>
        <w:numPr>
          <w:ilvl w:val="0"/>
          <w:numId w:val="2"/>
        </w:numPr>
        <w:spacing w:after="80"/>
      </w:pPr>
      <w:r>
        <w:rPr>
          <w:rFonts w:ascii="Arial" w:cs="Arial" w:eastAsia="Arial" w:hAnsi="Arial"/>
          <w:sz w:val="22"/>
          <w:szCs w:val="22"/>
        </w:rPr>
        <w:t xml:space="preserve">Treatment decision tree maps C-peptide to therapeutic strategy</w:t>
      </w:r>
    </w:p>
    <w:p>
      <w:pPr>
        <w:spacing w:after="120"/>
      </w:pPr>
      <w:r>
        <w:rPr>
          <w:rFonts w:ascii="Arial" w:cs="Arial" w:eastAsia="Arial" w:hAnsi="Arial"/>
          <w:b/>
          <w:bCs/>
          <w:color w:val="8b2500"/>
          <w:sz w:val="22"/>
          <w:szCs w:val="22"/>
        </w:rPr>
        <w:t xml:space="preserve">Validity concerns:</w:t>
      </w:r>
    </w:p>
    <w:p>
      <w:pPr>
        <w:pStyle w:val="ListParagraph"/>
        <w:numPr>
          <w:ilvl w:val="0"/>
          <w:numId w:val="2"/>
        </w:numPr>
        <w:spacing w:after="80"/>
      </w:pPr>
      <w:r>
        <w:rPr>
          <w:rFonts w:ascii="Arial" w:cs="Arial" w:eastAsia="Arial" w:hAnsi="Arial"/>
          <w:sz w:val="22"/>
          <w:szCs w:val="22"/>
        </w:rPr>
        <w:t xml:space="preserve">ACTION LADA and HUNT study are both cited as PMID:30369313 in the Evidence Catalog. These are different studies and likely need separate PMIDs. The ACTION LADA prevalence figure (8.8%) may come from a different publication.</w:t>
      </w:r>
    </w:p>
    <w:p>
      <w:pPr>
        <w:pStyle w:val="ListParagraph"/>
        <w:numPr>
          <w:ilvl w:val="0"/>
          <w:numId w:val="2"/>
        </w:numPr>
        <w:spacing w:after="80"/>
      </w:pPr>
      <w:r>
        <w:rPr>
          <w:rFonts w:ascii="Arial" w:cs="Arial" w:eastAsia="Arial" w:hAnsi="Arial"/>
          <w:sz w:val="22"/>
          <w:szCs w:val="22"/>
        </w:rPr>
        <w:t xml:space="preserve">Pan-positive (GADA + IA-2A + ZnT8A) category states '1-3 years to insulin' but cites no specific PMID for this claim.</w:t>
      </w:r>
    </w:p>
    <w:p>
      <w:pPr>
        <w:pStyle w:val="ListParagraph"/>
        <w:numPr>
          <w:ilvl w:val="0"/>
          <w:numId w:val="2"/>
        </w:numPr>
        <w:spacing w:after="80"/>
      </w:pPr>
      <w:r>
        <w:rPr>
          <w:rFonts w:ascii="Arial" w:cs="Arial" w:eastAsia="Arial" w:hAnsi="Arial"/>
          <w:sz w:val="22"/>
          <w:szCs w:val="22"/>
        </w:rPr>
        <w:t xml:space="preserve">Checkpoint inhibitor combinations listed in Window 1 strategies but no citation or trial number provided.</w:t>
      </w:r>
    </w:p>
    <w:p>
      <w:pPr>
        <w:spacing w:after="120"/>
      </w:pPr>
      <w:r>
        <w:rPr>
          <w:rFonts w:ascii="Arial" w:cs="Arial" w:eastAsia="Arial" w:hAnsi="Arial"/>
          <w:i/>
          <w:iCs/>
          <w:sz w:val="22"/>
          <w:szCs w:val="22"/>
        </w:rPr>
        <w:t xml:space="preserve">Next steps: Verify ACTION LADA PMID separately from HUNT. Add NCT numbers for ongoing LADA immunotherapy trials. Consider adding a 'Limitations' subsection acknowledging that the biphasic model is derived primarily from one Chinese cohort.</w:t>
      </w:r>
    </w:p>
    <w:p>
      <w:pPr>
        <w:pStyle w:val="Heading3"/>
        <w:spacing w:after="150" w:before="300"/>
      </w:pPr>
      <w:r>
        <w:rPr>
          <w:rFonts w:ascii="Arial" w:cs="Arial" w:eastAsia="Arial" w:hAnsi="Arial"/>
        </w:rPr>
        <w:t xml:space="preserve">Gap #2: Health Equity in Beta Cell Therapies (Equity Map)</w:t>
      </w:r>
    </w:p>
    <w:p>
      <w:pPr>
        <w:spacing w:after="120"/>
      </w:pPr>
      <w:r>
        <w:rPr>
          <w:rFonts w:ascii="Arial" w:cs="Arial" w:eastAsia="Arial" w:hAnsi="Arial"/>
          <w:sz w:val="22"/>
          <w:szCs w:val="22"/>
        </w:rPr>
        <w:t xml:space="preserve">Completeness: STRONG. Detailed supply/demand analysis with 8 manufacturers, 30 countries, regional data, and mismatch index.</w:t>
      </w:r>
    </w:p>
    <w:p>
      <w:pPr>
        <w:spacing w:after="120"/>
      </w:pPr>
      <w:r>
        <w:rPr>
          <w:rFonts w:ascii="Arial" w:cs="Arial" w:eastAsia="Arial" w:hAnsi="Arial"/>
          <w:sz w:val="22"/>
          <w:szCs w:val="22"/>
        </w:rPr>
        <w:t xml:space="preserve">Validity: Well-sourced from IDF Atlas and ClinicalTrials.gov API. 29 trials and 211 sites analyzed. The 88% HIC / 81% LMIC burden statistic is well-documented.</w:t>
      </w:r>
    </w:p>
    <w:p>
      <w:pPr>
        <w:spacing w:after="120"/>
      </w:pPr>
      <w:r>
        <w:rPr>
          <w:rFonts w:ascii="Arial" w:cs="Arial" w:eastAsia="Arial" w:hAnsi="Arial"/>
          <w:sz w:val="22"/>
          <w:szCs w:val="22"/>
        </w:rPr>
        <w:t xml:space="preserve">Concern: Only 1 PMID. For a GOLD-tier dashboard, should have more peer-reviewed citations for the equity claims, particularly around cost projections ($500K+ per patient).</w:t>
      </w:r>
    </w:p>
    <w:p>
      <w:pPr>
        <w:spacing w:after="120"/>
      </w:pPr>
      <w:r>
        <w:rPr>
          <w:rFonts w:ascii="Arial" w:cs="Arial" w:eastAsia="Arial" w:hAnsi="Arial"/>
          <w:i/>
          <w:iCs/>
          <w:sz w:val="22"/>
          <w:szCs w:val="22"/>
        </w:rPr>
        <w:t xml:space="preserve">Next steps: Add citations for WHO Essential Medicines List analysis, Helmsley Trust equity priorities, and cost-effectiveness literature.</w:t>
      </w:r>
    </w:p>
    <w:p>
      <w:pPr>
        <w:pStyle w:val="Heading3"/>
        <w:spacing w:after="150" w:before="300"/>
      </w:pPr>
      <w:r>
        <w:rPr>
          <w:rFonts w:ascii="Arial" w:cs="Arial" w:eastAsia="Arial" w:hAnsi="Arial"/>
        </w:rPr>
        <w:t xml:space="preserve">Gap #3: Islet Transplant Outcomes</w:t>
      </w:r>
    </w:p>
    <w:p>
      <w:pPr>
        <w:spacing w:after="120"/>
      </w:pPr>
      <w:r>
        <w:rPr>
          <w:rFonts w:ascii="Arial" w:cs="Arial" w:eastAsia="Arial" w:hAnsi="Arial"/>
          <w:sz w:val="22"/>
          <w:szCs w:val="22"/>
        </w:rPr>
        <w:t xml:space="preserve">Completeness: EXCELLENT. Six tabs covering graft survival, tacrolimus paradox, calcineurin-sparing alternatives, dose-response biomarkers, next-gen therapies, and evidence catalog.</w:t>
      </w:r>
    </w:p>
    <w:p>
      <w:pPr>
        <w:spacing w:after="120"/>
      </w:pPr>
      <w:r>
        <w:rPr>
          <w:rFonts w:ascii="Arial" w:cs="Arial" w:eastAsia="Arial" w:hAnsi="Arial"/>
          <w:sz w:val="22"/>
          <w:szCs w:val="22"/>
        </w:rPr>
        <w:t xml:space="preserve">Validity: 8 PMIDs. Edmonton Protocol data (61% to 8% over 20 years) is correctly attributed. VX-880 data (83% insulin independence, C-peptide 1274 pmol/L) aligns with published Phase 1/2 results. The tacrolimus paradox mechanism (FKBP-12/calcineurin/NFAT) is accurately described.</w:t>
      </w:r>
    </w:p>
    <w:p>
      <w:pPr>
        <w:spacing w:after="120"/>
      </w:pPr>
      <w:r>
        <w:rPr>
          <w:rFonts w:ascii="Arial" w:cs="Arial" w:eastAsia="Arial" w:hAnsi="Arial"/>
          <w:sz w:val="22"/>
          <w:szCs w:val="22"/>
        </w:rPr>
        <w:t xml:space="preserve">Concern: HOMA-IR trajectory data (pre-transplant 2.1, 3-month 3.8, 12-month 3.2) is plausible but not attributed to a specific publication.</w:t>
      </w:r>
    </w:p>
    <w:p>
      <w:pPr>
        <w:spacing w:after="120"/>
      </w:pPr>
      <w:r>
        <w:rPr>
          <w:rFonts w:ascii="Arial" w:cs="Arial" w:eastAsia="Arial" w:hAnsi="Arial"/>
          <w:i/>
          <w:iCs/>
          <w:sz w:val="22"/>
          <w:szCs w:val="22"/>
        </w:rPr>
        <w:t xml:space="preserve">Next steps: Source the HOMA-IR trajectory data. Add CITR annual report citation. Consider adding a patient journey narrative.</w:t>
      </w:r>
    </w:p>
    <w:p>
      <w:r>
        <w:br w:type="page"/>
      </w:r>
    </w:p>
    <w:p>
      <w:pPr>
        <w:pStyle w:val="Heading2"/>
        <w:spacing w:after="150" w:before="300"/>
      </w:pPr>
      <w:r>
        <w:rPr>
          <w:rFonts w:ascii="Arial" w:cs="Arial" w:eastAsia="Arial" w:hAnsi="Arial"/>
        </w:rPr>
        <w:t xml:space="preserve">SILVER Tier Dashboards</w:t>
      </w:r>
    </w:p>
    <w:p>
      <w:pPr>
        <w:pStyle w:val="Heading3"/>
        <w:spacing w:after="150" w:before="300"/>
      </w:pPr>
      <w:r>
        <w:rPr>
          <w:rFonts w:ascii="Arial" w:cs="Arial" w:eastAsia="Arial" w:hAnsi="Arial"/>
        </w:rPr>
        <w:t xml:space="preserve">Gap #4: Drug Repurposing for Islet Transplant</w:t>
      </w:r>
    </w:p>
    <w:p>
      <w:pPr>
        <w:spacing w:after="120"/>
      </w:pPr>
      <w:r>
        <w:rPr>
          <w:rFonts w:ascii="Arial" w:cs="Arial" w:eastAsia="Arial" w:hAnsi="Arial"/>
          <w:sz w:val="22"/>
          <w:szCs w:val="22"/>
        </w:rPr>
        <w:t xml:space="preserve">12 PMIDs. Solid framework with 13 drugs scored across 5 dimensions. IBMIR mechanism well-explained. Priority ranking is computationally justified.</w:t>
      </w:r>
    </w:p>
    <w:p>
      <w:pPr>
        <w:spacing w:after="120"/>
      </w:pPr>
      <w:r>
        <w:rPr>
          <w:rFonts w:ascii="Arial" w:cs="Arial" w:eastAsia="Arial" w:hAnsi="Arial"/>
          <w:sz w:val="22"/>
          <w:szCs w:val="22"/>
        </w:rPr>
        <w:t xml:space="preserve">Concern: No back-link or nav bar. Some drug scores appear algorithmic without citing the scoring methodology source.</w:t>
      </w:r>
    </w:p>
    <w:p>
      <w:pPr>
        <w:pStyle w:val="Heading3"/>
        <w:spacing w:after="150" w:before="300"/>
      </w:pPr>
      <w:r>
        <w:rPr>
          <w:rFonts w:ascii="Arial" w:cs="Arial" w:eastAsia="Arial" w:hAnsi="Arial"/>
        </w:rPr>
        <w:t xml:space="preserve">Gap #5: Treg in Diabetic Neuropathy</w:t>
      </w:r>
    </w:p>
    <w:p>
      <w:pPr>
        <w:spacing w:after="120"/>
      </w:pPr>
      <w:r>
        <w:rPr>
          <w:rFonts w:ascii="Arial" w:cs="Arial" w:eastAsia="Arial" w:hAnsi="Arial"/>
          <w:sz w:val="22"/>
          <w:szCs w:val="22"/>
        </w:rPr>
        <w:t xml:space="preserve">13 PMIDs. This is one of the strongest novel hypotheses on the platform. The publication gap visualization (0 papers at the Treg-neuropathy intersection vs 500+ in adjacent fields) is compelling. Therapeutic approaches are well-scored.</w:t>
      </w:r>
    </w:p>
    <w:p>
      <w:pPr>
        <w:spacing w:after="120"/>
      </w:pPr>
      <w:r>
        <w:rPr>
          <w:rFonts w:ascii="Arial" w:cs="Arial" w:eastAsia="Arial" w:hAnsi="Arial"/>
          <w:sz w:val="22"/>
          <w:szCs w:val="22"/>
        </w:rPr>
        <w:t xml:space="preserve">Concern: The DCCT citation (PMID:8366922) is correct. The Feuerer adipose Treg paper (PMID:19800712) is correctly attributed. The 'accelerated burnout' concern for LADA is raised but not deeply explored.</w:t>
      </w:r>
    </w:p>
    <w:p>
      <w:pPr>
        <w:pStyle w:val="Heading3"/>
        <w:spacing w:after="150" w:before="300"/>
      </w:pPr>
      <w:r>
        <w:rPr>
          <w:rFonts w:ascii="Arial" w:cs="Arial" w:eastAsia="Arial" w:hAnsi="Arial"/>
        </w:rPr>
        <w:t xml:space="preserve">Gap #6: CAR-T Access Barriers</w:t>
      </w:r>
    </w:p>
    <w:p>
      <w:pPr>
        <w:spacing w:after="120"/>
      </w:pPr>
      <w:r>
        <w:rPr>
          <w:rFonts w:ascii="Arial" w:cs="Arial" w:eastAsia="Arial" w:hAnsi="Arial"/>
          <w:sz w:val="22"/>
          <w:szCs w:val="22"/>
        </w:rPr>
        <w:t xml:space="preserve">5 PMIDs. Good analysis of cost structure ($373K-$475K) and 8 cost-reduction pathways. Manufacturing bottleneck analysis is practical.</w:t>
      </w:r>
    </w:p>
    <w:p>
      <w:pPr>
        <w:spacing w:after="120"/>
      </w:pPr>
      <w:r>
        <w:rPr>
          <w:rFonts w:ascii="Arial" w:cs="Arial" w:eastAsia="Arial" w:hAnsi="Arial"/>
          <w:sz w:val="22"/>
          <w:szCs w:val="22"/>
        </w:rPr>
        <w:t xml:space="preserve">Concern: Relatively few PMIDs for a SILVER dashboard. Should cite Kymriah/Yescarta pricing data sources and add WHO/NICE HTA references.</w:t>
      </w:r>
    </w:p>
    <w:p>
      <w:pPr>
        <w:pStyle w:val="Heading3"/>
        <w:spacing w:after="150" w:before="300"/>
      </w:pPr>
      <w:r>
        <w:rPr>
          <w:rFonts w:ascii="Arial" w:cs="Arial" w:eastAsia="Arial" w:hAnsi="Arial"/>
        </w:rPr>
        <w:t xml:space="preserve">Gap #7: GKA Drug Repurposing Landscape</w:t>
      </w:r>
    </w:p>
    <w:p>
      <w:pPr>
        <w:spacing w:after="120"/>
      </w:pPr>
      <w:r>
        <w:rPr>
          <w:rFonts w:ascii="Arial" w:cs="Arial" w:eastAsia="Arial" w:hAnsi="Arial"/>
          <w:sz w:val="22"/>
          <w:szCs w:val="22"/>
        </w:rPr>
        <w:t xml:space="preserve">9 PMIDs. Comprehensive GKA landscape including dorzagliatin (only approved), TTP399 (T1D pivot), and why most GKAs failed (hepatic steatosis, hypoglycemia). Historically accurate failure analysis.</w:t>
      </w:r>
    </w:p>
    <w:p>
      <w:pPr>
        <w:pStyle w:val="Heading3"/>
        <w:spacing w:after="150" w:before="300"/>
      </w:pPr>
      <w:r>
        <w:rPr>
          <w:rFonts w:ascii="Arial" w:cs="Arial" w:eastAsia="Arial" w:hAnsi="Arial"/>
        </w:rPr>
        <w:t xml:space="preserve">Gap #8: Immunomodulatory Drugs for LADA</w:t>
      </w:r>
    </w:p>
    <w:p>
      <w:pPr>
        <w:spacing w:after="120"/>
      </w:pPr>
      <w:r>
        <w:rPr>
          <w:rFonts w:ascii="Arial" w:cs="Arial" w:eastAsia="Arial" w:hAnsi="Arial"/>
          <w:sz w:val="22"/>
          <w:szCs w:val="22"/>
        </w:rPr>
        <w:t xml:space="preserve">6 PMIDs. Good framework with 9 candidates. GAD-alum correctly prioritized. The 'why LADA is underserved' framing is important and well-argued.</w:t>
      </w:r>
    </w:p>
    <w:p>
      <w:pPr>
        <w:spacing w:after="120"/>
      </w:pPr>
      <w:r>
        <w:rPr>
          <w:rFonts w:ascii="Arial" w:cs="Arial" w:eastAsia="Arial" w:hAnsi="Arial"/>
          <w:sz w:val="22"/>
          <w:szCs w:val="22"/>
        </w:rPr>
        <w:t xml:space="preserve">Concern: Should cross-reference the LADA Natural History Model for intervention window alignment.</w:t>
      </w:r>
    </w:p>
    <w:p>
      <w:pPr>
        <w:pStyle w:val="Heading3"/>
        <w:spacing w:after="150" w:before="300"/>
      </w:pPr>
      <w:r>
        <w:rPr>
          <w:rFonts w:ascii="Arial" w:cs="Arial" w:eastAsia="Arial" w:hAnsi="Arial"/>
        </w:rPr>
        <w:t xml:space="preserve">Gap #11: Islet Transplant Registry Equity</w:t>
      </w:r>
    </w:p>
    <w:p>
      <w:pPr>
        <w:spacing w:after="120"/>
      </w:pPr>
      <w:r>
        <w:rPr>
          <w:rFonts w:ascii="Arial" w:cs="Arial" w:eastAsia="Arial" w:hAnsi="Arial"/>
          <w:color w:val="8b2500"/>
          <w:sz w:val="22"/>
          <w:szCs w:val="22"/>
        </w:rPr>
        <w:t xml:space="preserve">0 PMIDs. This is the weakest SILVER dashboard. Claims about CITR demographics (85% White) and geographic barriers are stated without any citations. For an equity analysis, peer-reviewed demographic data is essential.</w:t>
      </w:r>
    </w:p>
    <w:p>
      <w:pPr>
        <w:spacing w:after="120"/>
      </w:pPr>
      <w:r>
        <w:rPr>
          <w:rFonts w:ascii="Arial" w:cs="Arial" w:eastAsia="Arial" w:hAnsi="Arial"/>
          <w:b/>
          <w:bCs/>
          <w:sz w:val="22"/>
          <w:szCs w:val="22"/>
        </w:rPr>
        <w:t xml:space="preserve">Recommendation: HIGH PRIORITY fix. Add CITR annual report citations, published demographic analyses, and insurance/coverage data sources.</w:t>
      </w:r>
    </w:p>
    <w:p>
      <w:pPr>
        <w:pStyle w:val="Heading3"/>
        <w:spacing w:after="150" w:before="300"/>
      </w:pPr>
      <w:r>
        <w:rPr>
          <w:rFonts w:ascii="Arial" w:cs="Arial" w:eastAsia="Arial" w:hAnsi="Arial"/>
        </w:rPr>
        <w:t xml:space="preserve">Gap #12: Generic Drug x Diabetes Mechanism Catalog</w:t>
      </w:r>
    </w:p>
    <w:p>
      <w:pPr>
        <w:spacing w:after="120"/>
      </w:pPr>
      <w:r>
        <w:rPr>
          <w:rFonts w:ascii="Arial" w:cs="Arial" w:eastAsia="Arial" w:hAnsi="Arial"/>
          <w:sz w:val="22"/>
          <w:szCs w:val="22"/>
        </w:rPr>
        <w:t xml:space="preserve">2 PMIDs. The 20-drug catalog is a valuable resource, but with only 2 PMIDs for 20 drugs, most evidence claims are unsourced. The verapamil TXNIP mechanism is correctly described, but the evidence levels (STRONG/MODERATE/WEAK) need backing.</w:t>
      </w:r>
    </w:p>
    <w:p>
      <w:pPr>
        <w:spacing w:after="120"/>
      </w:pPr>
      <w:r>
        <w:rPr>
          <w:rFonts w:ascii="Arial" w:cs="Arial" w:eastAsia="Arial" w:hAnsi="Arial"/>
          <w:b/>
          <w:bCs/>
          <w:sz w:val="22"/>
          <w:szCs w:val="22"/>
        </w:rPr>
        <w:t xml:space="preserve">Recommendation: Add at least one PMID per drug. This dashboard has high potential but needs citation density to match.</w:t>
      </w:r>
    </w:p>
    <w:p>
      <w:r>
        <w:br w:type="page"/>
      </w:r>
    </w:p>
    <w:p>
      <w:pPr>
        <w:pStyle w:val="Heading2"/>
        <w:spacing w:after="150" w:before="300"/>
      </w:pPr>
      <w:r>
        <w:rPr>
          <w:rFonts w:ascii="Arial" w:cs="Arial" w:eastAsia="Arial" w:hAnsi="Arial"/>
        </w:rPr>
        <w:t xml:space="preserve">BRONZE / UNDER REVIEW Dashboards</w:t>
      </w:r>
    </w:p>
    <w:p>
      <w:pPr>
        <w:pStyle w:val="Heading3"/>
        <w:spacing w:after="150" w:before="300"/>
      </w:pPr>
      <w:r>
        <w:rPr>
          <w:rFonts w:ascii="Arial" w:cs="Arial" w:eastAsia="Arial" w:hAnsi="Arial"/>
        </w:rPr>
        <w:t xml:space="preserve">Gap #9: GKA in LADA (UNDER REVIEW)</w:t>
      </w:r>
    </w:p>
    <w:p>
      <w:pPr>
        <w:spacing w:after="120"/>
      </w:pPr>
      <w:r>
        <w:rPr>
          <w:rFonts w:ascii="Arial" w:cs="Arial" w:eastAsia="Arial" w:hAnsi="Arial"/>
          <w:sz w:val="22"/>
          <w:szCs w:val="22"/>
        </w:rPr>
        <w:t xml:space="preserve">5 PMIDs. Appropriately cautious framing. The 'accelerated burnout' concern is the right question to raise. Biological plausibility assessment is balanced.</w:t>
      </w:r>
    </w:p>
    <w:p>
      <w:pPr>
        <w:pStyle w:val="Heading3"/>
        <w:spacing w:after="150" w:before="300"/>
      </w:pPr>
      <w:r>
        <w:rPr>
          <w:rFonts w:ascii="Arial" w:cs="Arial" w:eastAsia="Arial" w:hAnsi="Arial"/>
        </w:rPr>
        <w:t xml:space="preserve">Gap #10: LADA Prevalence</w:t>
      </w:r>
    </w:p>
    <w:p>
      <w:pPr>
        <w:spacing w:after="120"/>
      </w:pPr>
      <w:r>
        <w:rPr>
          <w:rFonts w:ascii="Arial" w:cs="Arial" w:eastAsia="Arial" w:hAnsi="Arial"/>
          <w:sz w:val="22"/>
          <w:szCs w:val="22"/>
        </w:rPr>
        <w:t xml:space="preserve">7 PMIDs. Good epidemiological framing. The 'sulfonylurea trap' concept is clinically important and well-explained. Prevalence by healthcare setting adds practical value.</w:t>
      </w:r>
    </w:p>
    <w:p>
      <w:pPr>
        <w:pStyle w:val="Heading3"/>
        <w:spacing w:after="150" w:before="300"/>
      </w:pPr>
      <w:r>
        <w:rPr>
          <w:rFonts w:ascii="Arial" w:cs="Arial" w:eastAsia="Arial" w:hAnsi="Arial"/>
        </w:rPr>
        <w:t xml:space="preserve">Gap #13: Personalized Nutrition for Beta Cells</w:t>
      </w:r>
    </w:p>
    <w:p>
      <w:pPr>
        <w:spacing w:after="120"/>
      </w:pPr>
      <w:r>
        <w:rPr>
          <w:rFonts w:ascii="Arial" w:cs="Arial" w:eastAsia="Arial" w:hAnsi="Arial"/>
          <w:color w:val="8b2500"/>
          <w:sz w:val="22"/>
          <w:szCs w:val="22"/>
        </w:rPr>
        <w:t xml:space="preserve">0 PMIDs. This is a significant gap. The nutrient-beta cell evidence map lists zinc, omega-3, vitamin D, magnesium, chromium with evidence levels but provides zero citations for any of these claims.</w:t>
      </w:r>
    </w:p>
    <w:p>
      <w:pPr>
        <w:spacing w:after="120"/>
      </w:pPr>
      <w:r>
        <w:rPr>
          <w:rFonts w:ascii="Arial" w:cs="Arial" w:eastAsia="Arial" w:hAnsi="Arial"/>
          <w:b/>
          <w:bCs/>
          <w:sz w:val="22"/>
          <w:szCs w:val="22"/>
        </w:rPr>
        <w:t xml:space="preserve">Recommendation: HIGH PRIORITY. Add PMIDs for each nutrient claim. The D2d trial, ZnT8 transporter literature, and omega-3 meta-analyses are all citable.</w:t>
      </w:r>
    </w:p>
    <w:p>
      <w:pPr>
        <w:pStyle w:val="Heading3"/>
        <w:spacing w:after="150" w:before="300"/>
      </w:pPr>
      <w:r>
        <w:rPr>
          <w:rFonts w:ascii="Arial" w:cs="Arial" w:eastAsia="Arial" w:hAnsi="Arial"/>
        </w:rPr>
        <w:t xml:space="preserve">Gap #14: Personalized Nutrition for LADA</w:t>
      </w:r>
    </w:p>
    <w:p>
      <w:pPr>
        <w:spacing w:after="120"/>
      </w:pPr>
      <w:r>
        <w:rPr>
          <w:rFonts w:ascii="Arial" w:cs="Arial" w:eastAsia="Arial" w:hAnsi="Arial"/>
          <w:color w:val="8b2500"/>
          <w:sz w:val="22"/>
          <w:szCs w:val="22"/>
        </w:rPr>
        <w:t xml:space="preserve">0 PMIDs. Same issue as Gap #13. The LAMENS trial design is creative but entirely hypothetical. The Mediterranean diet claims, omega-3 index targets, and gut barrier integrity arguments all need citations.</w:t>
      </w:r>
    </w:p>
    <w:p>
      <w:pPr>
        <w:spacing w:after="120"/>
      </w:pPr>
      <w:r>
        <w:rPr>
          <w:rFonts w:ascii="Arial" w:cs="Arial" w:eastAsia="Arial" w:hAnsi="Arial"/>
          <w:b/>
          <w:bCs/>
          <w:sz w:val="22"/>
          <w:szCs w:val="22"/>
        </w:rPr>
        <w:t xml:space="preserve">Recommendation: HIGH PRIORITY. Add PREDIMED citations, omega-3 meta-analyses, and leaky gut/autoimmunity literature.</w:t>
      </w:r>
    </w:p>
    <w:p>
      <w:pPr>
        <w:pStyle w:val="Heading3"/>
        <w:spacing w:after="150" w:before="300"/>
      </w:pPr>
      <w:r>
        <w:rPr>
          <w:rFonts w:ascii="Arial" w:cs="Arial" w:eastAsia="Arial" w:hAnsi="Arial"/>
        </w:rPr>
        <w:t xml:space="preserve">Gap #15: GKA Pricing Trajectory</w:t>
      </w:r>
    </w:p>
    <w:p>
      <w:pPr>
        <w:spacing w:after="120"/>
      </w:pPr>
      <w:r>
        <w:rPr>
          <w:rFonts w:ascii="Arial" w:cs="Arial" w:eastAsia="Arial" w:hAnsi="Arial"/>
          <w:sz w:val="22"/>
          <w:szCs w:val="22"/>
        </w:rPr>
        <w:t xml:space="preserve">3 PMIDs. Reasonable pricing model structure. Three scenarios (optimistic/base/pessimistic) are well-framed. Patent cliff timeline is useful.</w:t>
      </w:r>
    </w:p>
    <w:p>
      <w:pPr>
        <w:spacing w:after="120"/>
      </w:pPr>
      <w:r>
        <w:rPr>
          <w:rFonts w:ascii="Arial" w:cs="Arial" w:eastAsia="Arial" w:hAnsi="Arial"/>
          <w:sz w:val="22"/>
          <w:szCs w:val="22"/>
        </w:rPr>
        <w:t xml:space="preserve">Concern: Pricing data for dorzagliatin (Hua Medicine, China) may be approximate. Should cite Hua Medicine financial filings or analyst reports.</w:t>
      </w:r>
    </w:p>
    <w:p>
      <w:r>
        <w:br w:type="page"/>
      </w:r>
    </w:p>
    <w:p>
      <w:pPr>
        <w:pStyle w:val="Heading1"/>
        <w:spacing w:after="150" w:before="300"/>
      </w:pPr>
      <w:r>
        <w:rPr>
          <w:rFonts w:ascii="Arial" w:cs="Arial" w:eastAsia="Arial" w:hAnsi="Arial"/>
        </w:rPr>
        <w:t xml:space="preserve">Part 3: Inclusivity and Collaboration</w:t>
      </w:r>
    </w:p>
    <w:p>
      <w:pPr>
        <w:pStyle w:val="Heading2"/>
        <w:spacing w:after="150" w:before="300"/>
      </w:pPr>
      <w:r>
        <w:rPr>
          <w:rFonts w:ascii="Arial" w:cs="Arial" w:eastAsia="Arial" w:hAnsi="Arial"/>
        </w:rPr>
        <w:t xml:space="preserve">Language Accessibility</w:t>
      </w:r>
    </w:p>
    <w:p>
      <w:pPr>
        <w:spacing w:after="120"/>
      </w:pPr>
      <w:r>
        <w:rPr>
          <w:rFonts w:ascii="Arial" w:cs="Arial" w:eastAsia="Arial" w:hAnsi="Arial"/>
          <w:b/>
          <w:bCs/>
          <w:sz w:val="22"/>
          <w:szCs w:val="22"/>
        </w:rPr>
        <w:t xml:space="preserve">Strengths:</w:t>
      </w:r>
    </w:p>
    <w:p>
      <w:pPr>
        <w:pStyle w:val="ListParagraph"/>
        <w:numPr>
          <w:ilvl w:val="0"/>
          <w:numId w:val="2"/>
        </w:numPr>
        <w:spacing w:after="80"/>
      </w:pPr>
      <w:r>
        <w:rPr>
          <w:rFonts w:ascii="Arial" w:cs="Arial" w:eastAsia="Arial" w:hAnsi="Arial"/>
          <w:sz w:val="22"/>
          <w:szCs w:val="22"/>
        </w:rPr>
        <w:t xml:space="preserve">Medical Data Dictionary (100 terms, 86 PMIDs) with plain English definitions before medical definitions is excellent for non-clinician accessibility</w:t>
      </w:r>
    </w:p>
    <w:p>
      <w:pPr>
        <w:pStyle w:val="ListParagraph"/>
        <w:numPr>
          <w:ilvl w:val="0"/>
          <w:numId w:val="2"/>
        </w:numPr>
        <w:spacing w:after="80"/>
      </w:pPr>
      <w:r>
        <w:rPr>
          <w:rFonts w:ascii="Arial" w:cs="Arial" w:eastAsia="Arial" w:hAnsi="Arial"/>
          <w:sz w:val="22"/>
          <w:szCs w:val="22"/>
        </w:rPr>
        <w:t xml:space="preserve">Acronym Database (147 terms) reduces jargon barrier</w:t>
      </w:r>
    </w:p>
    <w:p>
      <w:pPr>
        <w:pStyle w:val="ListParagraph"/>
        <w:numPr>
          <w:ilvl w:val="0"/>
          <w:numId w:val="2"/>
        </w:numPr>
        <w:spacing w:after="80"/>
      </w:pPr>
      <w:r>
        <w:rPr>
          <w:rFonts w:ascii="Arial" w:cs="Arial" w:eastAsia="Arial" w:hAnsi="Arial"/>
          <w:sz w:val="22"/>
          <w:szCs w:val="22"/>
        </w:rPr>
        <w:t xml:space="preserve">The landing page description is written in accessible language</w:t>
      </w:r>
    </w:p>
    <w:p>
      <w:pPr>
        <w:spacing w:after="120"/>
      </w:pPr>
      <w:r>
        <w:rPr>
          <w:rFonts w:ascii="Arial" w:cs="Arial" w:eastAsia="Arial" w:hAnsi="Arial"/>
          <w:b/>
          <w:bCs/>
          <w:color w:val="8b2500"/>
          <w:sz w:val="22"/>
          <w:szCs w:val="22"/>
        </w:rPr>
        <w:t xml:space="preserve">Concerns:</w:t>
      </w:r>
    </w:p>
    <w:p>
      <w:pPr>
        <w:pStyle w:val="ListParagraph"/>
        <w:numPr>
          <w:ilvl w:val="0"/>
          <w:numId w:val="2"/>
        </w:numPr>
        <w:spacing w:after="80"/>
      </w:pPr>
      <w:r>
        <w:rPr>
          <w:rFonts w:ascii="Arial" w:cs="Arial" w:eastAsia="Arial" w:hAnsi="Arial"/>
          <w:sz w:val="22"/>
          <w:szCs w:val="22"/>
        </w:rPr>
        <w:t xml:space="preserve">Individual gap dashboards assume significant medical knowledge. Terms like 'FKBP-12/calcineurin/NFAT pathway' or 'IBMIR' appear without inline definitions. Should link to the Data Dictionary.</w:t>
      </w:r>
    </w:p>
    <w:p>
      <w:pPr>
        <w:pStyle w:val="ListParagraph"/>
        <w:numPr>
          <w:ilvl w:val="0"/>
          <w:numId w:val="2"/>
        </w:numPr>
        <w:spacing w:after="80"/>
      </w:pPr>
      <w:r>
        <w:rPr>
          <w:rFonts w:ascii="Arial" w:cs="Arial" w:eastAsia="Arial" w:hAnsi="Arial"/>
          <w:sz w:val="22"/>
          <w:szCs w:val="22"/>
        </w:rPr>
        <w:t xml:space="preserve">No non-English language support. Given that 80% of diabetes patients are in LMICs, translation or at minimum a language-toggle framework would improve global accessibility.</w:t>
      </w:r>
    </w:p>
    <w:p>
      <w:pPr>
        <w:pStyle w:val="Heading2"/>
        <w:spacing w:after="150" w:before="300"/>
      </w:pPr>
      <w:r>
        <w:rPr>
          <w:rFonts w:ascii="Arial" w:cs="Arial" w:eastAsia="Arial" w:hAnsi="Arial"/>
        </w:rPr>
        <w:t xml:space="preserve">Collaboration Infrastructure</w:t>
      </w:r>
    </w:p>
    <w:p>
      <w:pPr>
        <w:pStyle w:val="ListParagraph"/>
        <w:numPr>
          <w:ilvl w:val="0"/>
          <w:numId w:val="2"/>
        </w:numPr>
        <w:spacing w:after="80"/>
      </w:pPr>
      <w:r>
        <w:rPr>
          <w:rFonts w:ascii="Arial" w:cs="Arial" w:eastAsia="Arial" w:hAnsi="Arial"/>
          <w:sz w:val="22"/>
          <w:szCs w:val="22"/>
        </w:rPr>
        <w:t xml:space="preserve">GitHub repository is public with MIT license (code) and CC-BY 4.0 (content) — good for open collaboration</w:t>
      </w:r>
    </w:p>
    <w:p>
      <w:pPr>
        <w:pStyle w:val="ListParagraph"/>
        <w:numPr>
          <w:ilvl w:val="0"/>
          <w:numId w:val="2"/>
        </w:numPr>
        <w:spacing w:after="80"/>
      </w:pPr>
      <w:r>
        <w:rPr>
          <w:rFonts w:ascii="Arial" w:cs="Arial" w:eastAsia="Arial" w:hAnsi="Arial"/>
          <w:sz w:val="22"/>
          <w:szCs w:val="22"/>
        </w:rPr>
        <w:t xml:space="preserve">OSF pre-registration provides research credibility</w:t>
      </w:r>
    </w:p>
    <w:p>
      <w:pPr>
        <w:pStyle w:val="ListParagraph"/>
        <w:numPr>
          <w:ilvl w:val="0"/>
          <w:numId w:val="2"/>
        </w:numPr>
        <w:spacing w:after="80"/>
      </w:pPr>
      <w:r>
        <w:rPr>
          <w:rFonts w:ascii="Arial" w:cs="Arial" w:eastAsia="Arial" w:hAnsi="Arial"/>
          <w:sz w:val="22"/>
          <w:szCs w:val="22"/>
        </w:rPr>
        <w:t xml:space="preserve">No CONTRIBUTING.md file was found. Researchers need clear instructions on how to contribute.</w:t>
      </w:r>
    </w:p>
    <w:p>
      <w:pPr>
        <w:pStyle w:val="ListParagraph"/>
        <w:numPr>
          <w:ilvl w:val="0"/>
          <w:numId w:val="2"/>
        </w:numPr>
        <w:spacing w:after="80"/>
      </w:pPr>
      <w:r>
        <w:rPr>
          <w:rFonts w:ascii="Arial" w:cs="Arial" w:eastAsia="Arial" w:hAnsi="Arial"/>
          <w:sz w:val="22"/>
          <w:szCs w:val="22"/>
        </w:rPr>
        <w:t xml:space="preserve">No issue templates on GitHub for reporting data errors, suggesting new gaps, or proposing corrections.</w:t>
      </w:r>
    </w:p>
    <w:p>
      <w:pPr>
        <w:pStyle w:val="ListParagraph"/>
        <w:numPr>
          <w:ilvl w:val="0"/>
          <w:numId w:val="2"/>
        </w:numPr>
        <w:spacing w:after="80"/>
      </w:pPr>
      <w:r>
        <w:rPr>
          <w:rFonts w:ascii="Arial" w:cs="Arial" w:eastAsia="Arial" w:hAnsi="Arial"/>
          <w:sz w:val="22"/>
          <w:szCs w:val="22"/>
        </w:rPr>
        <w:t xml:space="preserve">No citation format provided. Researchers who want to cite this work need a suggested format (BibTeX, APA, etc.).</w:t>
      </w:r>
    </w:p>
    <w:p>
      <w:pPr>
        <w:pStyle w:val="Heading2"/>
        <w:spacing w:after="150" w:before="300"/>
      </w:pPr>
      <w:r>
        <w:rPr>
          <w:rFonts w:ascii="Arial" w:cs="Arial" w:eastAsia="Arial" w:hAnsi="Arial"/>
        </w:rPr>
        <w:t xml:space="preserve">Accessibility (WCAG)</w:t>
      </w:r>
    </w:p>
    <w:p>
      <w:pPr>
        <w:pStyle w:val="ListParagraph"/>
        <w:numPr>
          <w:ilvl w:val="0"/>
          <w:numId w:val="2"/>
        </w:numPr>
        <w:spacing w:after="80"/>
      </w:pPr>
      <w:r>
        <w:rPr>
          <w:rFonts w:ascii="Arial" w:cs="Arial" w:eastAsia="Arial" w:hAnsi="Arial"/>
          <w:sz w:val="22"/>
          <w:szCs w:val="22"/>
        </w:rPr>
        <w:t xml:space="preserve">Tab navigation uses buttons with visible active states — good for keyboard users</w:t>
      </w:r>
    </w:p>
    <w:p>
      <w:pPr>
        <w:pStyle w:val="ListParagraph"/>
        <w:numPr>
          <w:ilvl w:val="0"/>
          <w:numId w:val="2"/>
        </w:numPr>
        <w:spacing w:after="80"/>
      </w:pPr>
      <w:r>
        <w:rPr>
          <w:rFonts w:ascii="Arial" w:cs="Arial" w:eastAsia="Arial" w:hAnsi="Arial"/>
          <w:sz w:val="22"/>
          <w:szCs w:val="22"/>
        </w:rPr>
        <w:t xml:space="preserve">Color contrast: The #636363 muted text on #fafaf7 background may not meet WCAG AA (4.5:1 ratio). Should verify.</w:t>
      </w:r>
    </w:p>
    <w:p>
      <w:pPr>
        <w:pStyle w:val="ListParagraph"/>
        <w:numPr>
          <w:ilvl w:val="0"/>
          <w:numId w:val="2"/>
        </w:numPr>
        <w:spacing w:after="80"/>
      </w:pPr>
      <w:r>
        <w:rPr>
          <w:rFonts w:ascii="Arial" w:cs="Arial" w:eastAsia="Arial" w:hAnsi="Arial"/>
          <w:sz w:val="22"/>
          <w:szCs w:val="22"/>
        </w:rPr>
        <w:t xml:space="preserve">No ARIA labels on interactive elements (expandable sections, tabs)</w:t>
      </w:r>
    </w:p>
    <w:p>
      <w:pPr>
        <w:pStyle w:val="ListParagraph"/>
        <w:numPr>
          <w:ilvl w:val="0"/>
          <w:numId w:val="2"/>
        </w:numPr>
        <w:spacing w:after="80"/>
      </w:pPr>
      <w:r>
        <w:rPr>
          <w:rFonts w:ascii="Arial" w:cs="Arial" w:eastAsia="Arial" w:hAnsi="Arial"/>
          <w:sz w:val="22"/>
          <w:szCs w:val="22"/>
        </w:rPr>
        <w:t xml:space="preserve">No skip-to-content links for screen readers</w:t>
      </w:r>
    </w:p>
    <w:p>
      <w:pPr>
        <w:pStyle w:val="ListParagraph"/>
        <w:numPr>
          <w:ilvl w:val="0"/>
          <w:numId w:val="2"/>
        </w:numPr>
        <w:spacing w:after="80"/>
      </w:pPr>
      <w:r>
        <w:rPr>
          <w:rFonts w:ascii="Arial" w:cs="Arial" w:eastAsia="Arial" w:hAnsi="Arial"/>
          <w:sz w:val="22"/>
          <w:szCs w:val="22"/>
        </w:rPr>
        <w:t xml:space="preserve">Tables lack proper scope attributes for screen reader navigation</w:t>
      </w:r>
    </w:p>
    <w:p>
      <w:r>
        <w:br w:type="page"/>
      </w:r>
    </w:p>
    <w:p>
      <w:pPr>
        <w:pStyle w:val="Heading1"/>
        <w:spacing w:after="150" w:before="300"/>
      </w:pPr>
      <w:r>
        <w:rPr>
          <w:rFonts w:ascii="Arial" w:cs="Arial" w:eastAsia="Arial" w:hAnsi="Arial"/>
        </w:rPr>
        <w:t xml:space="preserve">Part 4: Priority Action Items</w:t>
      </w:r>
    </w:p>
    <w:p>
      <w:pPr>
        <w:pStyle w:val="Heading2"/>
        <w:spacing w:after="150" w:before="300"/>
      </w:pPr>
      <w:r>
        <w:rPr>
          <w:rFonts w:ascii="Arial" w:cs="Arial" w:eastAsia="Arial" w:hAnsi="Arial"/>
        </w:rPr>
        <w:t xml:space="preserve">HIGH Priority (do before sharing with collaborators)</w:t>
      </w:r>
    </w:p>
    <w:p>
      <w:pPr>
        <w:pStyle w:val="ListParagraph"/>
        <w:numPr>
          <w:ilvl w:val="0"/>
          <w:numId w:val="3"/>
        </w:numPr>
        <w:spacing w:after="80"/>
      </w:pPr>
      <w:r>
        <w:rPr>
          <w:rFonts w:ascii="Arial" w:cs="Arial" w:eastAsia="Arial" w:hAnsi="Arial"/>
          <w:sz w:val="22"/>
          <w:szCs w:val="22"/>
        </w:rPr>
        <w:t xml:space="preserve">Add navigation bar to all 14 dashboards missing it. Include: back-to-hub link, and 3-4 key cross-links. This is the single highest-impact fix for usability.</w:t>
      </w:r>
    </w:p>
    <w:p>
      <w:pPr>
        <w:pStyle w:val="ListParagraph"/>
        <w:numPr>
          <w:ilvl w:val="0"/>
          <w:numId w:val="3"/>
        </w:numPr>
        <w:spacing w:after="80"/>
      </w:pPr>
      <w:r>
        <w:rPr>
          <w:rFonts w:ascii="Arial" w:cs="Arial" w:eastAsia="Arial" w:hAnsi="Arial"/>
          <w:sz w:val="22"/>
          <w:szCs w:val="22"/>
        </w:rPr>
        <w:t xml:space="preserve">Add PMIDs to the 5 dashboards with zero citations: Islet Transplant Equity (#11), Nutrition Beta Cells (#13), Nutrition LADA (#14), Clinical Trial Dashboard, Research Dashboard.</w:t>
      </w:r>
    </w:p>
    <w:p>
      <w:pPr>
        <w:pStyle w:val="ListParagraph"/>
        <w:numPr>
          <w:ilvl w:val="0"/>
          <w:numId w:val="3"/>
        </w:numPr>
        <w:spacing w:after="80"/>
      </w:pPr>
      <w:r>
        <w:rPr>
          <w:rFonts w:ascii="Arial" w:cs="Arial" w:eastAsia="Arial" w:hAnsi="Arial"/>
          <w:sz w:val="22"/>
          <w:szCs w:val="22"/>
        </w:rPr>
        <w:t xml:space="preserve">Fix the duplicate PMID issue in LADA Natural History (ACTION LADA and HUNT both showing PMID:30369313).</w:t>
      </w:r>
    </w:p>
    <w:p>
      <w:pPr>
        <w:pStyle w:val="ListParagraph"/>
        <w:numPr>
          <w:ilvl w:val="0"/>
          <w:numId w:val="3"/>
        </w:numPr>
        <w:spacing w:after="80"/>
      </w:pPr>
      <w:r>
        <w:rPr>
          <w:rFonts w:ascii="Arial" w:cs="Arial" w:eastAsia="Arial" w:hAnsi="Arial"/>
          <w:sz w:val="22"/>
          <w:szCs w:val="22"/>
        </w:rPr>
        <w:t xml:space="preserve">Add a CONTRIBUTING.md and suggested citation format to the GitHub repository.</w:t>
      </w:r>
    </w:p>
    <w:p>
      <w:pPr>
        <w:pStyle w:val="Heading2"/>
        <w:spacing w:after="150" w:before="300"/>
      </w:pPr>
      <w:r>
        <w:rPr>
          <w:rFonts w:ascii="Arial" w:cs="Arial" w:eastAsia="Arial" w:hAnsi="Arial"/>
        </w:rPr>
        <w:t xml:space="preserve">MEDIUM Priority (improve research credibility)</w:t>
      </w:r>
    </w:p>
    <w:p>
      <w:pPr>
        <w:pStyle w:val="ListParagraph"/>
        <w:numPr>
          <w:ilvl w:val="0"/>
          <w:numId w:val="3"/>
        </w:numPr>
        <w:spacing w:after="80"/>
      </w:pPr>
      <w:r>
        <w:rPr>
          <w:rFonts w:ascii="Arial" w:cs="Arial" w:eastAsia="Arial" w:hAnsi="Arial"/>
          <w:sz w:val="22"/>
          <w:szCs w:val="22"/>
        </w:rPr>
        <w:t xml:space="preserve">Increase citation density in Generic Drug Catalog (currently 2 PMIDs for 20 drugs). Target at least 1 PMID per drug.</w:t>
      </w:r>
    </w:p>
    <w:p>
      <w:pPr>
        <w:pStyle w:val="ListParagraph"/>
        <w:numPr>
          <w:ilvl w:val="0"/>
          <w:numId w:val="3"/>
        </w:numPr>
        <w:spacing w:after="80"/>
      </w:pPr>
      <w:r>
        <w:rPr>
          <w:rFonts w:ascii="Arial" w:cs="Arial" w:eastAsia="Arial" w:hAnsi="Arial"/>
          <w:sz w:val="22"/>
          <w:szCs w:val="22"/>
        </w:rPr>
        <w:t xml:space="preserve">Add cross-links between related dashboards (e.g., LADA Natural History should link to Immunomod LADA and Nutrition LADA).</w:t>
      </w:r>
    </w:p>
    <w:p>
      <w:pPr>
        <w:pStyle w:val="ListParagraph"/>
        <w:numPr>
          <w:ilvl w:val="0"/>
          <w:numId w:val="3"/>
        </w:numPr>
        <w:spacing w:after="80"/>
      </w:pPr>
      <w:r>
        <w:rPr>
          <w:rFonts w:ascii="Arial" w:cs="Arial" w:eastAsia="Arial" w:hAnsi="Arial"/>
          <w:sz w:val="22"/>
          <w:szCs w:val="22"/>
        </w:rPr>
        <w:t xml:space="preserve">Reorganize landing page cards by theme or validation tier rather than build order.</w:t>
      </w:r>
    </w:p>
    <w:p>
      <w:pPr>
        <w:pStyle w:val="ListParagraph"/>
        <w:numPr>
          <w:ilvl w:val="0"/>
          <w:numId w:val="3"/>
        </w:numPr>
        <w:spacing w:after="80"/>
      </w:pPr>
      <w:r>
        <w:rPr>
          <w:rFonts w:ascii="Arial" w:cs="Arial" w:eastAsia="Arial" w:hAnsi="Arial"/>
          <w:sz w:val="22"/>
          <w:szCs w:val="22"/>
        </w:rPr>
        <w:t xml:space="preserve">Convert Literature Gap Analysis and Publication Monitor from .md to .html dashboards for consistent rendering.</w:t>
      </w:r>
    </w:p>
    <w:p>
      <w:pPr>
        <w:pStyle w:val="ListParagraph"/>
        <w:numPr>
          <w:ilvl w:val="0"/>
          <w:numId w:val="3"/>
        </w:numPr>
        <w:spacing w:after="80"/>
      </w:pPr>
      <w:r>
        <w:rPr>
          <w:rFonts w:ascii="Arial" w:cs="Arial" w:eastAsia="Arial" w:hAnsi="Arial"/>
          <w:sz w:val="22"/>
          <w:szCs w:val="22"/>
        </w:rPr>
        <w:t xml:space="preserve">Add a Limitations section to each gap dashboard acknowledging evidence gaps and analytical assumptions.</w:t>
      </w:r>
    </w:p>
    <w:p>
      <w:pPr>
        <w:pStyle w:val="Heading2"/>
        <w:spacing w:after="150" w:before="300"/>
      </w:pPr>
      <w:r>
        <w:rPr>
          <w:rFonts w:ascii="Arial" w:cs="Arial" w:eastAsia="Arial" w:hAnsi="Arial"/>
        </w:rPr>
        <w:t xml:space="preserve">LOW Priority (polish and expand)</w:t>
      </w:r>
    </w:p>
    <w:p>
      <w:pPr>
        <w:pStyle w:val="ListParagraph"/>
        <w:numPr>
          <w:ilvl w:val="0"/>
          <w:numId w:val="3"/>
        </w:numPr>
        <w:spacing w:after="80"/>
      </w:pPr>
      <w:r>
        <w:rPr>
          <w:rFonts w:ascii="Arial" w:cs="Arial" w:eastAsia="Arial" w:hAnsi="Arial"/>
          <w:sz w:val="22"/>
          <w:szCs w:val="22"/>
        </w:rPr>
        <w:t xml:space="preserve">Add search/filter functionality to the landing page.</w:t>
      </w:r>
    </w:p>
    <w:p>
      <w:pPr>
        <w:pStyle w:val="ListParagraph"/>
        <w:numPr>
          <w:ilvl w:val="0"/>
          <w:numId w:val="3"/>
        </w:numPr>
        <w:spacing w:after="80"/>
      </w:pPr>
      <w:r>
        <w:rPr>
          <w:rFonts w:ascii="Arial" w:cs="Arial" w:eastAsia="Arial" w:hAnsi="Arial"/>
          <w:sz w:val="22"/>
          <w:szCs w:val="22"/>
        </w:rPr>
        <w:t xml:space="preserve">Verify WCAG AA color contrast compliance across all dashboards.</w:t>
      </w:r>
    </w:p>
    <w:p>
      <w:pPr>
        <w:pStyle w:val="ListParagraph"/>
        <w:numPr>
          <w:ilvl w:val="0"/>
          <w:numId w:val="3"/>
        </w:numPr>
        <w:spacing w:after="80"/>
      </w:pPr>
      <w:r>
        <w:rPr>
          <w:rFonts w:ascii="Arial" w:cs="Arial" w:eastAsia="Arial" w:hAnsi="Arial"/>
          <w:sz w:val="22"/>
          <w:szCs w:val="22"/>
        </w:rPr>
        <w:t xml:space="preserve">Add ARIA labels and screen reader skip links.</w:t>
      </w:r>
    </w:p>
    <w:p>
      <w:pPr>
        <w:pStyle w:val="ListParagraph"/>
        <w:numPr>
          <w:ilvl w:val="0"/>
          <w:numId w:val="3"/>
        </w:numPr>
        <w:spacing w:after="80"/>
      </w:pPr>
      <w:r>
        <w:rPr>
          <w:rFonts w:ascii="Arial" w:cs="Arial" w:eastAsia="Arial" w:hAnsi="Arial"/>
          <w:sz w:val="22"/>
          <w:szCs w:val="22"/>
        </w:rPr>
        <w:t xml:space="preserve">Consider a language framework for future LMIC outreach.</w:t>
      </w:r>
    </w:p>
    <w:p>
      <w:pPr>
        <w:pStyle w:val="ListParagraph"/>
        <w:numPr>
          <w:ilvl w:val="0"/>
          <w:numId w:val="3"/>
        </w:numPr>
        <w:spacing w:after="80"/>
      </w:pPr>
      <w:r>
        <w:rPr>
          <w:rFonts w:ascii="Arial" w:cs="Arial" w:eastAsia="Arial" w:hAnsi="Arial"/>
          <w:sz w:val="22"/>
          <w:szCs w:val="22"/>
        </w:rPr>
        <w:t xml:space="preserve">Add GitHub issue templates for data corrections and gap suggestions.</w:t>
      </w:r>
    </w:p>
    <w:p>
      <w:r>
        <w:br w:type="page"/>
      </w:r>
    </w:p>
    <w:p>
      <w:pPr>
        <w:pStyle w:val="Heading1"/>
        <w:spacing w:after="150" w:before="300"/>
      </w:pPr>
      <w:r>
        <w:rPr>
          <w:rFonts w:ascii="Arial" w:cs="Arial" w:eastAsia="Arial" w:hAnsi="Arial"/>
        </w:rPr>
        <w:t xml:space="preserve">Conclusion</w:t>
      </w:r>
    </w:p>
    <w:p>
      <w:pPr>
        <w:spacing w:after="120"/>
      </w:pPr>
      <w:r>
        <w:rPr>
          <w:rFonts w:ascii="Arial" w:cs="Arial" w:eastAsia="Arial" w:hAnsi="Arial"/>
          <w:sz w:val="22"/>
          <w:szCs w:val="22"/>
        </w:rPr>
        <w:t xml:space="preserve">The Diabetes Research Hub has grown from a gap analysis tool into a comprehensive computational research platform in a remarkably short time. The 15-gap coverage with dedicated interactive dashboards, 100-term medical dictionary, 147-acronym database, and 746-trial clinical intelligence dashboard represent a substantial body of synthesized research.</w:t>
      </w:r>
    </w:p>
    <w:p>
      <w:pPr>
        <w:spacing w:after="120"/>
      </w:pPr>
      <w:r>
        <w:rPr>
          <w:rFonts w:ascii="Arial" w:cs="Arial" w:eastAsia="Arial" w:hAnsi="Arial"/>
          <w:sz w:val="22"/>
          <w:szCs w:val="22"/>
        </w:rPr>
        <w:t xml:space="preserve">The three highest-impact improvements are all structural rather than scientific: (1) adding consistent navigation to all dashboards, (2) backfilling citations on the 5 uncited dashboards, and (3) adding collaboration infrastructure. These fixes would elevate the platform from a personal research tool to something that could credibly be shared with research institutions, diabetes foundations, and clinical teams.</w:t>
      </w:r>
    </w:p>
    <w:p>
      <w:pPr>
        <w:spacing w:after="120"/>
      </w:pPr>
      <w:r>
        <w:rPr>
          <w:rFonts w:ascii="Arial" w:cs="Arial" w:eastAsia="Arial" w:hAnsi="Arial"/>
          <w:sz w:val="22"/>
          <w:szCs w:val="22"/>
        </w:rPr>
        <w:t xml:space="preserve">The scientific content is generally strong, particularly in the GOLD-tier dashboards and several SILVER-tier analyses (Treg Neuropathy, GKA Landscape, Drug Repurposing Islet). The BRONZE-tier dashboards appropriately flag their preliminary status. The main research validity risk is the 5 dashboards with zero PMIDs, which should be addressed before the platform is cited in any publication or shared with peer reviewers.</w:t>
      </w:r>
    </w:p>
    <w:p>
      <w:pPr>
        <w:spacing w:after="120"/>
      </w:pPr>
      <w:r>
        <w:rPr>
          <w:rFonts w:ascii="Arial" w:cs="Arial" w:eastAsia="Arial" w:hAnsi="Arial"/>
          <w:i/>
          <w:iCs/>
          <w:sz w:val="22"/>
          <w:szCs w:val="22"/>
        </w:rPr>
        <w:t xml:space="preserve">This audit recommends proceeding with the HIGH priority items first, which can likely be accomplished in a single work session, followed by the MEDIUM items over the following week.</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36363"/>
        <w:sz w:val="16"/>
        <w:szCs w:val="16"/>
      </w:rPr>
      <w:t xml:space="preserve">Page </w:t>
    </w:r>
    <w:r>
      <w:rPr>
        <w:rFonts w:ascii="Arial" w:cs="Arial" w:eastAsia="Arial" w:hAnsi="Arial"/>
        <w:color w:val="6363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36363"/>
        <w:sz w:val="16"/>
        <w:szCs w:val="16"/>
      </w:rPr>
      <w:t xml:space="preserve">Diabetes Research Hub — Platform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1a"/>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c5f8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2026-03-16T21:35:04.978Z</dcterms:created>
  <dcterms:modified xsi:type="dcterms:W3CDTF">2026-03-16T21:35:04.979Z</dcterms:modified>
</cp:coreProperties>
</file>

<file path=docProps/custom.xml><?xml version="1.0" encoding="utf-8"?>
<Properties xmlns="http://schemas.openxmlformats.org/officeDocument/2006/custom-properties" xmlns:vt="http://schemas.openxmlformats.org/officeDocument/2006/docPropsVTypes"/>
</file>