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Georgia" w:cs="Georgia" w:eastAsia="Georgia" w:hAnsi="Georgia"/>
          <w:color w:val="5A5A5A"/>
          <w:spacing w:val="60"/>
          <w:sz w:val="18"/>
          <w:szCs w:val="18"/>
        </w:rPr>
        <w:t xml:space="preserve">DIABETES RESEARCH HUB</w:t>
      </w:r>
    </w:p>
    <w:p>
      <w:pPr>
        <w:spacing w:after="40" w:before="40"/>
      </w:pPr>
      <w:r>
        <w:rPr>
          <w:rFonts w:ascii="Georgia" w:cs="Georgia" w:eastAsia="Georgia" w:hAnsi="Georgia"/>
          <w:b/>
          <w:bCs/>
          <w:color w:val="1A1A1A"/>
          <w:sz w:val="40"/>
          <w:szCs w:val="40"/>
        </w:rPr>
        <w:t xml:space="preserve">Weekly Platform Audit</w:t>
      </w:r>
    </w:p>
    <w:p>
      <w:pPr>
        <w:spacing w:after="60"/>
      </w:pPr>
      <w:r>
        <w:rPr>
          <w:rFonts w:ascii="Georgia" w:cs="Georgia" w:eastAsia="Georgia" w:hAnsi="Georgia"/>
          <w:i/>
          <w:iCs/>
          <w:color w:val="5A5A5A"/>
          <w:sz w:val="19"/>
          <w:szCs w:val="19"/>
        </w:rPr>
        <w:t xml:space="preserve">June 21, 2026  ·  Automated weekly run  ·  Comparison baseline: June 14, 2026</w:t>
      </w:r>
    </w:p>
    <w:p>
      <w:pPr>
        <w:pBdr>
          <w:bottom w:val="single" w:color="1A1A1A" w:sz="10" w:space="1"/>
        </w:pBdr>
        <w:spacing w:after="120" w:before="60"/>
      </w:pPr>
      <w:r>
        <w:rPr>
          <w:sz w:val="2"/>
          <w:szCs w:val="2"/>
        </w:rPr>
        <w:t xml:space="preserve"/>
      </w:r>
    </w:p>
    <w:p>
      <w:pPr>
        <w:spacing w:after="160"/>
      </w:pPr>
      <w:r>
        <w:rPr>
          <w:rFonts w:ascii="Georgia" w:cs="Georgia" w:eastAsia="Georgia" w:hAnsi="Georgia"/>
          <w:i/>
          <w:iCs/>
          <w:color w:val="5A5A5A"/>
          <w:sz w:val="19"/>
          <w:szCs w:val="19"/>
        </w:rPr>
        <w:t xml:space="preserve">Scope: bottumj.github.io/diabetes-research-hub  ·  github.com/BottumJ/diabetes-research-hub  ·  local working copy</w:t>
      </w:r>
    </w:p>
    <w:p>
      <w:pPr>
        <w:pStyle w:val="Heading1"/>
      </w:pPr>
      <w:r>
        <w:t xml:space="preserve">Executive Summary</w:t>
      </w:r>
    </w:p>
    <w:p>
      <w:pPr>
        <w:spacing w:after="140" w:line="300"/>
      </w:pPr>
      <w:r>
        <w:rPr>
          <w:rFonts w:ascii="Georgia" w:cs="Georgia" w:eastAsia="Georgia" w:hAnsi="Georgia"/>
          <w:color w:val="1A1A1A"/>
          <w:sz w:val="21"/>
          <w:szCs w:val="21"/>
        </w:rPr>
        <w:t xml:space="preserve">The working copy remains in strong shape and the picture is </w:t>
      </w:r>
      <w:r>
        <w:rPr>
          <w:rFonts w:ascii="Georgia" w:cs="Georgia" w:eastAsia="Georgia" w:hAnsi="Georgia"/>
          <w:b/>
          <w:bCs/>
          <w:color w:val="1A1A1A"/>
          <w:sz w:val="21"/>
          <w:szCs w:val="21"/>
        </w:rPr>
        <w:t xml:space="preserve">largely static</w:t>
      </w:r>
      <w:r>
        <w:rPr>
          <w:rFonts w:ascii="Georgia" w:cs="Georgia" w:eastAsia="Georgia" w:hAnsi="Georgia"/>
          <w:color w:val="1A1A1A"/>
          <w:sz w:val="21"/>
          <w:szCs w:val="21"/>
        </w:rPr>
        <w:t xml:space="preserve"> versus last week. All 34 dashboards under </w:t>
      </w:r>
      <w:r>
        <w:rPr>
          <w:rFonts w:ascii="Courier New" w:cs="Courier New" w:eastAsia="Courier New" w:hAnsi="Courier New"/>
          <w:color w:val="1A1A1A"/>
          <w:sz w:val="18"/>
          <w:szCs w:val="18"/>
        </w:rPr>
        <w:t xml:space="preserve">Dashboards/</w:t>
      </w:r>
      <w:r>
        <w:rPr>
          <w:rFonts w:ascii="Georgia" w:cs="Georgia" w:eastAsia="Georgia" w:hAnsi="Georgia"/>
          <w:color w:val="1A1A1A"/>
          <w:sz w:val="21"/>
          <w:szCs w:val="21"/>
        </w:rPr>
        <w:t xml:space="preserve"> carry a consistent navigation bar and a hub back-link, every table uses proper header markup, and ARIA attributes are present throughout. No duplicate or misattributed PMIDs were confirmed.</w:t>
      </w:r>
    </w:p>
    <w:p>
      <w:pPr>
        <w:spacing w:after="140" w:line="300"/>
      </w:pPr>
      <w:r>
        <w:rPr>
          <w:rFonts w:ascii="Georgia" w:cs="Georgia" w:eastAsia="Georgia" w:hAnsi="Georgia"/>
          <w:color w:val="1A1A1A"/>
          <w:sz w:val="21"/>
          <w:szCs w:val="21"/>
        </w:rPr>
        <w:t xml:space="preserve">The dominant problem is unchanged and is the platform’s single most important issue: </w:t>
      </w:r>
      <w:r>
        <w:rPr>
          <w:rFonts w:ascii="Georgia" w:cs="Georgia" w:eastAsia="Georgia" w:hAnsi="Georgia"/>
          <w:b/>
          <w:bCs/>
          <w:color w:val="1A1A1A"/>
          <w:sz w:val="21"/>
          <w:szCs w:val="21"/>
        </w:rPr>
        <w:t xml:space="preserve">the published site is not being rebuilt from the working copy.</w:t>
      </w:r>
      <w:r>
        <w:rPr>
          <w:rFonts w:ascii="Georgia" w:cs="Georgia" w:eastAsia="Georgia" w:hAnsi="Georgia"/>
          <w:color w:val="1A1A1A"/>
          <w:sz w:val="21"/>
          <w:szCs w:val="21"/>
        </w:rPr>
        <w:t xml:space="preserve"> The deployed mirror under </w:t>
      </w:r>
      <w:r>
        <w:rPr>
          <w:rFonts w:ascii="Courier New" w:cs="Courier New" w:eastAsia="Courier New" w:hAnsi="Courier New"/>
          <w:color w:val="1A1A1A"/>
          <w:sz w:val="18"/>
          <w:szCs w:val="18"/>
        </w:rPr>
        <w:t xml:space="preserve">docs/Dashboards/</w:t>
      </w:r>
      <w:r>
        <w:rPr>
          <w:rFonts w:ascii="Georgia" w:cs="Georgia" w:eastAsia="Georgia" w:hAnsi="Georgia"/>
          <w:color w:val="1A1A1A"/>
          <w:sz w:val="21"/>
          <w:szCs w:val="21"/>
        </w:rPr>
        <w:t xml:space="preserve"> was last generated April 20 — roughly nine weeks ago — so the live site serves stale dashboards, and one dashboard the landing page links to (</w:t>
      </w:r>
      <w:r>
        <w:rPr>
          <w:rFonts w:ascii="Courier New" w:cs="Courier New" w:eastAsia="Courier New" w:hAnsi="Courier New"/>
          <w:color w:val="1A1A1A"/>
          <w:sz w:val="18"/>
          <w:szCs w:val="18"/>
        </w:rPr>
        <w:t xml:space="preserve">Islet_Drug_Repurposing.html</w:t>
      </w:r>
      <w:r>
        <w:rPr>
          <w:rFonts w:ascii="Georgia" w:cs="Georgia" w:eastAsia="Georgia" w:hAnsi="Georgia"/>
          <w:color w:val="1A1A1A"/>
          <w:sz w:val="21"/>
          <w:szCs w:val="21"/>
        </w:rPr>
        <w:t xml:space="preserve">) is missing from the mirror entirely, producing a broken link for visitors. Both HIGH items carried over from June 14 unresolved.</w:t>
      </w:r>
    </w:p>
    <w:p>
      <w:pPr>
        <w:spacing w:after="140" w:line="300"/>
      </w:pPr>
      <w:r>
        <w:rPr>
          <w:rFonts w:ascii="Georgia" w:cs="Georgia" w:eastAsia="Georgia" w:hAnsi="Georgia"/>
          <w:color w:val="1A1A1A"/>
          <w:sz w:val="21"/>
          <w:szCs w:val="21"/>
        </w:rPr>
        <w:t xml:space="preserve">Two MEDIUM threads also persist: the canonical trial count keeps drifting (the landing page now reads </w:t>
      </w:r>
      <w:r>
        <w:rPr>
          <w:rFonts w:ascii="Georgia" w:cs="Georgia" w:eastAsia="Georgia" w:hAnsi="Georgia"/>
          <w:b/>
          <w:bCs/>
          <w:color w:val="1A1A1A"/>
          <w:sz w:val="21"/>
          <w:szCs w:val="21"/>
        </w:rPr>
        <w:t xml:space="preserve">821</w:t>
      </w:r>
      <w:r>
        <w:rPr>
          <w:rFonts w:ascii="Georgia" w:cs="Georgia" w:eastAsia="Georgia" w:hAnsi="Georgia"/>
          <w:color w:val="1A1A1A"/>
          <w:sz w:val="21"/>
          <w:szCs w:val="21"/>
        </w:rPr>
        <w:t xml:space="preserve">, up from 809 last week, while the dashboards still hardcode “744” / “748+” and this audit brief still says 746), and two dashboards expose only two PMIDs each.</w:t>
      </w:r>
    </w:p>
    <w:p>
      <w:pPr>
        <w:spacing w:after="80" w:before="80"/>
      </w:pPr>
      <w:r>
        <w:rPr>
          <w:rFonts w:ascii="Georgia" w:cs="Georgia" w:eastAsia="Georgia" w:hAnsi="Georgia"/>
          <w:b/>
          <w:bCs/>
          <w:color w:val="1A1A1A"/>
          <w:sz w:val="21"/>
          <w:szCs w:val="21"/>
        </w:rPr>
        <w:t xml:space="preserve">Pass / fail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50"/>
        <w:gridCol w:w="1050"/>
        <w:gridCol w:w="4660"/>
      </w:tblGrid>
      <w:tr>
        <w:trPr>
          <w:tblHeader/>
        </w:trPr>
        <w:tc>
          <w:tcPr>
            <w:tcW w:type="dxa" w:w="365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8"/>
                <w:szCs w:val="18"/>
              </w:rPr>
              <w:t xml:space="preserve">Check</w:t>
            </w:r>
          </w:p>
        </w:tc>
        <w:tc>
          <w:tcPr>
            <w:tcW w:type="dxa" w:w="105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8"/>
                <w:szCs w:val="18"/>
              </w:rPr>
              <w:t xml:space="preserve">Status</w:t>
            </w:r>
          </w:p>
        </w:tc>
        <w:tc>
          <w:tcPr>
            <w:tcW w:type="dxa" w:w="466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8"/>
                <w:szCs w:val="18"/>
              </w:rPr>
              <w:t xml:space="preserve">Basis</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Navigation &amp; back-links (working copy)</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3C6E47"/>
                <w:sz w:val="18"/>
                <w:szCs w:val="18"/>
              </w:rPr>
              <w:t xml:space="preserve">PASS</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34/34 carry &lt;nav&gt; + hub back-link</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Landing-page link integrity (live site)</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23A2E"/>
                <w:sz w:val="18"/>
                <w:szCs w:val="18"/>
              </w:rPr>
              <w:t xml:space="preserve">FAIL</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1 broken link — Islet_Drug_Repurposing.html absent from mirror</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Deployed mirror sync</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23A2E"/>
                <w:sz w:val="18"/>
                <w:szCs w:val="18"/>
              </w:rPr>
              <w:t xml:space="preserve">FAIL</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docs/Dashboards/ last built Apr 20; 33/34 files; stale</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PMID coverage</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8"/>
                <w:szCs w:val="18"/>
              </w:rPr>
              <w:t xml:space="preserve">PARTIAL</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2 zero-PMID (utility pages); 2 below &lt;3 threshold</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PubMed URL format</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8"/>
                <w:szCs w:val="18"/>
              </w:rPr>
              <w:t xml:space="preserve">PARTIAL</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1,750 links https; 20 missing trailing slash</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Duplicate / misattributed PMIDs</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3C6E47"/>
                <w:sz w:val="18"/>
                <w:szCs w:val="18"/>
              </w:rPr>
              <w:t xml:space="preserve">PASS</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None confirmed cross-study</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Build harness</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3C6E47"/>
                <w:sz w:val="18"/>
                <w:szCs w:val="18"/>
              </w:rPr>
              <w:t xml:space="preserve">PASS*</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Representative scripts green; full 34-script run not executed in sandbox</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Accessibility — ARIA &amp; table headers</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3C6E47"/>
                <w:sz w:val="18"/>
                <w:szCs w:val="18"/>
              </w:rPr>
              <w:t xml:space="preserve">PASS</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All dashboards ARIA-labelled; all tables use &lt;th&gt;</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Colour contrast</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8"/>
                <w:szCs w:val="18"/>
              </w:rPr>
              <w:t xml:space="preserve">PARTIAL</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#636363 = 5.7:1 — passes AA, fails AAA</w:t>
            </w:r>
          </w:p>
        </w:tc>
      </w:tr>
      <w:tr>
        <w:tc>
          <w:tcPr>
            <w:tcW w:type="dxa" w:w="3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8"/>
                <w:szCs w:val="18"/>
              </w:rPr>
              <w:t xml:space="preserve">Collaboration infrastructure</w:t>
            </w:r>
          </w:p>
        </w:tc>
        <w:tc>
          <w:tcPr>
            <w:tcW w:type="dxa" w:w="10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3C6E47"/>
                <w:sz w:val="18"/>
                <w:szCs w:val="18"/>
              </w:rPr>
              <w:t xml:space="preserve">PASS</w:t>
            </w:r>
          </w:p>
        </w:tc>
        <w:tc>
          <w:tcPr>
            <w:tcW w:type="dxa" w:w="46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7"/>
                <w:szCs w:val="17"/>
              </w:rPr>
              <w:t xml:space="preserve">CONTRIBUTING.md, APA+BibTeX, 4 issue templates</w:t>
            </w:r>
          </w:p>
        </w:tc>
      </w:tr>
    </w:tbl>
    <w:p>
      <w:pPr>
        <w:spacing w:after="160" w:before="60"/>
      </w:pPr>
      <w:r>
        <w:rPr>
          <w:rFonts w:ascii="Georgia" w:cs="Georgia" w:eastAsia="Georgia" w:hAnsi="Georgia"/>
          <w:i/>
          <w:iCs/>
          <w:color w:val="5A5A5A"/>
          <w:sz w:val="19"/>
          <w:szCs w:val="19"/>
        </w:rPr>
        <w:t xml:space="preserve">PASS* = harness verified on representative scripts; the full pipeline was not run end-to-end in the audit sandbox (see Build Integrity).</w:t>
      </w:r>
    </w:p>
    <w:p>
      <w:pPr>
        <w:pStyle w:val="Heading1"/>
      </w:pPr>
      <w:r>
        <w:t xml:space="preserve">Comparison to Previous Audit — June 14, 2026</w:t>
      </w:r>
    </w:p>
    <w:p>
      <w:pPr>
        <w:spacing w:after="140" w:line="300"/>
      </w:pPr>
      <w:r>
        <w:rPr>
          <w:rFonts w:ascii="Georgia" w:cs="Georgia" w:eastAsia="Georgia" w:hAnsi="Georgia"/>
          <w:color w:val="1A1A1A"/>
          <w:sz w:val="21"/>
          <w:szCs w:val="21"/>
        </w:rPr>
        <w:t xml:space="preserve">Essentially no movement. Both HIGH items from last week remain open and have aged another week. Every LOW item is unchanged. The one quantity that moved is the trial count, which widened the drift rather than closing it.</w:t>
      </w:r>
    </w:p>
    <w:p>
      <w:pPr>
        <w:pStyle w:val="ListParagraph"/>
        <w:numPr>
          <w:ilvl w:val="0"/>
          <w:numId w:val="2"/>
        </w:numPr>
        <w:spacing w:after="80" w:line="290"/>
      </w:pPr>
      <w:r>
        <w:rPr>
          <w:rFonts w:ascii="Georgia" w:cs="Georgia" w:eastAsia="Georgia" w:hAnsi="Georgia"/>
          <w:b/>
          <w:bCs/>
          <w:color w:val="1A1A1A"/>
          <w:sz w:val="21"/>
          <w:szCs w:val="21"/>
        </w:rPr>
        <w:t xml:space="preserve">Stale / unsynced deployed mirror </w:t>
      </w:r>
      <w:r>
        <w:rPr>
          <w:rFonts w:ascii="Georgia" w:cs="Georgia" w:eastAsia="Georgia" w:hAnsi="Georgia"/>
          <w:b/>
          <w:bCs/>
          <w:color w:val="B23A2E"/>
          <w:sz w:val="19"/>
          <w:szCs w:val="19"/>
        </w:rPr>
        <w:t xml:space="preserve">[HIGH]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Mirror still dated Apr 20; no rebuild this cycle</w:t>
      </w:r>
    </w:p>
    <w:p>
      <w:pPr>
        <w:pStyle w:val="ListParagraph"/>
        <w:numPr>
          <w:ilvl w:val="0"/>
          <w:numId w:val="2"/>
        </w:numPr>
        <w:spacing w:after="80" w:line="290"/>
      </w:pPr>
      <w:r>
        <w:rPr>
          <w:rFonts w:ascii="Georgia" w:cs="Georgia" w:eastAsia="Georgia" w:hAnsi="Georgia"/>
          <w:b/>
          <w:bCs/>
          <w:color w:val="1A1A1A"/>
          <w:sz w:val="21"/>
          <w:szCs w:val="21"/>
        </w:rPr>
        <w:t xml:space="preserve">Islet_Drug_Repurposing.html missing from mirror </w:t>
      </w:r>
      <w:r>
        <w:rPr>
          <w:rFonts w:ascii="Georgia" w:cs="Georgia" w:eastAsia="Georgia" w:hAnsi="Georgia"/>
          <w:b/>
          <w:bCs/>
          <w:color w:val="B23A2E"/>
          <w:sz w:val="19"/>
          <w:szCs w:val="19"/>
        </w:rPr>
        <w:t xml:space="preserve">[HIGH]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Still linked by landing page; still absent</w:t>
      </w:r>
    </w:p>
    <w:p>
      <w:pPr>
        <w:pStyle w:val="ListParagraph"/>
        <w:numPr>
          <w:ilvl w:val="0"/>
          <w:numId w:val="2"/>
        </w:numPr>
        <w:spacing w:after="80" w:line="290"/>
      </w:pPr>
      <w:r>
        <w:rPr>
          <w:rFonts w:ascii="Georgia" w:cs="Georgia" w:eastAsia="Georgia" w:hAnsi="Georgia"/>
          <w:b/>
          <w:bCs/>
          <w:color w:val="1A1A1A"/>
          <w:sz w:val="21"/>
          <w:szCs w:val="21"/>
        </w:rPr>
        <w:t xml:space="preserve">Trial-count reconciliation </w:t>
      </w:r>
      <w:r>
        <w:rPr>
          <w:rFonts w:ascii="Georgia" w:cs="Georgia" w:eastAsia="Georgia" w:hAnsi="Georgia"/>
          <w:b/>
          <w:bCs/>
          <w:color w:val="B8860B"/>
          <w:sz w:val="19"/>
          <w:szCs w:val="19"/>
        </w:rPr>
        <w:t xml:space="preserve">[MED] </w:t>
      </w:r>
      <w:r>
        <w:rPr>
          <w:rFonts w:ascii="Georgia" w:cs="Georgia" w:eastAsia="Georgia" w:hAnsi="Georgia"/>
          <w:b/>
          <w:bCs/>
          <w:color w:val="B23A2E"/>
          <w:sz w:val="21"/>
          <w:szCs w:val="21"/>
        </w:rPr>
        <w:t xml:space="preserve">WORSE — </w:t>
      </w:r>
      <w:r>
        <w:rPr>
          <w:rFonts w:ascii="Georgia" w:cs="Georgia" w:eastAsia="Georgia" w:hAnsi="Georgia"/>
          <w:i/>
          <w:iCs/>
          <w:color w:val="5A5A5A"/>
          <w:sz w:val="19"/>
          <w:szCs w:val="19"/>
        </w:rPr>
        <w:t xml:space="preserve">Landing 809→821; dashboards still 744/748+</w:t>
      </w:r>
    </w:p>
    <w:p>
      <w:pPr>
        <w:pStyle w:val="ListParagraph"/>
        <w:numPr>
          <w:ilvl w:val="0"/>
          <w:numId w:val="2"/>
        </w:numPr>
        <w:spacing w:after="80" w:line="290"/>
      </w:pPr>
      <w:r>
        <w:rPr>
          <w:rFonts w:ascii="Georgia" w:cs="Georgia" w:eastAsia="Georgia" w:hAnsi="Georgia"/>
          <w:b/>
          <w:bCs/>
          <w:color w:val="1A1A1A"/>
          <w:sz w:val="21"/>
          <w:szCs w:val="21"/>
        </w:rPr>
        <w:t xml:space="preserve">Malformed PubMed hrefs </w:t>
      </w:r>
      <w:r>
        <w:rPr>
          <w:rFonts w:ascii="Georgia" w:cs="Georgia" w:eastAsia="Georgia" w:hAnsi="Georgia"/>
          <w:b/>
          <w:bCs/>
          <w:color w:val="B8860B"/>
          <w:sz w:val="19"/>
          <w:szCs w:val="19"/>
        </w:rPr>
        <w:t xml:space="preserve">[MED]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20 links missing trailing slash</w:t>
      </w:r>
    </w:p>
    <w:p>
      <w:pPr>
        <w:pStyle w:val="ListParagraph"/>
        <w:numPr>
          <w:ilvl w:val="0"/>
          <w:numId w:val="2"/>
        </w:numPr>
        <w:spacing w:after="80" w:line="290"/>
      </w:pPr>
      <w:r>
        <w:rPr>
          <w:rFonts w:ascii="Georgia" w:cs="Georgia" w:eastAsia="Georgia" w:hAnsi="Georgia"/>
          <w:b/>
          <w:bCs/>
          <w:color w:val="1A1A1A"/>
          <w:sz w:val="21"/>
          <w:szCs w:val="21"/>
        </w:rPr>
        <w:t xml:space="preserve">Sub-threshold PMID coverage </w:t>
      </w:r>
      <w:r>
        <w:rPr>
          <w:rFonts w:ascii="Georgia" w:cs="Georgia" w:eastAsia="Georgia" w:hAnsi="Georgia"/>
          <w:b/>
          <w:bCs/>
          <w:color w:val="B8860B"/>
          <w:sz w:val="19"/>
          <w:szCs w:val="19"/>
        </w:rPr>
        <w:t xml:space="preserve">[MED]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Generic_Drug_Catalog &amp; LADA_Prevalence: 2 each</w:t>
      </w:r>
    </w:p>
    <w:p>
      <w:pPr>
        <w:pStyle w:val="ListParagraph"/>
        <w:numPr>
          <w:ilvl w:val="0"/>
          <w:numId w:val="2"/>
        </w:numPr>
        <w:spacing w:after="80" w:line="290"/>
      </w:pPr>
      <w:r>
        <w:rPr>
          <w:rFonts w:ascii="Georgia" w:cs="Georgia" w:eastAsia="Georgia" w:hAnsi="Georgia"/>
          <w:b/>
          <w:bCs/>
          <w:color w:val="1A1A1A"/>
          <w:sz w:val="21"/>
          <w:szCs w:val="21"/>
        </w:rPr>
        <w:t xml:space="preserve">th scope attributes </w:t>
      </w:r>
      <w:r>
        <w:rPr>
          <w:rFonts w:ascii="Georgia" w:cs="Georgia" w:eastAsia="Georgia" w:hAnsi="Georgia"/>
          <w:b/>
          <w:bCs/>
          <w:color w:val="5A5A5A"/>
          <w:sz w:val="19"/>
          <w:szCs w:val="19"/>
        </w:rPr>
        <w:t xml:space="preserve">[LOW]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0 of 529 &lt;th&gt; carry scope</w:t>
      </w:r>
    </w:p>
    <w:p>
      <w:pPr>
        <w:pStyle w:val="ListParagraph"/>
        <w:numPr>
          <w:ilvl w:val="0"/>
          <w:numId w:val="2"/>
        </w:numPr>
        <w:spacing w:after="80" w:line="290"/>
      </w:pPr>
      <w:r>
        <w:rPr>
          <w:rFonts w:ascii="Georgia" w:cs="Georgia" w:eastAsia="Georgia" w:hAnsi="Georgia"/>
          <w:b/>
          <w:bCs/>
          <w:color w:val="1A1A1A"/>
          <w:sz w:val="21"/>
          <w:szCs w:val="21"/>
        </w:rPr>
        <w:t xml:space="preserve">Muted text contrast (AAA) </w:t>
      </w:r>
      <w:r>
        <w:rPr>
          <w:rFonts w:ascii="Georgia" w:cs="Georgia" w:eastAsia="Georgia" w:hAnsi="Georgia"/>
          <w:b/>
          <w:bCs/>
          <w:color w:val="5A5A5A"/>
          <w:sz w:val="19"/>
          <w:szCs w:val="19"/>
        </w:rPr>
        <w:t xml:space="preserve">[LOW]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#636363 still in use (5.7:1)</w:t>
      </w:r>
    </w:p>
    <w:p>
      <w:pPr>
        <w:pStyle w:val="ListParagraph"/>
        <w:numPr>
          <w:ilvl w:val="0"/>
          <w:numId w:val="2"/>
        </w:numPr>
        <w:spacing w:after="80" w:line="290"/>
      </w:pPr>
      <w:r>
        <w:rPr>
          <w:rFonts w:ascii="Georgia" w:cs="Georgia" w:eastAsia="Georgia" w:hAnsi="Georgia"/>
          <w:b/>
          <w:bCs/>
          <w:color w:val="1A1A1A"/>
          <w:sz w:val="21"/>
          <w:szCs w:val="21"/>
        </w:rPr>
        <w:t xml:space="preserve">GKA_Landscape “Generated 2025” footer </w:t>
      </w:r>
      <w:r>
        <w:rPr>
          <w:rFonts w:ascii="Georgia" w:cs="Georgia" w:eastAsia="Georgia" w:hAnsi="Georgia"/>
          <w:b/>
          <w:bCs/>
          <w:color w:val="5A5A5A"/>
          <w:sz w:val="19"/>
          <w:szCs w:val="19"/>
        </w:rPr>
        <w:t xml:space="preserve">[LOW]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Literal year stamp unchanged</w:t>
      </w:r>
    </w:p>
    <w:p>
      <w:pPr>
        <w:pStyle w:val="ListParagraph"/>
        <w:numPr>
          <w:ilvl w:val="0"/>
          <w:numId w:val="2"/>
        </w:numPr>
        <w:spacing w:after="80" w:line="290"/>
      </w:pPr>
      <w:r>
        <w:rPr>
          <w:rFonts w:ascii="Georgia" w:cs="Georgia" w:eastAsia="Georgia" w:hAnsi="Georgia"/>
          <w:b/>
          <w:bCs/>
          <w:color w:val="1A1A1A"/>
          <w:sz w:val="21"/>
          <w:szCs w:val="21"/>
        </w:rPr>
        <w:t xml:space="preserve">CITATION.cff / PR template </w:t>
      </w:r>
      <w:r>
        <w:rPr>
          <w:rFonts w:ascii="Georgia" w:cs="Georgia" w:eastAsia="Georgia" w:hAnsi="Georgia"/>
          <w:b/>
          <w:bCs/>
          <w:color w:val="5A5A5A"/>
          <w:sz w:val="19"/>
          <w:szCs w:val="19"/>
        </w:rPr>
        <w:t xml:space="preserve">[LOW] </w:t>
      </w:r>
      <w:r>
        <w:rPr>
          <w:rFonts w:ascii="Georgia" w:cs="Georgia" w:eastAsia="Georgia" w:hAnsi="Georgia"/>
          <w:b/>
          <w:bCs/>
          <w:color w:val="5A5A5A"/>
          <w:sz w:val="21"/>
          <w:szCs w:val="21"/>
        </w:rPr>
        <w:t xml:space="preserve">OPEN — </w:t>
      </w:r>
      <w:r>
        <w:rPr>
          <w:rFonts w:ascii="Georgia" w:cs="Georgia" w:eastAsia="Georgia" w:hAnsi="Georgia"/>
          <w:i/>
          <w:iCs/>
          <w:color w:val="5A5A5A"/>
          <w:sz w:val="19"/>
          <w:szCs w:val="19"/>
        </w:rPr>
        <w:t xml:space="preserve">Neither file present</w:t>
      </w:r>
    </w:p>
    <w:p>
      <w:r>
        <w:br/>
      </w:r>
    </w:p>
    <w:p>
      <w:pPr>
        <w:pStyle w:val="Heading1"/>
      </w:pPr>
      <w:r>
        <w:t xml:space="preserve">Dashboard-by-Dashboard Status</w:t>
      </w:r>
    </w:p>
    <w:p>
      <w:pPr>
        <w:spacing w:after="140" w:line="300"/>
      </w:pPr>
      <w:r>
        <w:rPr>
          <w:rFonts w:ascii="Georgia" w:cs="Georgia" w:eastAsia="Georgia" w:hAnsi="Georgia"/>
          <w:i/>
          <w:iCs/>
          <w:color w:val="5A5A5A"/>
          <w:sz w:val="19"/>
          <w:szCs w:val="19"/>
        </w:rPr>
        <w:t xml:space="preserve">All 34 active dashboards in the working copy (</w:t>
      </w:r>
      <w:r>
        <w:rPr>
          <w:rFonts w:ascii="Courier New" w:cs="Courier New" w:eastAsia="Courier New" w:hAnsi="Courier New"/>
          <w:i/>
          <w:iCs/>
          <w:color w:val="5A5A5A"/>
          <w:sz w:val="18"/>
          <w:szCs w:val="18"/>
        </w:rPr>
        <w:t xml:space="preserve">Dashboards/</w:t>
      </w:r>
      <w:r>
        <w:rPr>
          <w:rFonts w:ascii="Georgia" w:cs="Georgia" w:eastAsia="Georgia" w:hAnsi="Georgia"/>
          <w:i/>
          <w:iCs/>
          <w:color w:val="5A5A5A"/>
          <w:sz w:val="19"/>
          <w:szCs w:val="19"/>
        </w:rPr>
        <w:t xml:space="preserve">), alphabetical. PMIDs = unique numeric PubMed IDs. ✓ nav+back = navigation bar and hub back-link both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40"/>
        <w:gridCol w:w="760"/>
        <w:gridCol w:w="760"/>
        <w:gridCol w:w="4650"/>
      </w:tblGrid>
      <w:tr>
        <w:trPr>
          <w:tblHeader/>
        </w:trPr>
        <w:tc>
          <w:tcPr>
            <w:tcW w:type="dxa" w:w="255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7"/>
                <w:szCs w:val="17"/>
              </w:rPr>
              <w:t xml:space="preserve">Dashboard</w:t>
            </w:r>
          </w:p>
        </w:tc>
        <w:tc>
          <w:tcPr>
            <w:tcW w:type="dxa" w:w="640"/>
            <w:tcBorders>
              <w:top w:val="none"/>
              <w:left w:val="none"/>
              <w:bottom w:val="single" w:color="DDD8CC" w:sz="2"/>
              <w:right w:val="none"/>
            </w:tcBorders>
            <w:shd w:fill="F0EEE6" w:val="clear"/>
            <w:tcMar>
              <w:top w:type="dxa" w:w="50"/>
              <w:left w:type="dxa" w:w="90"/>
              <w:bottom w:type="dxa" w:w="50"/>
              <w:right w:type="dxa" w:w="90"/>
            </w:tcMar>
          </w:tcPr>
          <w:p>
            <w:pPr>
              <w:spacing w:after="0"/>
              <w:jc w:val="right"/>
            </w:pPr>
            <w:r>
              <w:rPr>
                <w:rFonts w:ascii="Georgia" w:cs="Georgia" w:eastAsia="Georgia" w:hAnsi="Georgia"/>
                <w:b/>
                <w:bCs/>
                <w:color w:val="1A1A1A"/>
                <w:sz w:val="17"/>
                <w:szCs w:val="17"/>
              </w:rPr>
              <w:t xml:space="preserve">KB</w:t>
            </w:r>
          </w:p>
        </w:tc>
        <w:tc>
          <w:tcPr>
            <w:tcW w:type="dxa" w:w="760"/>
            <w:tcBorders>
              <w:top w:val="none"/>
              <w:left w:val="none"/>
              <w:bottom w:val="single" w:color="DDD8CC" w:sz="2"/>
              <w:right w:val="none"/>
            </w:tcBorders>
            <w:shd w:fill="F0EEE6" w:val="clear"/>
            <w:tcMar>
              <w:top w:type="dxa" w:w="50"/>
              <w:left w:type="dxa" w:w="90"/>
              <w:bottom w:type="dxa" w:w="50"/>
              <w:right w:type="dxa" w:w="90"/>
            </w:tcMar>
          </w:tcPr>
          <w:p>
            <w:pPr>
              <w:spacing w:after="0"/>
              <w:jc w:val="right"/>
            </w:pPr>
            <w:r>
              <w:rPr>
                <w:rFonts w:ascii="Georgia" w:cs="Georgia" w:eastAsia="Georgia" w:hAnsi="Georgia"/>
                <w:b/>
                <w:bCs/>
                <w:color w:val="1A1A1A"/>
                <w:sz w:val="17"/>
                <w:szCs w:val="17"/>
              </w:rPr>
              <w:t xml:space="preserve">PMIDs</w:t>
            </w:r>
          </w:p>
        </w:tc>
        <w:tc>
          <w:tcPr>
            <w:tcW w:type="dxa" w:w="76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7"/>
                <w:szCs w:val="17"/>
              </w:rPr>
              <w:t xml:space="preserve">Pri.</w:t>
            </w:r>
          </w:p>
        </w:tc>
        <w:tc>
          <w:tcPr>
            <w:tcW w:type="dxa" w:w="4650"/>
            <w:tcBorders>
              <w:top w:val="none"/>
              <w:left w:val="none"/>
              <w:bottom w:val="single" w:color="DDD8CC" w:sz="2"/>
              <w:right w:val="none"/>
            </w:tcBorders>
            <w:shd w:fill="F0EEE6" w:val="clear"/>
            <w:tcMar>
              <w:top w:type="dxa" w:w="50"/>
              <w:left w:type="dxa" w:w="90"/>
              <w:bottom w:type="dxa" w:w="50"/>
              <w:right w:type="dxa" w:w="90"/>
            </w:tcMar>
          </w:tcPr>
          <w:p>
            <w:pPr>
              <w:spacing w:after="0"/>
            </w:pPr>
            <w:r>
              <w:rPr>
                <w:rFonts w:ascii="Georgia" w:cs="Georgia" w:eastAsia="Georgia" w:hAnsi="Georgia"/>
                <w:b/>
                <w:bCs/>
                <w:color w:val="1A1A1A"/>
                <w:sz w:val="17"/>
                <w:szCs w:val="17"/>
              </w:rPr>
              <w:t xml:space="preserve">Nav/back-link + notes</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Acronym_Database</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93</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B23A2E"/>
                <w:sz w:val="17"/>
                <w:szCs w:val="17"/>
              </w:rPr>
              <w:t xml:space="preserve">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23A2E"/>
                <w:sz w:val="17"/>
                <w:szCs w:val="17"/>
              </w:rPr>
              <w:t xml:space="preserve">HIGH*</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Zero PMIDs — glossary page (citations not expected by nature)</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CART_Access_Barriers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85</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13</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Clinical_Trial_Dashboard</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454</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Hardcoded “748+” trial count; landing page now 821</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Corpus_Analysis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82</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Drug_Repurposing_Islet</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59</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9</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12 PubMed hrefs missing trailing slash</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Drug_Repurposing_Screen</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119</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Equity_Map</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81</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9</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Extracted_Evidence</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133</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53</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GKA_LADA</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42</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13</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GKA_Landscape</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60</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5A5A5A"/>
                <w:sz w:val="17"/>
                <w:szCs w:val="17"/>
              </w:rPr>
              <w:t xml:space="preserve">LOW</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Footer literal “Generated 2025” (stale year stamp)</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GKA_Pricing</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52</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12</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Gap_Deep_Dives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218</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20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Carries “744/746” trial figures</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Gap_Evidence</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182</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71</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Gap_Synthesis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121</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Generic_Drug_Catalog</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48</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B8860B"/>
                <w:sz w:val="17"/>
                <w:szCs w:val="17"/>
              </w:rPr>
              <w:t xml:space="preserve">2</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Only 2 unique PMIDs (&lt;3 threshold)</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Health_Equity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76</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8 PubMed hrefs missing trailing slash</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Immunomod_LADA</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50</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Islet_Drug_Repurposing</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115</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23A2E"/>
                <w:sz w:val="17"/>
                <w:szCs w:val="17"/>
              </w:rPr>
              <w:t xml:space="preserve">HIGH</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Linked by landing page but ABSENT from published docs/Dashboards/ (broken live link)</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Islet_Transplant_Analysis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74</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Islet_Transplant_Equity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43</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LADA_Diagnostic_Model</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57</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LADA_Natural_History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60</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LADA_Prevalence</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54</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B8860B"/>
                <w:sz w:val="17"/>
                <w:szCs w:val="17"/>
              </w:rPr>
              <w:t xml:space="preserve">2</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8860B"/>
                <w:sz w:val="17"/>
                <w:szCs w:val="17"/>
              </w:rPr>
              <w:t xml:space="preserve">MED</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Only 2 unique PMIDs (&lt;3 threshold)</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Medical_Data_Dictionary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358</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90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Methodology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65</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B23A2E"/>
                <w:sz w:val="17"/>
                <w:szCs w:val="17"/>
              </w:rPr>
              <w:t xml:space="preserve">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bCs/>
                <w:color w:val="B23A2E"/>
                <w:sz w:val="17"/>
                <w:szCs w:val="17"/>
              </w:rPr>
              <w:t xml:space="preserve">HIGH*</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6"/>
                <w:szCs w:val="16"/>
              </w:rPr>
              <w:t xml:space="preserve">✓ nav+back · Zero PMIDs — methodology explainer (citations not expected by nature)</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Nutrition_Beta_Cells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45</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10</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Nutrition_LADA</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54</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14</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PMID_Verification</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172</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261</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Paper_Library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201</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261</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Research_Dashboard</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65</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Research_Paths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129</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Statistical_Analysis</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37</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Treg_Neuropathy</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68</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r>
        <w:tc>
          <w:tcPr>
            <w:tcW w:type="dxa" w:w="25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1A1A1A"/>
                <w:sz w:val="17"/>
                <w:szCs w:val="17"/>
              </w:rPr>
              <w:t xml:space="preserve">Trial_Equity_Mapper</w:t>
            </w:r>
          </w:p>
        </w:tc>
        <w:tc>
          <w:tcPr>
            <w:tcW w:type="dxa" w:w="64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73</w:t>
            </w:r>
          </w:p>
        </w:tc>
        <w:tc>
          <w:tcPr>
            <w:tcW w:type="dxa" w:w="760"/>
            <w:tcBorders>
              <w:top w:val="none"/>
              <w:left w:val="none"/>
              <w:bottom w:val="single" w:color="DDD8CC" w:sz="2"/>
              <w:right w:val="none"/>
            </w:tcBorders>
            <w:tcMar>
              <w:top w:type="dxa" w:w="50"/>
              <w:left w:type="dxa" w:w="90"/>
              <w:bottom w:type="dxa" w:w="50"/>
              <w:right w:type="dxa" w:w="90"/>
            </w:tcMar>
          </w:tcPr>
          <w:p>
            <w:pPr>
              <w:spacing w:after="0"/>
              <w:jc w:val="right"/>
            </w:pPr>
            <w:r>
              <w:rPr>
                <w:rFonts w:ascii="Georgia" w:cs="Georgia" w:eastAsia="Georgia" w:hAnsi="Georgia"/>
                <w:color w:val="1A1A1A"/>
                <w:sz w:val="17"/>
                <w:szCs w:val="17"/>
              </w:rPr>
              <w:t xml:space="preserve">8</w:t>
            </w:r>
          </w:p>
        </w:tc>
        <w:tc>
          <w:tcPr>
            <w:tcW w:type="dxa" w:w="76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b w:val="false"/>
                <w:bCs w:val="false"/>
                <w:color w:val="3C6E47"/>
                <w:sz w:val="17"/>
                <w:szCs w:val="17"/>
              </w:rPr>
              <w:t xml:space="preserve">OK</w:t>
            </w:r>
          </w:p>
        </w:tc>
        <w:tc>
          <w:tcPr>
            <w:tcW w:type="dxa" w:w="4650"/>
            <w:tcBorders>
              <w:top w:val="none"/>
              <w:left w:val="none"/>
              <w:bottom w:val="single" w:color="DDD8CC" w:sz="2"/>
              <w:right w:val="none"/>
            </w:tcBorders>
            <w:tcMar>
              <w:top w:type="dxa" w:w="50"/>
              <w:left w:type="dxa" w:w="90"/>
              <w:bottom w:type="dxa" w:w="50"/>
              <w:right w:type="dxa" w:w="90"/>
            </w:tcMar>
          </w:tcPr>
          <w:p>
            <w:pPr>
              <w:spacing w:after="0"/>
            </w:pPr>
            <w:r>
              <w:rPr>
                <w:rFonts w:ascii="Georgia" w:cs="Georgia" w:eastAsia="Georgia" w:hAnsi="Georgia"/>
                <w:color w:val="5A5A5A"/>
                <w:sz w:val="16"/>
                <w:szCs w:val="16"/>
              </w:rPr>
              <w:t xml:space="preserve">✓ nav+back · —</w:t>
            </w:r>
          </w:p>
        </w:tc>
      </w:tr>
    </w:tbl>
    <w:p>
      <w:pPr>
        <w:spacing w:after="120" w:before="80"/>
      </w:pPr>
      <w:r>
        <w:rPr>
          <w:rFonts w:ascii="Georgia" w:cs="Georgia" w:eastAsia="Georgia" w:hAnsi="Georgia"/>
          <w:i/>
          <w:iCs/>
          <w:color w:val="5A5A5A"/>
          <w:sz w:val="19"/>
          <w:szCs w:val="19"/>
        </w:rPr>
        <w:t xml:space="preserve">* Acronym_Database and Methodology are flagged HIGH by the zero-PMID rule, but both are utility pages (a glossary and a methodology explainer) where literature citations are not expected. Treated as informational rather than true research-validity defects.</w:t>
      </w:r>
    </w:p>
    <w:p>
      <w:pPr>
        <w:sectPr>
          <w:footerReference w:type="default" r:id="rId7"/>
          <w:pgSz w:w="12240" w:h="15840" w:orient="portrait"/>
          <w:pgMar w:top="1300" w:right="1440" w:bottom="1300" w:left="1440" w:header="708" w:footer="708" w:gutter="0"/>
          <w:pgNumType/>
          <w:docGrid w:linePitch="360"/>
        </w:sectPr>
      </w:pPr>
    </w:p>
    <w:p>
      <w:pPr>
        <w:pStyle w:val="Heading1"/>
      </w:pPr>
      <w:r>
        <w:t xml:space="preserve">Detailed Findings</w:t>
      </w:r>
    </w:p>
    <w:p>
      <w:pPr>
        <w:pStyle w:val="Heading2"/>
      </w:pPr>
      <w:r>
        <w:t xml:space="preserve">1 · Navigation and UX Consistency</w:t>
      </w:r>
    </w:p>
    <w:p>
      <w:pPr>
        <w:spacing w:after="140" w:line="300"/>
      </w:pPr>
      <w:r>
        <w:rPr>
          <w:rFonts w:ascii="Georgia" w:cs="Georgia" w:eastAsia="Georgia" w:hAnsi="Georgia"/>
          <w:b/>
          <w:bCs/>
          <w:color w:val="1A1A1A"/>
          <w:sz w:val="21"/>
          <w:szCs w:val="21"/>
        </w:rPr>
        <w:t xml:space="preserve">Working copy.</w:t>
      </w:r>
      <w:r>
        <w:rPr>
          <w:rFonts w:ascii="Georgia" w:cs="Georgia" w:eastAsia="Georgia" w:hAnsi="Georgia"/>
          <w:color w:val="1A1A1A"/>
          <w:sz w:val="21"/>
          <w:szCs w:val="21"/>
        </w:rPr>
        <w:t xml:space="preserve"> All 34 dashboards contain a </w:t>
      </w:r>
      <w:r>
        <w:rPr>
          <w:rFonts w:ascii="Courier New" w:cs="Courier New" w:eastAsia="Courier New" w:hAnsi="Courier New"/>
          <w:color w:val="1A1A1A"/>
          <w:sz w:val="18"/>
          <w:szCs w:val="18"/>
        </w:rPr>
        <w:t xml:space="preserve">&lt;nav class=“drh-nav”&gt;</w:t>
      </w:r>
      <w:r>
        <w:rPr>
          <w:rFonts w:ascii="Georgia" w:cs="Georgia" w:eastAsia="Georgia" w:hAnsi="Georgia"/>
          <w:color w:val="1A1A1A"/>
          <w:sz w:val="21"/>
          <w:szCs w:val="21"/>
        </w:rPr>
        <w:t xml:space="preserve"> element with grouped cross-links to the other dashboards (33 each) and a back-link resolving to the hub landing page. No working-copy dashboard is missing navigation or a back-link.</w:t>
      </w:r>
    </w:p>
    <w:p>
      <w:pPr>
        <w:spacing w:after="140" w:line="300"/>
      </w:pPr>
      <w:r>
        <w:rPr>
          <w:rFonts w:ascii="Georgia" w:cs="Georgia" w:eastAsia="Georgia" w:hAnsi="Georgia"/>
          <w:b/>
          <w:bCs/>
          <w:color w:val="1A1A1A"/>
          <w:sz w:val="21"/>
          <w:szCs w:val="21"/>
        </w:rPr>
        <w:t xml:space="preserve">Deployed mirror.</w:t>
      </w:r>
      <w:r>
        <w:rPr>
          <w:rFonts w:ascii="Georgia" w:cs="Georgia" w:eastAsia="Georgia" w:hAnsi="Georgia"/>
          <w:color w:val="1A1A1A"/>
          <w:sz w:val="21"/>
          <w:szCs w:val="21"/>
        </w:rPr>
        <w:t xml:space="preserve"> The mirror under </w:t>
      </w:r>
      <w:r>
        <w:rPr>
          <w:rFonts w:ascii="Courier New" w:cs="Courier New" w:eastAsia="Courier New" w:hAnsi="Courier New"/>
          <w:color w:val="1A1A1A"/>
          <w:sz w:val="18"/>
          <w:szCs w:val="18"/>
        </w:rPr>
        <w:t xml:space="preserve">docs/Dashboards/</w:t>
      </w:r>
      <w:r>
        <w:rPr>
          <w:rFonts w:ascii="Georgia" w:cs="Georgia" w:eastAsia="Georgia" w:hAnsi="Georgia"/>
          <w:color w:val="1A1A1A"/>
          <w:sz w:val="21"/>
          <w:szCs w:val="21"/>
        </w:rPr>
        <w:t xml:space="preserve"> holds 33 files, last written April 20. It is out of step with the working copy on both content and structure, and is the root cause of the two HIGH items below.</w:t>
      </w:r>
    </w:p>
    <w:p>
      <w:pPr>
        <w:spacing w:after="140" w:line="300"/>
      </w:pPr>
      <w:r>
        <w:rPr>
          <w:rFonts w:ascii="Georgia" w:cs="Georgia" w:eastAsia="Georgia" w:hAnsi="Georgia"/>
          <w:b/>
          <w:bCs/>
          <w:color w:val="1A1A1A"/>
          <w:sz w:val="21"/>
          <w:szCs w:val="21"/>
        </w:rPr>
        <w:t xml:space="preserve">Landing page.</w:t>
      </w:r>
      <w:r>
        <w:rPr>
          <w:rFonts w:ascii="Georgia" w:cs="Georgia" w:eastAsia="Georgia" w:hAnsi="Georgia"/>
          <w:color w:val="1A1A1A"/>
          <w:sz w:val="21"/>
          <w:szCs w:val="21"/>
        </w:rPr>
        <w:t xml:space="preserve"> </w:t>
      </w:r>
      <w:r>
        <w:rPr>
          <w:rFonts w:ascii="Courier New" w:cs="Courier New" w:eastAsia="Courier New" w:hAnsi="Courier New"/>
          <w:color w:val="1A1A1A"/>
          <w:sz w:val="18"/>
          <w:szCs w:val="18"/>
        </w:rPr>
        <w:t xml:space="preserve">docs/index.html</w:t>
      </w:r>
      <w:r>
        <w:rPr>
          <w:rFonts w:ascii="Georgia" w:cs="Georgia" w:eastAsia="Georgia" w:hAnsi="Georgia"/>
          <w:color w:val="1A1A1A"/>
          <w:sz w:val="21"/>
          <w:szCs w:val="21"/>
        </w:rPr>
        <w:t xml:space="preserve"> lists all 34 dashboards and every link resolves against the working copy. On the live site, however, 33 of 34 resolve: </w:t>
      </w:r>
      <w:r>
        <w:rPr>
          <w:rFonts w:ascii="Courier New" w:cs="Courier New" w:eastAsia="Courier New" w:hAnsi="Courier New"/>
          <w:color w:val="1A1A1A"/>
          <w:sz w:val="18"/>
          <w:szCs w:val="18"/>
        </w:rPr>
        <w:t xml:space="preserve">Islet_Drug_Repurposing.html</w:t>
      </w:r>
      <w:r>
        <w:rPr>
          <w:rFonts w:ascii="Georgia" w:cs="Georgia" w:eastAsia="Georgia" w:hAnsi="Georgia"/>
          <w:color w:val="1A1A1A"/>
          <w:sz w:val="21"/>
          <w:szCs w:val="21"/>
        </w:rPr>
        <w:t xml:space="preserve"> is linked but absent from the mirror — a broken link for any visitor.</w:t>
      </w:r>
    </w:p>
    <w:p>
      <w:pPr>
        <w:pStyle w:val="Heading2"/>
      </w:pPr>
      <w:r>
        <w:t xml:space="preserve">2 · Research Validity and Citation Completeness</w:t>
      </w:r>
    </w:p>
    <w:p>
      <w:pPr>
        <w:spacing w:after="140" w:line="300"/>
      </w:pPr>
      <w:r>
        <w:rPr>
          <w:rFonts w:ascii="Georgia" w:cs="Georgia" w:eastAsia="Georgia" w:hAnsi="Georgia"/>
          <w:b/>
          <w:bCs/>
          <w:color w:val="1A1A1A"/>
          <w:sz w:val="21"/>
          <w:szCs w:val="21"/>
        </w:rPr>
        <w:t xml:space="preserve">PMID coverage.</w:t>
      </w:r>
      <w:r>
        <w:rPr>
          <w:rFonts w:ascii="Georgia" w:cs="Georgia" w:eastAsia="Georgia" w:hAnsi="Georgia"/>
          <w:color w:val="1A1A1A"/>
          <w:sz w:val="21"/>
          <w:szCs w:val="21"/>
        </w:rPr>
        <w:t xml:space="preserve"> 1,750 PubMed hyperlinks across the working copy, all using </w:t>
      </w:r>
      <w:r>
        <w:rPr>
          <w:rFonts w:ascii="Courier New" w:cs="Courier New" w:eastAsia="Courier New" w:hAnsi="Courier New"/>
          <w:color w:val="1A1A1A"/>
          <w:sz w:val="18"/>
          <w:szCs w:val="18"/>
        </w:rPr>
        <w:t xml:space="preserve">https://</w:t>
      </w:r>
      <w:r>
        <w:rPr>
          <w:rFonts w:ascii="Georgia" w:cs="Georgia" w:eastAsia="Georgia" w:hAnsi="Georgia"/>
          <w:color w:val="1A1A1A"/>
          <w:sz w:val="21"/>
          <w:szCs w:val="21"/>
        </w:rPr>
        <w:t xml:space="preserve">. PMID_Verification and Paper_Library anchor the corpus at 261 unique IDs apiece; Medical_Data_Dictionary carries 90.</w:t>
      </w:r>
    </w:p>
    <w:p>
      <w:pPr>
        <w:pStyle w:val="ListParagraph"/>
        <w:numPr>
          <w:ilvl w:val="0"/>
          <w:numId w:val="2"/>
        </w:numPr>
        <w:spacing w:after="80" w:line="290"/>
      </w:pPr>
      <w:r>
        <w:rPr>
          <w:rFonts w:ascii="Georgia" w:cs="Georgia" w:eastAsia="Georgia" w:hAnsi="Georgia"/>
          <w:b/>
          <w:bCs/>
          <w:color w:val="1A1A1A"/>
          <w:sz w:val="21"/>
          <w:szCs w:val="21"/>
        </w:rPr>
        <w:t xml:space="preserve">Zero PMIDs (HIGH by rule): </w:t>
      </w:r>
      <w:r>
        <w:rPr>
          <w:rFonts w:ascii="Georgia" w:cs="Georgia" w:eastAsia="Georgia" w:hAnsi="Georgia"/>
          <w:color w:val="1A1A1A"/>
          <w:sz w:val="21"/>
          <w:szCs w:val="21"/>
        </w:rPr>
        <w:t xml:space="preserve">Acronym_Database, Methodology</w:t>
      </w:r>
      <w:r>
        <w:rPr>
          <w:rFonts w:ascii="Georgia" w:cs="Georgia" w:eastAsia="Georgia" w:hAnsi="Georgia"/>
          <w:i/>
          <w:iCs/>
          <w:color w:val="5A5A5A"/>
          <w:sz w:val="19"/>
          <w:szCs w:val="19"/>
        </w:rPr>
        <w:t xml:space="preserve"> — both utility pages; citations not expected by their nature.</w:t>
      </w:r>
    </w:p>
    <w:p>
      <w:pPr>
        <w:pStyle w:val="ListParagraph"/>
        <w:numPr>
          <w:ilvl w:val="0"/>
          <w:numId w:val="2"/>
        </w:numPr>
        <w:spacing w:after="80" w:line="290"/>
      </w:pPr>
      <w:r>
        <w:rPr>
          <w:rFonts w:ascii="Georgia" w:cs="Georgia" w:eastAsia="Georgia" w:hAnsi="Georgia"/>
          <w:b/>
          <w:bCs/>
          <w:color w:val="1A1A1A"/>
          <w:sz w:val="21"/>
          <w:szCs w:val="21"/>
        </w:rPr>
        <w:t xml:space="preserve">Below the &lt;3 threshold (MEDIUM): </w:t>
      </w:r>
      <w:r>
        <w:rPr>
          <w:rFonts w:ascii="Georgia" w:cs="Georgia" w:eastAsia="Georgia" w:hAnsi="Georgia"/>
          <w:color w:val="1A1A1A"/>
          <w:sz w:val="21"/>
          <w:szCs w:val="21"/>
        </w:rPr>
        <w:t xml:space="preserve">Generic_Drug_Catalog (2), LADA_Prevalence (2)</w:t>
      </w:r>
      <w:r>
        <w:rPr>
          <w:rFonts w:ascii="Georgia" w:cs="Georgia" w:eastAsia="Georgia" w:hAnsi="Georgia"/>
          <w:i/>
          <w:iCs/>
          <w:color w:val="5A5A5A"/>
          <w:sz w:val="19"/>
          <w:szCs w:val="19"/>
        </w:rPr>
        <w:t xml:space="preserve"> — unchanged from June 14.</w:t>
      </w:r>
    </w:p>
    <w:p>
      <w:pPr>
        <w:pStyle w:val="ListParagraph"/>
        <w:numPr>
          <w:ilvl w:val="0"/>
          <w:numId w:val="2"/>
        </w:numPr>
        <w:spacing w:after="80" w:line="290"/>
      </w:pPr>
      <w:r>
        <w:rPr>
          <w:rFonts w:ascii="Georgia" w:cs="Georgia" w:eastAsia="Georgia" w:hAnsi="Georgia"/>
          <w:b/>
          <w:bCs/>
          <w:color w:val="1A1A1A"/>
          <w:sz w:val="21"/>
          <w:szCs w:val="21"/>
        </w:rPr>
        <w:t xml:space="preserve">Malformed PubMed links (MEDIUM): </w:t>
      </w:r>
      <w:r>
        <w:rPr>
          <w:rFonts w:ascii="Georgia" w:cs="Georgia" w:eastAsia="Georgia" w:hAnsi="Georgia"/>
          <w:color w:val="1A1A1A"/>
          <w:sz w:val="21"/>
          <w:szCs w:val="21"/>
        </w:rPr>
        <w:t xml:space="preserve">20 hrefs omit the canonical trailing slash</w:t>
      </w:r>
      <w:r>
        <w:rPr>
          <w:rFonts w:ascii="Georgia" w:cs="Georgia" w:eastAsia="Georgia" w:hAnsi="Georgia"/>
          <w:i/>
          <w:iCs/>
          <w:color w:val="5A5A5A"/>
          <w:sz w:val="19"/>
          <w:szCs w:val="19"/>
        </w:rPr>
        <w:t xml:space="preserve"> — Drug_Repurposing_Islet (12) and Health_Equity (8). Correct domain and scheme; only the trailing “/” is missing.</w:t>
      </w:r>
    </w:p>
    <w:p>
      <w:pPr>
        <w:pStyle w:val="ListParagraph"/>
        <w:numPr>
          <w:ilvl w:val="0"/>
          <w:numId w:val="2"/>
        </w:numPr>
        <w:spacing w:after="80" w:line="290"/>
      </w:pPr>
      <w:r>
        <w:rPr>
          <w:rFonts w:ascii="Georgia" w:cs="Georgia" w:eastAsia="Georgia" w:hAnsi="Georgia"/>
          <w:b/>
          <w:bCs/>
          <w:color w:val="1A1A1A"/>
          <w:sz w:val="21"/>
          <w:szCs w:val="21"/>
        </w:rPr>
        <w:t xml:space="preserve">Duplicate / misattributed PMIDs: </w:t>
      </w:r>
      <w:r>
        <w:rPr>
          <w:rFonts w:ascii="Georgia" w:cs="Georgia" w:eastAsia="Georgia" w:hAnsi="Georgia"/>
          <w:color w:val="1A1A1A"/>
          <w:sz w:val="21"/>
          <w:szCs w:val="21"/>
        </w:rPr>
        <w:t xml:space="preserve">none confirmed.</w:t>
      </w:r>
      <w:r>
        <w:rPr>
          <w:rFonts w:ascii="Georgia" w:cs="Georgia" w:eastAsia="Georgia" w:hAnsi="Georgia"/>
          <w:i/>
          <w:iCs/>
          <w:color w:val="5A5A5A"/>
          <w:sz w:val="19"/>
          <w:szCs w:val="19"/>
        </w:rPr>
        <w:t xml:space="preserve"> A proximity scan flagged PMIDs adjacent to many text fragments, but on inspection these are table-layout artifacts, not the same PMID labelled as two studies. Consistent with last week.</w:t>
      </w:r>
    </w:p>
    <w:p>
      <w:pPr>
        <w:pStyle w:val="Heading2"/>
      </w:pPr>
      <w:r>
        <w:t xml:space="preserve">3 · Build Integrity</w:t>
      </w:r>
    </w:p>
    <w:p>
      <w:pPr>
        <w:spacing w:after="140" w:line="300"/>
      </w:pPr>
      <w:r>
        <w:rPr>
          <w:rFonts w:ascii="Georgia" w:cs="Georgia" w:eastAsia="Georgia" w:hAnsi="Georgia"/>
          <w:color w:val="1A1A1A"/>
          <w:sz w:val="21"/>
          <w:szCs w:val="21"/>
        </w:rPr>
        <w:t xml:space="preserve">The master runner </w:t>
      </w:r>
      <w:r>
        <w:rPr>
          <w:rFonts w:ascii="Courier New" w:cs="Courier New" w:eastAsia="Courier New" w:hAnsi="Courier New"/>
          <w:color w:val="1A1A1A"/>
          <w:sz w:val="18"/>
          <w:szCs w:val="18"/>
        </w:rPr>
        <w:t xml:space="preserve">run_quality_improvements.py</w:t>
      </w:r>
      <w:r>
        <w:rPr>
          <w:rFonts w:ascii="Georgia" w:cs="Georgia" w:eastAsia="Georgia" w:hAnsi="Georgia"/>
          <w:color w:val="1A1A1A"/>
          <w:sz w:val="21"/>
          <w:szCs w:val="21"/>
        </w:rPr>
        <w:t xml:space="preserve"> orchestrates ~34 build scripts, each allowed up to 300 s and most calling the PubMed E-utilities API. Running the full pipeline end-to-end would exceed the audit sandbox’s execution window, so it was </w:t>
      </w:r>
      <w:r>
        <w:rPr>
          <w:rFonts w:ascii="Georgia" w:cs="Georgia" w:eastAsia="Georgia" w:hAnsi="Georgia"/>
          <w:i/>
          <w:iCs/>
          <w:color w:val="1A1A1A"/>
          <w:sz w:val="21"/>
          <w:szCs w:val="21"/>
        </w:rPr>
        <w:t xml:space="preserve">not</w:t>
      </w:r>
      <w:r>
        <w:rPr>
          <w:rFonts w:ascii="Georgia" w:cs="Georgia" w:eastAsia="Georgia" w:hAnsi="Georgia"/>
          <w:color w:val="1A1A1A"/>
          <w:sz w:val="21"/>
          <w:szCs w:val="21"/>
        </w:rPr>
        <w:t xml:space="preserve"> run in full this cycle.</w:t>
      </w:r>
    </w:p>
    <w:p>
      <w:pPr>
        <w:spacing w:after="140" w:line="300"/>
      </w:pPr>
      <w:r>
        <w:rPr>
          <w:rFonts w:ascii="Georgia" w:cs="Georgia" w:eastAsia="Georgia" w:hAnsi="Georgia"/>
          <w:color w:val="1A1A1A"/>
          <w:sz w:val="21"/>
          <w:szCs w:val="21"/>
        </w:rPr>
        <w:t xml:space="preserve">Instead the harness was validated on representative scripts: </w:t>
      </w:r>
      <w:r>
        <w:rPr>
          <w:rFonts w:ascii="Courier New" w:cs="Courier New" w:eastAsia="Courier New" w:hAnsi="Courier New"/>
          <w:color w:val="1A1A1A"/>
          <w:sz w:val="18"/>
          <w:szCs w:val="18"/>
        </w:rPr>
        <w:t xml:space="preserve">--postprocess</w:t>
      </w:r>
      <w:r>
        <w:rPr>
          <w:rFonts w:ascii="Georgia" w:cs="Georgia" w:eastAsia="Georgia" w:hAnsi="Georgia"/>
          <w:color w:val="1A1A1A"/>
          <w:sz w:val="21"/>
          <w:szCs w:val="21"/>
        </w:rPr>
        <w:t xml:space="preserve"> (nav / PMID / ARIA injection across all 34 dashboards) completed in 0.7 s, and </w:t>
      </w:r>
      <w:r>
        <w:rPr>
          <w:rFonts w:ascii="Courier New" w:cs="Courier New" w:eastAsia="Courier New" w:hAnsi="Courier New"/>
          <w:color w:val="1A1A1A"/>
          <w:sz w:val="18"/>
          <w:szCs w:val="18"/>
        </w:rPr>
        <w:t xml:space="preserve">--statistics</w:t>
      </w:r>
      <w:r>
        <w:rPr>
          <w:rFonts w:ascii="Georgia" w:cs="Georgia" w:eastAsia="Georgia" w:hAnsi="Georgia"/>
          <w:color w:val="1A1A1A"/>
          <w:sz w:val="21"/>
          <w:szCs w:val="21"/>
        </w:rPr>
        <w:t xml:space="preserve"> completed cleanly. Both reported OK; the runner’s pass/fail plumbing works. Network egress to PubMed was confirmed available (HTTP 200).</w:t>
      </w:r>
    </w:p>
    <w:p>
      <w:pPr>
        <w:spacing w:after="140" w:line="300"/>
      </w:pPr>
      <w:r>
        <w:rPr>
          <w:rFonts w:ascii="Georgia" w:cs="Georgia" w:eastAsia="Georgia" w:hAnsi="Georgia"/>
          <w:b/>
          <w:bCs/>
          <w:color w:val="1A1A1A"/>
          <w:sz w:val="21"/>
          <w:szCs w:val="21"/>
        </w:rPr>
        <w:t xml:space="preserve">Footprint.</w:t>
      </w:r>
      <w:r>
        <w:rPr>
          <w:rFonts w:ascii="Georgia" w:cs="Georgia" w:eastAsia="Georgia" w:hAnsi="Georgia"/>
          <w:color w:val="1A1A1A"/>
          <w:sz w:val="21"/>
          <w:szCs w:val="21"/>
        </w:rPr>
        <w:t xml:space="preserve"> Working copy </w:t>
      </w:r>
      <w:r>
        <w:rPr>
          <w:rFonts w:ascii="Courier New" w:cs="Courier New" w:eastAsia="Courier New" w:hAnsi="Courier New"/>
          <w:color w:val="1A1A1A"/>
          <w:sz w:val="18"/>
          <w:szCs w:val="18"/>
        </w:rPr>
        <w:t xml:space="preserve">Dashboards/</w:t>
      </w:r>
      <w:r>
        <w:rPr>
          <w:rFonts w:ascii="Georgia" w:cs="Georgia" w:eastAsia="Georgia" w:hAnsi="Georgia"/>
          <w:color w:val="1A1A1A"/>
          <w:sz w:val="21"/>
          <w:szCs w:val="21"/>
        </w:rPr>
        <w:t xml:space="preserve">: 34 HTML files, 3.56 MB. Deployed mirror </w:t>
      </w:r>
      <w:r>
        <w:rPr>
          <w:rFonts w:ascii="Courier New" w:cs="Courier New" w:eastAsia="Courier New" w:hAnsi="Courier New"/>
          <w:color w:val="1A1A1A"/>
          <w:sz w:val="18"/>
          <w:szCs w:val="18"/>
        </w:rPr>
        <w:t xml:space="preserve">docs/Dashboards/</w:t>
      </w:r>
      <w:r>
        <w:rPr>
          <w:rFonts w:ascii="Georgia" w:cs="Georgia" w:eastAsia="Georgia" w:hAnsi="Georgia"/>
          <w:color w:val="1A1A1A"/>
          <w:sz w:val="21"/>
          <w:szCs w:val="21"/>
        </w:rPr>
        <w:t xml:space="preserve">: 33 files.</w:t>
      </w:r>
    </w:p>
    <w:p>
      <w:pPr>
        <w:spacing w:after="140" w:line="300"/>
      </w:pPr>
      <w:r>
        <w:rPr>
          <w:rFonts w:ascii="Georgia" w:cs="Georgia" w:eastAsia="Georgia" w:hAnsi="Georgia"/>
          <w:i/>
          <w:iCs/>
          <w:color w:val="5A5A5A"/>
          <w:sz w:val="19"/>
          <w:szCs w:val="19"/>
        </w:rPr>
        <w:t xml:space="preserve">To verify the full pipeline locally, run </w:t>
      </w:r>
      <w:r>
        <w:rPr>
          <w:rFonts w:ascii="Courier New" w:cs="Courier New" w:eastAsia="Courier New" w:hAnsi="Courier New"/>
          <w:i/>
          <w:iCs/>
          <w:color w:val="5A5A5A"/>
          <w:sz w:val="18"/>
          <w:szCs w:val="18"/>
        </w:rPr>
        <w:t xml:space="preserve">python run_quality_improvements.py</w:t>
      </w:r>
      <w:r>
        <w:rPr>
          <w:rFonts w:ascii="Georgia" w:cs="Georgia" w:eastAsia="Georgia" w:hAnsi="Georgia"/>
          <w:i/>
          <w:iCs/>
          <w:color w:val="5A5A5A"/>
          <w:sz w:val="19"/>
          <w:szCs w:val="19"/>
        </w:rPr>
        <w:t xml:space="preserve"> from </w:t>
      </w:r>
      <w:r>
        <w:rPr>
          <w:rFonts w:ascii="Courier New" w:cs="Courier New" w:eastAsia="Courier New" w:hAnsi="Courier New"/>
          <w:i/>
          <w:iCs/>
          <w:color w:val="5A5A5A"/>
          <w:sz w:val="18"/>
          <w:szCs w:val="18"/>
        </w:rPr>
        <w:t xml:space="preserve">Analysis/Scripts/</w:t>
      </w:r>
      <w:r>
        <w:rPr>
          <w:rFonts w:ascii="Georgia" w:cs="Georgia" w:eastAsia="Georgia" w:hAnsi="Georgia"/>
          <w:i/>
          <w:iCs/>
          <w:color w:val="5A5A5A"/>
          <w:sz w:val="19"/>
          <w:szCs w:val="19"/>
        </w:rPr>
        <w:t xml:space="preserve"> — the same step CONTRIBUTING.md asks contributors to run before a PR.</w:t>
      </w:r>
    </w:p>
    <w:p>
      <w:pPr>
        <w:pStyle w:val="Heading2"/>
      </w:pPr>
      <w:r>
        <w:t xml:space="preserve">4 · Content Freshness</w:t>
      </w:r>
    </w:p>
    <w:p>
      <w:pPr>
        <w:pStyle w:val="ListParagraph"/>
        <w:numPr>
          <w:ilvl w:val="0"/>
          <w:numId w:val="2"/>
        </w:numPr>
        <w:spacing w:after="80" w:line="290"/>
      </w:pPr>
      <w:r>
        <w:rPr>
          <w:rFonts w:ascii="Georgia" w:cs="Georgia" w:eastAsia="Georgia" w:hAnsi="Georgia"/>
          <w:b/>
          <w:bCs/>
          <w:color w:val="1A1A1A"/>
          <w:sz w:val="21"/>
          <w:szCs w:val="21"/>
        </w:rPr>
        <w:t xml:space="preserve">Trial count drift (MEDIUM). </w:t>
      </w:r>
      <w:r>
        <w:rPr>
          <w:rFonts w:ascii="Georgia" w:cs="Georgia" w:eastAsia="Georgia" w:hAnsi="Georgia"/>
          <w:color w:val="1A1A1A"/>
          <w:sz w:val="21"/>
          <w:szCs w:val="21"/>
        </w:rPr>
        <w:t xml:space="preserve">The landing-page headline now reads 821 diabetes clinical trials (802 Jun 7 → 809 Jun 14 → 821 today, auto-updated from ClinicalTrials.gov). The dashboards still hardcode “748+” and “744”, and this audit brief still references 746. Reconcile to a single canonical source.</w:t>
      </w:r>
    </w:p>
    <w:p>
      <w:pPr>
        <w:pStyle w:val="ListParagraph"/>
        <w:numPr>
          <w:ilvl w:val="0"/>
          <w:numId w:val="2"/>
        </w:numPr>
        <w:spacing w:after="80" w:line="290"/>
      </w:pPr>
      <w:r>
        <w:rPr>
          <w:rFonts w:ascii="Georgia" w:cs="Georgia" w:eastAsia="Georgia" w:hAnsi="Georgia"/>
          <w:b/>
          <w:bCs/>
          <w:color w:val="1A1A1A"/>
          <w:sz w:val="21"/>
          <w:szCs w:val="21"/>
        </w:rPr>
        <w:t xml:space="preserve">Stale year stamp (LOW). </w:t>
      </w:r>
      <w:r>
        <w:rPr>
          <w:rFonts w:ascii="Georgia" w:cs="Georgia" w:eastAsia="Georgia" w:hAnsi="Georgia"/>
          <w:color w:val="1A1A1A"/>
          <w:sz w:val="21"/>
          <w:szCs w:val="21"/>
        </w:rPr>
        <w:t xml:space="preserve">GKA_Landscape.html’s footer literal still reads “Generated 2025.”</w:t>
      </w:r>
    </w:p>
    <w:p>
      <w:pPr>
        <w:pStyle w:val="ListParagraph"/>
        <w:numPr>
          <w:ilvl w:val="0"/>
          <w:numId w:val="2"/>
        </w:numPr>
        <w:spacing w:after="80" w:line="290"/>
      </w:pPr>
      <w:r>
        <w:rPr>
          <w:rFonts w:ascii="Georgia" w:cs="Georgia" w:eastAsia="Georgia" w:hAnsi="Georgia"/>
          <w:b/>
          <w:bCs/>
          <w:color w:val="1A1A1A"/>
          <w:sz w:val="21"/>
          <w:szCs w:val="21"/>
        </w:rPr>
        <w:t xml:space="preserve">Upcoming items. </w:t>
      </w:r>
      <w:r>
        <w:rPr>
          <w:rFonts w:ascii="Georgia" w:cs="Georgia" w:eastAsia="Georgia" w:hAnsi="Georgia"/>
          <w:color w:val="1A1A1A"/>
          <w:sz w:val="21"/>
          <w:szCs w:val="21"/>
        </w:rPr>
        <w:t xml:space="preserve">The landing page’s “In Progress &amp; Upcoming” section carries no dated deadlines, so nothing is technically past due; a long-standing “Completed” card still sits there and would read better under “Recent Milestones.”</w:t>
      </w:r>
    </w:p>
    <w:p>
      <w:pPr>
        <w:pStyle w:val="Heading2"/>
      </w:pPr>
      <w:r>
        <w:t xml:space="preserve">5 · Accessibility and Inclusivity</w:t>
      </w:r>
    </w:p>
    <w:p>
      <w:pPr>
        <w:spacing w:after="140" w:line="300"/>
      </w:pPr>
      <w:r>
        <w:rPr>
          <w:rFonts w:ascii="Georgia" w:cs="Georgia" w:eastAsia="Georgia" w:hAnsi="Georgia"/>
          <w:b/>
          <w:bCs/>
          <w:color w:val="1A1A1A"/>
          <w:sz w:val="21"/>
          <w:szCs w:val="21"/>
        </w:rPr>
        <w:t xml:space="preserve">Colour contrast.</w:t>
      </w:r>
      <w:r>
        <w:rPr>
          <w:rFonts w:ascii="Georgia" w:cs="Georgia" w:eastAsia="Georgia" w:hAnsi="Georgia"/>
          <w:color w:val="1A1A1A"/>
          <w:sz w:val="21"/>
          <w:szCs w:val="21"/>
        </w:rPr>
        <w:t xml:space="preserve"> The muted token </w:t>
      </w:r>
      <w:r>
        <w:rPr>
          <w:rFonts w:ascii="Courier New" w:cs="Courier New" w:eastAsia="Courier New" w:hAnsi="Courier New"/>
          <w:color w:val="1A1A1A"/>
          <w:sz w:val="18"/>
          <w:szCs w:val="18"/>
        </w:rPr>
        <w:t xml:space="preserve">#636363</w:t>
      </w:r>
      <w:r>
        <w:rPr>
          <w:rFonts w:ascii="Georgia" w:cs="Georgia" w:eastAsia="Georgia" w:hAnsi="Georgia"/>
          <w:color w:val="1A1A1A"/>
          <w:sz w:val="21"/>
          <w:szCs w:val="21"/>
        </w:rPr>
        <w:t xml:space="preserve"> on the </w:t>
      </w:r>
      <w:r>
        <w:rPr>
          <w:rFonts w:ascii="Courier New" w:cs="Courier New" w:eastAsia="Courier New" w:hAnsi="Courier New"/>
          <w:color w:val="1A1A1A"/>
          <w:sz w:val="18"/>
          <w:szCs w:val="18"/>
        </w:rPr>
        <w:t xml:space="preserve">#fafaf7</w:t>
      </w:r>
      <w:r>
        <w:rPr>
          <w:rFonts w:ascii="Georgia" w:cs="Georgia" w:eastAsia="Georgia" w:hAnsi="Georgia"/>
          <w:color w:val="1A1A1A"/>
          <w:sz w:val="21"/>
          <w:szCs w:val="21"/>
        </w:rPr>
        <w:t xml:space="preserve"> background yields ~5.7:1 — it clears WCAG AA (4.5:1) but not AAA (7:1). Darkening to roughly </w:t>
      </w:r>
      <w:r>
        <w:rPr>
          <w:rFonts w:ascii="Courier New" w:cs="Courier New" w:eastAsia="Courier New" w:hAnsi="Courier New"/>
          <w:color w:val="1A1A1A"/>
          <w:sz w:val="18"/>
          <w:szCs w:val="18"/>
        </w:rPr>
        <w:t xml:space="preserve">#5A5A5A</w:t>
      </w:r>
      <w:r>
        <w:rPr>
          <w:rFonts w:ascii="Georgia" w:cs="Georgia" w:eastAsia="Georgia" w:hAnsi="Georgia"/>
          <w:color w:val="1A1A1A"/>
          <w:sz w:val="21"/>
          <w:szCs w:val="21"/>
        </w:rPr>
        <w:t xml:space="preserve"> would clear AAA.</w:t>
      </w:r>
    </w:p>
    <w:p>
      <w:pPr>
        <w:spacing w:after="140" w:line="300"/>
      </w:pPr>
      <w:r>
        <w:rPr>
          <w:rFonts w:ascii="Georgia" w:cs="Georgia" w:eastAsia="Georgia" w:hAnsi="Georgia"/>
          <w:b/>
          <w:bCs/>
          <w:color w:val="1A1A1A"/>
          <w:sz w:val="21"/>
          <w:szCs w:val="21"/>
        </w:rPr>
        <w:t xml:space="preserve">ARIA.</w:t>
      </w:r>
      <w:r>
        <w:rPr>
          <w:rFonts w:ascii="Georgia" w:cs="Georgia" w:eastAsia="Georgia" w:hAnsi="Georgia"/>
          <w:color w:val="1A1A1A"/>
          <w:sz w:val="21"/>
          <w:szCs w:val="21"/>
        </w:rPr>
        <w:t xml:space="preserve"> Every one of the 34 dashboards carries ARIA attributes (≥14 each) — typically </w:t>
      </w:r>
      <w:r>
        <w:rPr>
          <w:rFonts w:ascii="Courier New" w:cs="Courier New" w:eastAsia="Courier New" w:hAnsi="Courier New"/>
          <w:color w:val="1A1A1A"/>
          <w:sz w:val="18"/>
          <w:szCs w:val="18"/>
        </w:rPr>
        <w:t xml:space="preserve">aria-label</w:t>
      </w:r>
      <w:r>
        <w:rPr>
          <w:rFonts w:ascii="Georgia" w:cs="Georgia" w:eastAsia="Georgia" w:hAnsi="Georgia"/>
          <w:color w:val="1A1A1A"/>
          <w:sz w:val="21"/>
          <w:szCs w:val="21"/>
        </w:rPr>
        <w:t xml:space="preserve"> on tab controls and expandable sections. No dashboard has zero.</w:t>
      </w:r>
    </w:p>
    <w:p>
      <w:pPr>
        <w:spacing w:after="140" w:line="300"/>
      </w:pPr>
      <w:r>
        <w:rPr>
          <w:rFonts w:ascii="Georgia" w:cs="Georgia" w:eastAsia="Georgia" w:hAnsi="Georgia"/>
          <w:b/>
          <w:bCs/>
          <w:color w:val="1A1A1A"/>
          <w:sz w:val="21"/>
          <w:szCs w:val="21"/>
        </w:rPr>
        <w:t xml:space="preserve">Table headers.</w:t>
      </w:r>
      <w:r>
        <w:rPr>
          <w:rFonts w:ascii="Georgia" w:cs="Georgia" w:eastAsia="Georgia" w:hAnsi="Georgia"/>
          <w:color w:val="1A1A1A"/>
          <w:sz w:val="21"/>
          <w:szCs w:val="21"/>
        </w:rPr>
        <w:t xml:space="preserve"> Every table uses </w:t>
      </w:r>
      <w:r>
        <w:rPr>
          <w:rFonts w:ascii="Courier New" w:cs="Courier New" w:eastAsia="Courier New" w:hAnsi="Courier New"/>
          <w:color w:val="1A1A1A"/>
          <w:sz w:val="18"/>
          <w:szCs w:val="18"/>
        </w:rPr>
        <w:t xml:space="preserve">&lt;th&gt;</w:t>
      </w:r>
      <w:r>
        <w:rPr>
          <w:rFonts w:ascii="Georgia" w:cs="Georgia" w:eastAsia="Georgia" w:hAnsi="Georgia"/>
          <w:color w:val="1A1A1A"/>
          <w:sz w:val="21"/>
          <w:szCs w:val="21"/>
        </w:rPr>
        <w:t xml:space="preserve"> markup; no data table relies on plain </w:t>
      </w:r>
      <w:r>
        <w:rPr>
          <w:rFonts w:ascii="Courier New" w:cs="Courier New" w:eastAsia="Courier New" w:hAnsi="Courier New"/>
          <w:color w:val="1A1A1A"/>
          <w:sz w:val="18"/>
          <w:szCs w:val="18"/>
        </w:rPr>
        <w:t xml:space="preserve">&lt;td&gt;</w:t>
      </w:r>
      <w:r>
        <w:rPr>
          <w:rFonts w:ascii="Georgia" w:cs="Georgia" w:eastAsia="Georgia" w:hAnsi="Georgia"/>
          <w:color w:val="1A1A1A"/>
          <w:sz w:val="21"/>
          <w:szCs w:val="21"/>
        </w:rPr>
        <w:t xml:space="preserve"> for headers. However, 0 of 529 </w:t>
      </w:r>
      <w:r>
        <w:rPr>
          <w:rFonts w:ascii="Courier New" w:cs="Courier New" w:eastAsia="Courier New" w:hAnsi="Courier New"/>
          <w:color w:val="1A1A1A"/>
          <w:sz w:val="18"/>
          <w:szCs w:val="18"/>
        </w:rPr>
        <w:t xml:space="preserve">&lt;th&gt;</w:t>
      </w:r>
      <w:r>
        <w:rPr>
          <w:rFonts w:ascii="Georgia" w:cs="Georgia" w:eastAsia="Georgia" w:hAnsi="Georgia"/>
          <w:color w:val="1A1A1A"/>
          <w:sz w:val="21"/>
          <w:szCs w:val="21"/>
        </w:rPr>
        <w:t xml:space="preserve"> elements carry a </w:t>
      </w:r>
      <w:r>
        <w:rPr>
          <w:rFonts w:ascii="Courier New" w:cs="Courier New" w:eastAsia="Courier New" w:hAnsi="Courier New"/>
          <w:color w:val="1A1A1A"/>
          <w:sz w:val="18"/>
          <w:szCs w:val="18"/>
        </w:rPr>
        <w:t xml:space="preserve">scope=“col”/“row”</w:t>
      </w:r>
      <w:r>
        <w:rPr>
          <w:rFonts w:ascii="Georgia" w:cs="Georgia" w:eastAsia="Georgia" w:hAnsi="Georgia"/>
          <w:color w:val="1A1A1A"/>
          <w:sz w:val="21"/>
          <w:szCs w:val="21"/>
        </w:rPr>
        <w:t xml:space="preserve"> attribute (LOW) — adding scope would improve screen-reader navigation.</w:t>
      </w:r>
    </w:p>
    <w:p>
      <w:pPr>
        <w:pStyle w:val="Heading2"/>
      </w:pPr>
      <w:r>
        <w:t xml:space="preserve">6 · Collaboration Infrastructure</w:t>
      </w:r>
    </w:p>
    <w:p>
      <w:pPr>
        <w:pStyle w:val="ListParagraph"/>
        <w:numPr>
          <w:ilvl w:val="0"/>
          <w:numId w:val="2"/>
        </w:numPr>
        <w:spacing w:after="80" w:line="290"/>
      </w:pPr>
      <w:r>
        <w:rPr>
          <w:rFonts w:ascii="Georgia" w:cs="Georgia" w:eastAsia="Georgia" w:hAnsi="Georgia"/>
          <w:b/>
          <w:bCs/>
          <w:color w:val="1A1A1A"/>
          <w:sz w:val="21"/>
          <w:szCs w:val="21"/>
        </w:rPr>
        <w:t xml:space="preserve">CONTRIBUTING.md — present. </w:t>
      </w:r>
      <w:r>
        <w:rPr>
          <w:rFonts w:ascii="Georgia" w:cs="Georgia" w:eastAsia="Georgia" w:hAnsi="Georgia"/>
          <w:color w:val="1A1A1A"/>
          <w:sz w:val="21"/>
          <w:szCs w:val="21"/>
        </w:rPr>
        <w:t xml:space="preserve">Covers data-error reporting, new-gap submission, dashboard improvement, and the GOLD / SILVER / BRONZE evidence framework.</w:t>
      </w:r>
    </w:p>
    <w:p>
      <w:pPr>
        <w:pStyle w:val="ListParagraph"/>
        <w:numPr>
          <w:ilvl w:val="0"/>
          <w:numId w:val="2"/>
        </w:numPr>
        <w:spacing w:after="80" w:line="290"/>
      </w:pPr>
      <w:r>
        <w:rPr>
          <w:rFonts w:ascii="Georgia" w:cs="Georgia" w:eastAsia="Georgia" w:hAnsi="Georgia"/>
          <w:b/>
          <w:bCs/>
          <w:color w:val="1A1A1A"/>
          <w:sz w:val="21"/>
          <w:szCs w:val="21"/>
        </w:rPr>
        <w:t xml:space="preserve">Citation format — present. </w:t>
      </w:r>
      <w:r>
        <w:rPr>
          <w:rFonts w:ascii="Georgia" w:cs="Georgia" w:eastAsia="Georgia" w:hAnsi="Georgia"/>
          <w:color w:val="1A1A1A"/>
          <w:sz w:val="21"/>
          <w:szCs w:val="21"/>
        </w:rPr>
        <w:t xml:space="preserve">CONTRIBUTING.md provides both an APA citation and a BibTeX entry for the platform.</w:t>
      </w:r>
    </w:p>
    <w:p>
      <w:pPr>
        <w:pStyle w:val="ListParagraph"/>
        <w:numPr>
          <w:ilvl w:val="0"/>
          <w:numId w:val="2"/>
        </w:numPr>
        <w:spacing w:after="80" w:line="290"/>
      </w:pPr>
      <w:r>
        <w:rPr>
          <w:rFonts w:ascii="Georgia" w:cs="Georgia" w:eastAsia="Georgia" w:hAnsi="Georgia"/>
          <w:b/>
          <w:bCs/>
          <w:color w:val="1A1A1A"/>
          <w:sz w:val="21"/>
          <w:szCs w:val="21"/>
        </w:rPr>
        <w:t xml:space="preserve">Issue templates — present. </w:t>
      </w:r>
      <w:r>
        <w:rPr>
          <w:rFonts w:ascii="Georgia" w:cs="Georgia" w:eastAsia="Georgia" w:hAnsi="Georgia"/>
          <w:color w:val="1A1A1A"/>
          <w:sz w:val="21"/>
          <w:szCs w:val="21"/>
        </w:rPr>
        <w:t xml:space="preserve">Four templates under .github/ISSUE_TEMPLATE/: bug_report, data_error, feature_request, new_gap.</w:t>
      </w:r>
    </w:p>
    <w:p>
      <w:pPr>
        <w:pStyle w:val="ListParagraph"/>
        <w:numPr>
          <w:ilvl w:val="0"/>
          <w:numId w:val="2"/>
        </w:numPr>
        <w:spacing w:after="80" w:line="290"/>
      </w:pPr>
      <w:r>
        <w:rPr>
          <w:rFonts w:ascii="Georgia" w:cs="Georgia" w:eastAsia="Georgia" w:hAnsi="Georgia"/>
          <w:b/>
          <w:bCs/>
          <w:color w:val="1A1A1A"/>
          <w:sz w:val="21"/>
          <w:szCs w:val="21"/>
        </w:rPr>
        <w:t xml:space="preserve">Gaps (LOW). </w:t>
      </w:r>
      <w:r>
        <w:rPr>
          <w:rFonts w:ascii="Georgia" w:cs="Georgia" w:eastAsia="Georgia" w:hAnsi="Georgia"/>
          <w:color w:val="1A1A1A"/>
          <w:sz w:val="21"/>
          <w:szCs w:val="21"/>
        </w:rPr>
        <w:t xml:space="preserve">No CITATION.cff at the repo root (so GitHub’s “Cite this repository” button is unavailable, though the APA/BibTeX text already exists), and no PULL_REQUEST_TEMPLATE.md.</w:t>
      </w:r>
    </w:p>
    <w:p>
      <w:r>
        <w:br/>
      </w:r>
    </w:p>
    <w:p>
      <w:pPr>
        <w:pStyle w:val="Heading1"/>
      </w:pPr>
      <w:r>
        <w:t xml:space="preserve">Priority Action Items</w:t>
      </w:r>
    </w:p>
    <w:p>
      <w:pPr>
        <w:spacing w:after="60" w:before="60"/>
      </w:pPr>
      <w:r>
        <w:rPr>
          <w:rFonts w:ascii="Georgia" w:cs="Georgia" w:eastAsia="Georgia" w:hAnsi="Georgia"/>
          <w:b/>
          <w:bCs/>
          <w:color w:val="B23A2E"/>
          <w:sz w:val="22"/>
          <w:szCs w:val="22"/>
        </w:rPr>
        <w:t xml:space="preserve">HIGH</w:t>
      </w:r>
    </w:p>
    <w:p>
      <w:pPr>
        <w:pStyle w:val="ListParagraph"/>
        <w:numPr>
          <w:ilvl w:val="0"/>
          <w:numId w:val="2"/>
        </w:numPr>
        <w:spacing w:after="80" w:line="290"/>
      </w:pPr>
      <w:r>
        <w:rPr>
          <w:rFonts w:ascii="Georgia" w:cs="Georgia" w:eastAsia="Georgia" w:hAnsi="Georgia"/>
          <w:b/>
          <w:bCs/>
          <w:color w:val="1A1A1A"/>
          <w:sz w:val="21"/>
          <w:szCs w:val="21"/>
        </w:rPr>
        <w:t xml:space="preserve">H1 · Rebuild and sync the deployed mirror. </w:t>
      </w:r>
      <w:r>
        <w:rPr>
          <w:rFonts w:ascii="Georgia" w:cs="Georgia" w:eastAsia="Georgia" w:hAnsi="Georgia"/>
          <w:color w:val="1A1A1A"/>
          <w:sz w:val="21"/>
          <w:szCs w:val="21"/>
        </w:rPr>
        <w:t xml:space="preserve">Add a deploy step that copies </w:t>
      </w:r>
      <w:r>
        <w:rPr>
          <w:rFonts w:ascii="Courier New" w:cs="Courier New" w:eastAsia="Courier New" w:hAnsi="Courier New"/>
          <w:color w:val="1A1A1A"/>
          <w:sz w:val="18"/>
          <w:szCs w:val="18"/>
        </w:rPr>
        <w:t xml:space="preserve">Dashboards/*.html</w:t>
      </w:r>
      <w:r>
        <w:rPr>
          <w:rFonts w:ascii="Georgia" w:cs="Georgia" w:eastAsia="Georgia" w:hAnsi="Georgia"/>
          <w:color w:val="1A1A1A"/>
          <w:sz w:val="21"/>
          <w:szCs w:val="21"/>
        </w:rPr>
        <w:t xml:space="preserve"> into </w:t>
      </w:r>
      <w:r>
        <w:rPr>
          <w:rFonts w:ascii="Courier New" w:cs="Courier New" w:eastAsia="Courier New" w:hAnsi="Courier New"/>
          <w:color w:val="1A1A1A"/>
          <w:sz w:val="18"/>
          <w:szCs w:val="18"/>
        </w:rPr>
        <w:t xml:space="preserve">docs/Dashboards/</w:t>
      </w:r>
      <w:r>
        <w:rPr>
          <w:rFonts w:ascii="Georgia" w:cs="Georgia" w:eastAsia="Georgia" w:hAnsi="Georgia"/>
          <w:color w:val="1A1A1A"/>
          <w:sz w:val="21"/>
          <w:szCs w:val="21"/>
        </w:rPr>
        <w:t xml:space="preserve"> on every build. The mirror is ~9 weeks stale; the live site does not reflect the working copy. Carried over from Jun 14 (and Jun 7).</w:t>
      </w:r>
    </w:p>
    <w:p>
      <w:pPr>
        <w:pStyle w:val="ListParagraph"/>
        <w:numPr>
          <w:ilvl w:val="0"/>
          <w:numId w:val="2"/>
        </w:numPr>
        <w:spacing w:after="80" w:line="290"/>
      </w:pPr>
      <w:r>
        <w:rPr>
          <w:rFonts w:ascii="Georgia" w:cs="Georgia" w:eastAsia="Georgia" w:hAnsi="Georgia"/>
          <w:b/>
          <w:bCs/>
          <w:color w:val="1A1A1A"/>
          <w:sz w:val="21"/>
          <w:szCs w:val="21"/>
        </w:rPr>
        <w:t xml:space="preserve">H2 · Restore Islet_Drug_Repurposing.html to the mirror. </w:t>
      </w:r>
      <w:r>
        <w:rPr>
          <w:rFonts w:ascii="Georgia" w:cs="Georgia" w:eastAsia="Georgia" w:hAnsi="Georgia"/>
          <w:color w:val="1A1A1A"/>
          <w:sz w:val="21"/>
          <w:szCs w:val="21"/>
        </w:rPr>
        <w:t xml:space="preserve">The landing page links it but the file is absent from </w:t>
      </w:r>
      <w:r>
        <w:rPr>
          <w:rFonts w:ascii="Courier New" w:cs="Courier New" w:eastAsia="Courier New" w:hAnsi="Courier New"/>
          <w:color w:val="1A1A1A"/>
          <w:sz w:val="18"/>
          <w:szCs w:val="18"/>
        </w:rPr>
        <w:t xml:space="preserve">docs/Dashboards/</w:t>
      </w:r>
      <w:r>
        <w:rPr>
          <w:rFonts w:ascii="Georgia" w:cs="Georgia" w:eastAsia="Georgia" w:hAnsi="Georgia"/>
          <w:color w:val="1A1A1A"/>
          <w:sz w:val="21"/>
          <w:szCs w:val="21"/>
        </w:rPr>
        <w:t xml:space="preserve"> — a broken link today. Resolved automatically once H1 is in place.</w:t>
      </w:r>
    </w:p>
    <w:p>
      <w:pPr>
        <w:spacing w:after="60" w:before="120"/>
      </w:pPr>
      <w:r>
        <w:rPr>
          <w:rFonts w:ascii="Georgia" w:cs="Georgia" w:eastAsia="Georgia" w:hAnsi="Georgia"/>
          <w:b/>
          <w:bCs/>
          <w:color w:val="B8860B"/>
          <w:sz w:val="22"/>
          <w:szCs w:val="22"/>
        </w:rPr>
        <w:t xml:space="preserve">MEDIUM</w:t>
      </w:r>
    </w:p>
    <w:p>
      <w:pPr>
        <w:pStyle w:val="ListParagraph"/>
        <w:numPr>
          <w:ilvl w:val="0"/>
          <w:numId w:val="2"/>
        </w:numPr>
        <w:spacing w:after="80" w:line="290"/>
      </w:pPr>
      <w:r>
        <w:rPr>
          <w:rFonts w:ascii="Georgia" w:cs="Georgia" w:eastAsia="Georgia" w:hAnsi="Georgia"/>
          <w:b/>
          <w:bCs/>
          <w:color w:val="1A1A1A"/>
          <w:sz w:val="21"/>
          <w:szCs w:val="21"/>
        </w:rPr>
        <w:t xml:space="preserve">M1 · Reconcile the trial count. </w:t>
      </w:r>
      <w:r>
        <w:rPr>
          <w:rFonts w:ascii="Georgia" w:cs="Georgia" w:eastAsia="Georgia" w:hAnsi="Georgia"/>
          <w:color w:val="1A1A1A"/>
          <w:sz w:val="21"/>
          <w:szCs w:val="21"/>
        </w:rPr>
        <w:t xml:space="preserve">Point Clinical_Trial_Dashboard (“748+”) and Gap_Deep_Dives (“744/746”) at the same live figure the landing page uses (821), and update this audit brief’s 746 reference.</w:t>
      </w:r>
    </w:p>
    <w:p>
      <w:pPr>
        <w:pStyle w:val="ListParagraph"/>
        <w:numPr>
          <w:ilvl w:val="0"/>
          <w:numId w:val="2"/>
        </w:numPr>
        <w:spacing w:after="80" w:line="290"/>
      </w:pPr>
      <w:r>
        <w:rPr>
          <w:rFonts w:ascii="Georgia" w:cs="Georgia" w:eastAsia="Georgia" w:hAnsi="Georgia"/>
          <w:b/>
          <w:bCs/>
          <w:color w:val="1A1A1A"/>
          <w:sz w:val="21"/>
          <w:szCs w:val="21"/>
        </w:rPr>
        <w:t xml:space="preserve">M2 · Fix 20 malformed PubMed hrefs. </w:t>
      </w:r>
      <w:r>
        <w:rPr>
          <w:rFonts w:ascii="Georgia" w:cs="Georgia" w:eastAsia="Georgia" w:hAnsi="Georgia"/>
          <w:color w:val="1A1A1A"/>
          <w:sz w:val="21"/>
          <w:szCs w:val="21"/>
        </w:rPr>
        <w:t xml:space="preserve">Append the trailing slash in Drug_Repurposing_Islet (12) and Health_Equity (8) so links match </w:t>
      </w:r>
      <w:r>
        <w:rPr>
          <w:rFonts w:ascii="Courier New" w:cs="Courier New" w:eastAsia="Courier New" w:hAnsi="Courier New"/>
          <w:color w:val="1A1A1A"/>
          <w:sz w:val="18"/>
          <w:szCs w:val="18"/>
        </w:rPr>
        <w:t xml:space="preserve">https://pubmed.ncbi.nlm.nih.gov/{id}/</w:t>
      </w:r>
      <w:r>
        <w:rPr>
          <w:rFonts w:ascii="Georgia" w:cs="Georgia" w:eastAsia="Georgia" w:hAnsi="Georgia"/>
          <w:color w:val="1A1A1A"/>
          <w:sz w:val="21"/>
          <w:szCs w:val="21"/>
        </w:rPr>
        <w:t xml:space="preserve">.</w:t>
      </w:r>
    </w:p>
    <w:p>
      <w:pPr>
        <w:pStyle w:val="ListParagraph"/>
        <w:numPr>
          <w:ilvl w:val="0"/>
          <w:numId w:val="2"/>
        </w:numPr>
        <w:spacing w:after="80" w:line="290"/>
      </w:pPr>
      <w:r>
        <w:rPr>
          <w:rFonts w:ascii="Georgia" w:cs="Georgia" w:eastAsia="Georgia" w:hAnsi="Georgia"/>
          <w:b/>
          <w:bCs/>
          <w:color w:val="1A1A1A"/>
          <w:sz w:val="21"/>
          <w:szCs w:val="21"/>
        </w:rPr>
        <w:t xml:space="preserve">M3 · Raise sub-threshold citation coverage. </w:t>
      </w:r>
      <w:r>
        <w:rPr>
          <w:rFonts w:ascii="Georgia" w:cs="Georgia" w:eastAsia="Georgia" w:hAnsi="Georgia"/>
          <w:color w:val="1A1A1A"/>
          <w:sz w:val="21"/>
          <w:szCs w:val="21"/>
        </w:rPr>
        <w:t xml:space="preserve">Generic_Drug_Catalog and LADA_Prevalence expose only 2 unique PMIDs each; add at least one independent source to clear the ≥3 bar.</w:t>
      </w:r>
    </w:p>
    <w:p>
      <w:pPr>
        <w:spacing w:after="60" w:before="120"/>
      </w:pPr>
      <w:r>
        <w:rPr>
          <w:rFonts w:ascii="Georgia" w:cs="Georgia" w:eastAsia="Georgia" w:hAnsi="Georgia"/>
          <w:b/>
          <w:bCs/>
          <w:color w:val="5A5A5A"/>
          <w:sz w:val="22"/>
          <w:szCs w:val="22"/>
        </w:rPr>
        <w:t xml:space="preserve">LOW</w:t>
      </w:r>
    </w:p>
    <w:p>
      <w:pPr>
        <w:pStyle w:val="ListParagraph"/>
        <w:numPr>
          <w:ilvl w:val="0"/>
          <w:numId w:val="2"/>
        </w:numPr>
        <w:spacing w:after="80" w:line="290"/>
      </w:pPr>
      <w:r>
        <w:rPr>
          <w:rFonts w:ascii="Georgia" w:cs="Georgia" w:eastAsia="Georgia" w:hAnsi="Georgia"/>
          <w:color w:val="1A1A1A"/>
          <w:sz w:val="21"/>
          <w:szCs w:val="21"/>
        </w:rPr>
        <w:t xml:space="preserve">L1 · Add scope=“col”/“row” to the 529 &lt;th&gt; elements in a single post-processing pass.</w:t>
      </w:r>
    </w:p>
    <w:p>
      <w:pPr>
        <w:pStyle w:val="ListParagraph"/>
        <w:numPr>
          <w:ilvl w:val="0"/>
          <w:numId w:val="2"/>
        </w:numPr>
        <w:spacing w:after="80" w:line="290"/>
      </w:pPr>
      <w:r>
        <w:rPr>
          <w:rFonts w:ascii="Georgia" w:cs="Georgia" w:eastAsia="Georgia" w:hAnsi="Georgia"/>
          <w:color w:val="1A1A1A"/>
          <w:sz w:val="21"/>
          <w:szCs w:val="21"/>
        </w:rPr>
        <w:t xml:space="preserve">L2 · Darken the muted text token from #636363 to ~#5A5A5A to clear WCAG AAA (7:1).</w:t>
      </w:r>
    </w:p>
    <w:p>
      <w:pPr>
        <w:pStyle w:val="ListParagraph"/>
        <w:numPr>
          <w:ilvl w:val="0"/>
          <w:numId w:val="2"/>
        </w:numPr>
        <w:spacing w:after="80" w:line="290"/>
      </w:pPr>
      <w:r>
        <w:rPr>
          <w:rFonts w:ascii="Georgia" w:cs="Georgia" w:eastAsia="Georgia" w:hAnsi="Georgia"/>
          <w:color w:val="1A1A1A"/>
          <w:sz w:val="21"/>
          <w:szCs w:val="21"/>
        </w:rPr>
        <w:t xml:space="preserve">L3 · Fix the “Generated 2025” footer literal in build_gka_landscape.py.</w:t>
      </w:r>
    </w:p>
    <w:p>
      <w:pPr>
        <w:pStyle w:val="ListParagraph"/>
        <w:numPr>
          <w:ilvl w:val="0"/>
          <w:numId w:val="2"/>
        </w:numPr>
        <w:spacing w:after="80" w:line="290"/>
      </w:pPr>
      <w:r>
        <w:rPr>
          <w:rFonts w:ascii="Georgia" w:cs="Georgia" w:eastAsia="Georgia" w:hAnsi="Georgia"/>
          <w:color w:val="1A1A1A"/>
          <w:sz w:val="21"/>
          <w:szCs w:val="21"/>
        </w:rPr>
        <w:t xml:space="preserve">L4 · Add CITATION.cff (enables GitHub’s “Cite this repository” button) and a PULL_REQUEST_TEMPLATE.md.</w:t>
      </w:r>
    </w:p>
    <w:p>
      <w:pPr>
        <w:pStyle w:val="ListParagraph"/>
        <w:numPr>
          <w:ilvl w:val="0"/>
          <w:numId w:val="2"/>
        </w:numPr>
        <w:spacing w:after="80" w:line="290"/>
      </w:pPr>
      <w:r>
        <w:rPr>
          <w:rFonts w:ascii="Georgia" w:cs="Georgia" w:eastAsia="Georgia" w:hAnsi="Georgia"/>
          <w:color w:val="1A1A1A"/>
          <w:sz w:val="21"/>
          <w:szCs w:val="21"/>
        </w:rPr>
        <w:t xml:space="preserve">L5 · Move the “Completed” card out of “In Progress &amp; Upcoming” into a “Recent Milestones” area.</w:t>
      </w:r>
    </w:p>
    <w:p>
      <w:pPr>
        <w:pBdr>
          <w:bottom w:val="single" w:color="B0ABA0" w:sz="6" w:space="1"/>
        </w:pBdr>
        <w:spacing w:after="120" w:before="60"/>
      </w:pPr>
      <w:r>
        <w:rPr>
          <w:sz w:val="2"/>
          <w:szCs w:val="2"/>
        </w:rPr>
        <w:t xml:space="preserve"/>
      </w:r>
    </w:p>
    <w:p>
      <w:pPr>
        <w:spacing w:before="100"/>
      </w:pPr>
      <w:r>
        <w:rPr>
          <w:rFonts w:ascii="Georgia" w:cs="Georgia" w:eastAsia="Georgia" w:hAnsi="Georgia"/>
          <w:i/>
          <w:iCs/>
          <w:color w:val="5A5A5A"/>
          <w:sz w:val="19"/>
          <w:szCs w:val="19"/>
        </w:rPr>
        <w:t xml:space="preserve">Generated automatically by the weekly platform audit on 2026-06-21. Navigation, citations, accessibility and collaboration infrastructure remain in good standing; the open work is a deploy/sync gap that has persisted three cycles. The full build pipeline was validated on representative scripts but not run end-to-end in the sandbox — run it locally to confirm a green cycle before the next deploy.</w:t>
      </w:r>
    </w:p>
    <w:sectPr>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6"/>
        <w:szCs w:val="16"/>
      </w:rPr>
      <w:t xml:space="preserve">Diabetes Research Hub · Weekly Platform Audit · June 21, 2026 · page </w:t>
    </w:r>
    <w:r>
      <w:rPr>
        <w:rFonts w:ascii="Georgia" w:cs="Georgia" w:eastAsia="Georgia" w:hAnsi="Georgia"/>
        <w:color w:val="5A5A5A"/>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6"/>
        <w:szCs w:val="16"/>
      </w:rPr>
      <w:t xml:space="preserve">Diabetes Research Hub · Weekly Platform Audit · June 21, 2026 · page </w:t>
    </w:r>
    <w:r>
      <w:rPr>
        <w:rFonts w:ascii="Georgia" w:cs="Georgia" w:eastAsia="Georgia" w:hAnsi="Georgia"/>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1A1A" w:sz="8" w:space="4"/>
      </w:pBdr>
      <w:spacing w:after="80" w:before="300"/>
      <w:outlineLvl w:val="0"/>
    </w:pPr>
    <w:rPr>
      <w:rFonts w:ascii="Georgia" w:cs="Georgia" w:eastAsia="Georgia" w:hAnsi="Georgia"/>
      <w:b/>
      <w:bCs/>
      <w:color w:val="1A1A1A"/>
      <w:sz w:val="26"/>
      <w:szCs w:val="26"/>
    </w:rPr>
  </w:style>
  <w:style w:type="paragraph" w:styleId="Heading2">
    <w:name w:val="Heading 2"/>
    <w:basedOn w:val="Normal"/>
    <w:next w:val="Normal"/>
    <w:qFormat/>
    <w:pPr>
      <w:spacing w:after="60" w:before="220"/>
      <w:outlineLvl w:val="1"/>
    </w:pPr>
    <w:rPr>
      <w:rFonts w:ascii="Georgia" w:cs="Georgia" w:eastAsia="Georgia" w:hAnsi="Georgia"/>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2026-06-21T14:13:51.002Z</dcterms:created>
  <dcterms:modified xsi:type="dcterms:W3CDTF">2026-06-21T14:13:51.002Z</dcterms:modified>
</cp:coreProperties>
</file>

<file path=docProps/custom.xml><?xml version="1.0" encoding="utf-8"?>
<Properties xmlns="http://schemas.openxmlformats.org/officeDocument/2006/custom-properties" xmlns:vt="http://schemas.openxmlformats.org/officeDocument/2006/docPropsVTypes"/>
</file>