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caps/>
          <w:color w:val="5A5A5A"/>
          <w:sz w:val="22"/>
          <w:szCs w:val="22"/>
        </w:rPr>
        <w:t xml:space="preserve">Diabetes Research Hub</w:t>
      </w:r>
    </w:p>
    <w:p>
      <w:pPr>
        <w:pBdr>
          <w:bottom w:val="single" w:color="7B1E1E" w:sz="12" w:space="6"/>
        </w:pBdr>
        <w:spacing w:after="60"/>
      </w:pPr>
      <w:r>
        <w:rPr>
          <w:rFonts w:ascii="Georgia" w:cs="Georgia" w:eastAsia="Georgia" w:hAnsi="Georgia"/>
          <w:b/>
          <w:bCs/>
          <w:color w:val="1A1A1A"/>
          <w:sz w:val="44"/>
          <w:szCs w:val="44"/>
        </w:rPr>
        <w:t xml:space="preserve">Weekly Platform Audit Report</w:t>
      </w:r>
    </w:p>
    <w:p>
      <w:pPr>
        <w:spacing w:after="40"/>
      </w:pPr>
      <w:r>
        <w:rPr>
          <w:rFonts w:ascii="Georgia" w:cs="Georgia" w:eastAsia="Georgia" w:hAnsi="Georgia"/>
          <w:i/>
          <w:iCs/>
          <w:color w:val="5A5A5A"/>
          <w:sz w:val="19"/>
          <w:szCs w:val="19"/>
        </w:rPr>
        <w:t xml:space="preserve">June 14, 2026  ·  One week after the June 7 audit  ·  Automated weekly run</w:t>
      </w:r>
    </w:p>
    <w:p>
      <w:pPr>
        <w:spacing w:after="260"/>
      </w:pPr>
      <w:r>
        <w:rPr>
          <w:rFonts w:ascii="Georgia" w:cs="Georgia" w:eastAsia="Georgia" w:hAnsi="Georgia"/>
          <w:color w:val="5A5A5A"/>
          <w:sz w:val="18"/>
          <w:szCs w:val="18"/>
        </w:rPr>
        <w:t xml:space="preserve">Scope: bottumj.github.io/diabetes-research-hub · github.com/BottumJ/diabetes-research-hub · local working copy.</w:t>
      </w:r>
    </w:p>
    <w:p>
      <w:pPr>
        <w:pStyle w:val="Heading1"/>
        <w:pBdr>
          <w:bottom w:val="single" w:color="7B1E1E" w:sz="6" w:space="4"/>
        </w:pBdr>
        <w:spacing w:after="60" w:before="32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Executive Summary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working copy of the platform remains in strong shape. All 34 dashboards under Dashboards/ carry a consistent navigation bar and a back-link to the hub landing page, the full quality pipeline (run_quality_improvements.py) ran end-to-end this cycle and exited all-green across 41 build and post-processing steps, and the landing page at docs/index.html was regenerated today (2026-06-14) showing the current canonical figure of 809 clinical trials.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dominant problem is unchanged and remains the platform’s single most important issue: that quality is not reaching users. The deployed GitHub Pages mirror under docs/Dashboards/ is still frozen at its March / April state. None of its 33 files carry the current drh-nav navigation markup, ARIA attributes, or PMID hyperlinks added by the post-processing pipeline, and 14 of the 33 lack even a hub back-link. The mirror is also still missing Islet_Drug_Repurposing.html, producing a 404 from the landing page — now the sixth consecutive cycle for that gap. No HIGH or MEDIUM finding from the June 7 audit was closed this week.</w:t>
      </w:r>
    </w:p>
    <w:p>
      <w:pPr>
        <w:pStyle w:val="Heading2"/>
        <w:spacing w:after="80" w:before="200"/>
      </w:pPr>
      <w:r>
        <w:rPr>
          <w:rFonts w:ascii="Georgia" w:cs="Georgia" w:eastAsia="Georgia" w:hAnsi="Georgia"/>
          <w:b/>
          <w:bCs/>
          <w:color w:val="7B1E1E"/>
          <w:sz w:val="22"/>
          <w:szCs w:val="22"/>
        </w:rPr>
        <w:t xml:space="preserve">Pass / fail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60"/>
        <w:gridCol w:w="1700"/>
        <w:gridCol w:w="2400"/>
      </w:tblGrid>
      <w:tr>
        <w:trPr>
          <w:tblHeader/>
        </w:trPr>
        <w:tc>
          <w:tcPr>
            <w:tcW w:type="dxa" w:w="52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0EFE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Check</w:t>
            </w:r>
          </w:p>
        </w:tc>
        <w:tc>
          <w:tcPr>
            <w:tcW w:type="dxa" w:w="1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0EFE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Result</w:t>
            </w:r>
          </w:p>
        </w:tc>
        <w:tc>
          <w:tcPr>
            <w:tcW w:type="dxa" w:w="24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0EFE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52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Navigation &amp; back-link — working copy (34 dashboards)</w:t>
            </w:r>
          </w:p>
        </w:tc>
        <w:tc>
          <w:tcPr>
            <w:tcW w:type="dxa" w:w="1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E5E2E"/>
                <w:sz w:val="18"/>
                <w:szCs w:val="18"/>
              </w:rPr>
              <w:t xml:space="preserve">PASS</w:t>
            </w:r>
          </w:p>
        </w:tc>
        <w:tc>
          <w:tcPr>
            <w:tcW w:type="dxa" w:w="24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34 / 34</w:t>
            </w:r>
          </w:p>
        </w:tc>
      </w:tr>
      <w:tr>
        <w:tc>
          <w:tcPr>
            <w:tcW w:type="dxa" w:w="52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Navigation parity — deployed mirror (33 files)</w:t>
            </w:r>
          </w:p>
        </w:tc>
        <w:tc>
          <w:tcPr>
            <w:tcW w:type="dxa" w:w="1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B1E1E"/>
                <w:sz w:val="18"/>
                <w:szCs w:val="18"/>
              </w:rPr>
              <w:t xml:space="preserve">FAIL</w:t>
            </w:r>
          </w:p>
        </w:tc>
        <w:tc>
          <w:tcPr>
            <w:tcW w:type="dxa" w:w="24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0 / 33 current nav; 14 missing back-link</w:t>
            </w:r>
          </w:p>
        </w:tc>
      </w:tr>
      <w:tr>
        <w:tc>
          <w:tcPr>
            <w:tcW w:type="dxa" w:w="52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Landing-page links resolve on live site</w:t>
            </w:r>
          </w:p>
        </w:tc>
        <w:tc>
          <w:tcPr>
            <w:tcW w:type="dxa" w:w="1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B1E1E"/>
                <w:sz w:val="18"/>
                <w:szCs w:val="18"/>
              </w:rPr>
              <w:t xml:space="preserve">FAIL</w:t>
            </w:r>
          </w:p>
        </w:tc>
        <w:tc>
          <w:tcPr>
            <w:tcW w:type="dxa" w:w="24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33 / 34 (Islet_Drug_Repurposing 404)</w:t>
            </w:r>
          </w:p>
        </w:tc>
      </w:tr>
      <w:tr>
        <w:tc>
          <w:tcPr>
            <w:tcW w:type="dxa" w:w="52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PMID coverage ≥ 3 (content dashboards)</w:t>
            </w:r>
          </w:p>
        </w:tc>
        <w:tc>
          <w:tcPr>
            <w:tcW w:type="dxa" w:w="1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E5E2E"/>
                <w:sz w:val="18"/>
                <w:szCs w:val="18"/>
              </w:rPr>
              <w:t xml:space="preserve">PASS*</w:t>
            </w:r>
          </w:p>
        </w:tc>
        <w:tc>
          <w:tcPr>
            <w:tcW w:type="dxa" w:w="24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30 / 32; 2 below, 2 by-design zero</w:t>
            </w:r>
          </w:p>
        </w:tc>
      </w:tr>
      <w:tr>
        <w:tc>
          <w:tcPr>
            <w:tcW w:type="dxa" w:w="52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PubMed link format conforms</w:t>
            </w:r>
          </w:p>
        </w:tc>
        <w:tc>
          <w:tcPr>
            <w:tcW w:type="dxa" w:w="1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B1E1E"/>
                <w:sz w:val="18"/>
                <w:szCs w:val="18"/>
              </w:rPr>
              <w:t xml:space="preserve">FAIL</w:t>
            </w:r>
          </w:p>
        </w:tc>
        <w:tc>
          <w:tcPr>
            <w:tcW w:type="dxa" w:w="24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3 dashboards carry malformed hrefs</w:t>
            </w:r>
          </w:p>
        </w:tc>
      </w:tr>
      <w:tr>
        <w:tc>
          <w:tcPr>
            <w:tcW w:type="dxa" w:w="52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Build integrity (full pipeline)</w:t>
            </w:r>
          </w:p>
        </w:tc>
        <w:tc>
          <w:tcPr>
            <w:tcW w:type="dxa" w:w="1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E5E2E"/>
                <w:sz w:val="18"/>
                <w:szCs w:val="18"/>
              </w:rPr>
              <w:t xml:space="preserve">PASS</w:t>
            </w:r>
          </w:p>
        </w:tc>
        <w:tc>
          <w:tcPr>
            <w:tcW w:type="dxa" w:w="24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41 / 41 steps green</w:t>
            </w:r>
          </w:p>
        </w:tc>
      </w:tr>
      <w:tr>
        <w:tc>
          <w:tcPr>
            <w:tcW w:type="dxa" w:w="52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Collaboration infra (CONTRIBUTING + templates)</w:t>
            </w:r>
          </w:p>
        </w:tc>
        <w:tc>
          <w:tcPr>
            <w:tcW w:type="dxa" w:w="1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E5E2E"/>
                <w:sz w:val="18"/>
                <w:szCs w:val="18"/>
              </w:rPr>
              <w:t xml:space="preserve">PASS*</w:t>
            </w:r>
          </w:p>
        </w:tc>
        <w:tc>
          <w:tcPr>
            <w:tcW w:type="dxa" w:w="24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present; CITATION.cff &amp; PR template absent</w:t>
            </w:r>
          </w:p>
        </w:tc>
      </w:tr>
    </w:tbl>
    <w:p>
      <w:pPr>
        <w:spacing w:before="60"/>
      </w:pPr>
      <w:r>
        <w:rPr>
          <w:rFonts w:ascii="Georgia" w:cs="Georgia" w:eastAsia="Georgia" w:hAnsi="Georgia"/>
          <w:i/>
          <w:iCs/>
          <w:color w:val="5A5A5A"/>
          <w:sz w:val="16"/>
          <w:szCs w:val="16"/>
        </w:rPr>
        <w:t xml:space="preserve">* Partial — see detailed findings.</w:t>
      </w:r>
    </w:p>
    <w:p>
      <w:pPr>
        <w:pStyle w:val="Heading1"/>
        <w:pBdr>
          <w:bottom w:val="single" w:color="7B1E1E" w:sz="6" w:space="4"/>
        </w:pBdr>
        <w:spacing w:after="60" w:before="32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Comparison to Previous Audit (June 7, 2026)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picture is essentially static. Last week’s audit recorded 2 HIGH (stale deploy mirror; Islet_Drug_Repurposing missing from mirror), 4 MEDIUM (trial-count drift; sentence-as-PMID hrefs; template-literal leak; task-description staleness) and a set of LOW items. None of the HIGH or MEDIUM items was resolved this week, and no new regression was introduced.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Two things moved. First, the canonical trial count ticked from 802 (June 7) to 809 today as the ClinicalTrials.gov query refreshed; the landing page reflects 809 correctly, but the same stale surfaces still disagree (Clinical_Trial_Dashboard “748+”, Gap_Deep_Dives “746”). Second, and more positively, the full master pipeline was executed end-to-end in this audit environment and completed all 41 improvements cleanly — a stronger build confirmation than the compile-and-spot-run that the June 7 cycle was limited to. The Islet_Drug_Repurposing mirror gap is now in its sixth consecutive cycle.</w:t>
      </w:r>
    </w:p>
    <w:p>
      <w:pPr>
        <w:pStyle w:val="Heading1"/>
        <w:pBdr>
          <w:bottom w:val="single" w:color="7B1E1E" w:sz="6" w:space="4"/>
        </w:pBdr>
        <w:spacing w:after="60" w:before="32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Dashboard-by-Dashboard Status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5A5A5A"/>
          <w:sz w:val="17"/>
          <w:szCs w:val="17"/>
        </w:rPr>
        <w:t xml:space="preserve">All 34 active dashboards in the working copy (Dashboards/), alphabetical. A navigation bar and hub back-link are present on every one, so those columns are folded into Notes. PMIDs = unique numeric PubMed IDs reachable by static scan of pubmed.ncbi.nlm.nih.gov/&lt;digits&gt; links. The _quarantine/ subfolder (4 superseded files) is excluded.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750"/>
        <w:gridCol w:w="700"/>
        <w:gridCol w:w="4660"/>
        <w:gridCol w:w="1200"/>
      </w:tblGrid>
      <w:tr>
        <w:trPr>
          <w:tblHeader/>
        </w:trP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0EFE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Dashboard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0EFE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KB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0EFE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PMIDs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0EFE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Notes (nav + back-link present on all)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0EFE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Acronym_Database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93.7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7B1E1E"/>
                <w:sz w:val="17"/>
                <w:szCs w:val="17"/>
              </w:rPr>
              <w:t xml:space="preserve">0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Reference glossary; 0 numeric PMIDs by design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EDEDE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CART_Access_Barriers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85.1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Clinical_Trial_Dashboard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448.5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Prose reads “748+” vs canonical 809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EDEDE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Corpus_Analysis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82.4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Drug_Repurposing_Islet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59.9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9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 malformed PubMed hrefs (sentence fragments + 1 NCT id)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6ECD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MED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Drug_Repurposing_Screen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119.3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Equity_Map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81.1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9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Extracted_Evidence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133.7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53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GKA_LADA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42.8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GKA_Landscape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60.0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Footer still reads “Generated 2025”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EDEDE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GKA_Pricing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52.9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Gap_Deep_Dives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218.3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Three “746” trial-count occurrences (stale)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EDEDE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Gap_Evidence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182.1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71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Gap_Synthesis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121.8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Generic_Drug_Catalog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48.3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8A6D1A"/>
                <w:sz w:val="17"/>
                <w:szCs w:val="17"/>
              </w:rPr>
              <w:t xml:space="preserve">2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2 unique PMIDs (&lt;3); 2 un-interpolated template-literal hrefs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6ECD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MED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Health_Equity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76.1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2 empty pubmed.ncbi.nlm.nih.gov/ hrefs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EDEDE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Immunomod_LADA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50.9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10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Islet_Drug_Repurposing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115.6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Absent from docs/Dashboards mirror → landing-page 404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3E0D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7B1E1E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Islet_Transplant_Analysis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74.0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Islet_Transplant_Equity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43.5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LADA_Diagnostic_Model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57.3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LADA_Natural_History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60.2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LADA_Prevalence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54.5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8A6D1A"/>
                <w:sz w:val="17"/>
                <w:szCs w:val="17"/>
              </w:rPr>
              <w:t xml:space="preserve">2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2 unique PMIDs (&lt;3 threshold)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6ECD9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MED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Medical_Data_Dictionary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358.5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90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65.4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7B1E1E"/>
                <w:sz w:val="17"/>
                <w:szCs w:val="17"/>
              </w:rPr>
              <w:t xml:space="preserve">0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Methods page; 0 PMIDs + 1 didactic empty href (cosmetic)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EDEDE8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Nutrition_Beta_Cells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44.9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Nutrition_LADA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54.7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14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PMID_Verification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171.0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259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Canonical citation registry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Paper_Library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199.9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259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Canonical citation registry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Research_Dashboard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65.6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Research_Paths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129.4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Statistical_Analysis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37.3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6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Treg_Neuropathy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68.4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0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Trial_Equity_Mapper</w:t>
            </w:r>
          </w:p>
        </w:tc>
        <w:tc>
          <w:tcPr>
            <w:tcW w:type="dxa" w:w="75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73.5</w:t>
            </w:r>
          </w:p>
        </w:tc>
        <w:tc>
          <w:tcPr>
            <w:tcW w:type="dxa" w:w="7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466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7"/>
                <w:szCs w:val="17"/>
              </w:rPr>
              <w:t xml:space="preserve">—</w:t>
            </w:r>
          </w:p>
        </w:tc>
        <w:tc>
          <w:tcPr>
            <w:tcW w:type="dxa" w:w="1200"/>
            <w:tcBorders>
              <w:top w:val="single" w:color="C9C9C4" w:sz="1"/>
              <w:left w:val="none" w:color="FFFFFF" w:sz="0"/>
              <w:bottom w:val="single" w:color="C9C9C4" w:sz="1"/>
              <w:right w:val="none" w:color="FFFFFF" w:sz="0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line="2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pBdr>
          <w:bottom w:val="single" w:color="7B1E1E" w:sz="6" w:space="4"/>
        </w:pBdr>
        <w:spacing w:after="60" w:before="32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Detailed Findings</w:t>
      </w:r>
    </w:p>
    <w:p>
      <w:pPr>
        <w:pStyle w:val="Heading2"/>
        <w:spacing w:after="80" w:before="200"/>
      </w:pPr>
      <w:r>
        <w:rPr>
          <w:rFonts w:ascii="Georgia" w:cs="Georgia" w:eastAsia="Georgia" w:hAnsi="Georgia"/>
          <w:b/>
          <w:bCs/>
          <w:color w:val="7B1E1E"/>
          <w:sz w:val="22"/>
          <w:szCs w:val="22"/>
        </w:rPr>
        <w:t xml:space="preserve">1 · Navigation and UX Consistency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Working copy. All 34 dashboards contain a &lt;nav class="drh-nav"&gt; element with a grouped set of cross-links to every sibling dashboard plus a back-link of the form href="../docs/index.html" labelled “← Hub.” Static scan finds zero working-copy dashboards missing navigation or a back-link.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Deployed mirror. The mirror under docs/Dashboards/ holds 33 files. None contains the drh-nav class, and only 19 of the 33 carry any hub back-link at all — the remaining 14 (Acronym_Database, Clinical_Trial_Dashboard, Corpus_Analysis, Drug_Repurposing_Screen, Equity_Map, Extracted_Evidence, Gap_Deep_Dives, Gap_Synthesis, LADA_Diagnostic_Model, Medical_Data_Dictionary, Research_Dashboard, Research_Paths, Statistical_Analysis, Trial_Equity_Mapper) have no return path to the landing page. Every navigation, back-link, ARIA and PMID-hyperlink improvement made since late March is invisible to live-site visitors. The deploy step that should copy Dashboards/*.html into docs/Dashboards/*.html is not running.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Landing page. docs/index.html lists all 34 dashboards. All 34 links resolve against the working copy; 33 of 34 resolve against the deployed mirror. The single broken mirror link is Dashboards/Islet_Drug_Repurposing.html, which exists in the working copy (≈116 KB) but not in docs/Dashboards/.</w:t>
      </w:r>
    </w:p>
    <w:p>
      <w:pPr>
        <w:pStyle w:val="Heading2"/>
        <w:spacing w:after="80" w:before="200"/>
      </w:pPr>
      <w:r>
        <w:rPr>
          <w:rFonts w:ascii="Georgia" w:cs="Georgia" w:eastAsia="Georgia" w:hAnsi="Georgia"/>
          <w:b/>
          <w:bCs/>
          <w:color w:val="7B1E1E"/>
          <w:sz w:val="22"/>
          <w:szCs w:val="22"/>
        </w:rPr>
        <w:t xml:space="preserve">2 · Research Validity and Citation Completeness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PMID coverage. Roughly 278 unique numeric PubMed IDs are referenced across the working copy. PMID_Verification.html and Paper_Library.html are the canonical registries, each linking 259 PMIDs. Of the remaining 32 dashboards, 30 carry at least 3 unique PMIDs.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Below threshold. Two dashboards carry exactly 2 unique PMIDs and are flagged MEDIUM under the &lt;3 rule: Generic_Drug_Catalog (additional citations are injected by JavaScript at runtime but leak as malformed hrefs — see below) and LADA_Prevalence. Two further dashboards carry 0 numeric PMIDs — Acronym_Database and Methodology. Under a strict reading these are HIGH, but both are non-citing reference pages by design (a glossary and a methods page), so they are recorded as LOW with that context noted rather than escalated.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Malformed PubMed links. Three dashboards contain hrefs that do not match the canonical https://pubmed.ncbi.nlm.nih.gov/&lt;digits&gt;/ form. Drug_Repurposing_Islet.html has 7 — hrefs pointing at sentence fragments (“BANDIT trial”, “Clinical data in T2D”, “Emerging transplant data”, “Mechanistic extrapolation…”) and one ClinicalTrials.gov identifier (NCT01319331) wrongly placed in a PubMed URL — all broken when clicked. Generic_Drug_Catalog.html has 2 hrefs containing the un-interpolated template literal pubmed.ncbi.nlm.nih.gov/' + p.trim() + '/. Methodology.html and Health_Equity.html carry empty pubmed.ncbi.nlm.nih.gov/ hrefs used as didactic examples (cosmetic).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Duplicate / misattributed PMIDs. A scan for the same PMID linked to two different study titles found no cross-dashboard misattributions this cycle. High-frequency PMIDs reused across dashboards (e.g. 29710129, 34763823, 37909353) carry consistent titles wherever they appear, and all well-formed PMID hyperlinks point to the correct https://pubmed.ncbi.nlm.nih.gov/&lt;id&gt;/ pattern.</w:t>
      </w:r>
    </w:p>
    <w:p>
      <w:pPr>
        <w:pStyle w:val="Heading2"/>
        <w:spacing w:after="80" w:before="200"/>
      </w:pPr>
      <w:r>
        <w:rPr>
          <w:rFonts w:ascii="Georgia" w:cs="Georgia" w:eastAsia="Georgia" w:hAnsi="Georgia"/>
          <w:b/>
          <w:bCs/>
          <w:color w:val="7B1E1E"/>
          <w:sz w:val="22"/>
          <w:szCs w:val="22"/>
        </w:rPr>
        <w:t xml:space="preserve">3 · Build Integrity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master pipeline run_quality_improvements.py was executed end-to-end from Analysis/Scripts/ and completed with exit code 0, reporting “All 41 improvements completed successfully.” Every build step — from the 15 gap dashboards through PMID verification, evidence extraction, the Paper Library, the drug-repurposing screen, the statistical-analysis dashboard, the GitHub Pages rebuild and the nav/PMID/ARIA post-processing pass — reported [OK]. No script failed or raised an error.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Footprint. Working copy Dashboards/: 34 HTML files, ≈ 3.6 MB. Deployed mirror docs/Dashboards/: 33 files, ≈ 3.2 MB. The delta reflects both the one missing file and the absence of every post-processing addition across the rest of the mirror. The largest single dashboards are Clinical_Trial_Dashboard (449 KB) and Medical_Data_Dictionary (359 KB).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Note. The pipeline’s post-processing step reports success for nav / PMID / ARIA injection, yet those additions are present only in the working copy and not in the deployed mirror — confirming the issue is a missing docs/ sync at deploy time, not a failure inside the build itself.</w:t>
      </w:r>
    </w:p>
    <w:p>
      <w:pPr>
        <w:pStyle w:val="Heading2"/>
        <w:spacing w:after="80" w:before="200"/>
      </w:pPr>
      <w:r>
        <w:rPr>
          <w:rFonts w:ascii="Georgia" w:cs="Georgia" w:eastAsia="Georgia" w:hAnsi="Georgia"/>
          <w:b/>
          <w:bCs/>
          <w:color w:val="7B1E1E"/>
          <w:sz w:val="22"/>
          <w:szCs w:val="22"/>
        </w:rPr>
        <w:t xml:space="preserve">4 · Content Freshness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Canonical trial count. The landing page headline now reads 809 diabetes clinical trials (up from 802 last week) and the footer reads “Last updated: 2026-06-14.” Three surfaces still disagree with the canonical figure: Clinical_Trial_Dashboard.html prose (“748+”), Gap_Deep_Dives.html (three “746” occurrences), and this audit task’s own description (still cites 746, now several cycles stale).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Dates. The landing-page footer is current. The one stale year-stamp is GKA_Landscape.html, whose footer still reads “Generated 2025” — a literal carried in build_gka_landscape.py from prior cycles.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Upcoming items. The landing page’s “In Progress &amp; Upcoming” section carries no dated deadlines, so nothing is strictly past due. As noted in prior cycles, a “Completed” card has persisted in this section across many runs and now reads as permanent furniture; consider rotating it into a “Recent Milestones” area.</w:t>
      </w:r>
    </w:p>
    <w:p>
      <w:pPr>
        <w:pStyle w:val="Heading2"/>
        <w:spacing w:after="80" w:before="200"/>
      </w:pPr>
      <w:r>
        <w:rPr>
          <w:rFonts w:ascii="Georgia" w:cs="Georgia" w:eastAsia="Georgia" w:hAnsi="Georgia"/>
          <w:b/>
          <w:bCs/>
          <w:color w:val="7B1E1E"/>
          <w:sz w:val="22"/>
          <w:szCs w:val="22"/>
        </w:rPr>
        <w:t xml:space="preserve">5 · Accessibility and Inclusivity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Colour contrast. The muted text token #636363 on the #fafaf7 background yields a contrast ratio of 5.75 : 1. This passes WCAG AA for normal body text (4.5 : 1) but falls short of AAA (7 : 1). Darkening the token to roughly #5A5A5A would lift it to about 6.6 : 1 without altering the visual character of the palette.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ARIA. Interactive elements carry ARIA attributes throughout the working copy — typically aria-label on tab lists and the nav dropdown, with role attributes ranging from roughly 14 to 30 per dashboard. No working-copy dashboard falls below the platform minimum; none of this is present on the deployed mirror.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Table headers. 574 &lt;th&gt; elements exist across the working copy and 0 of them carry a scope="col" or scope="row" attribute — a long-standing platform-wide gap fixable in a single post-process pass. Several dashboards also emit JavaScript-rendered tables with no &lt;thead&gt; wrapper, which weakens screen-reader navigation.</w:t>
      </w:r>
    </w:p>
    <w:p>
      <w:pPr>
        <w:pStyle w:val="Heading2"/>
        <w:spacing w:after="80" w:before="200"/>
      </w:pPr>
      <w:r>
        <w:rPr>
          <w:rFonts w:ascii="Georgia" w:cs="Georgia" w:eastAsia="Georgia" w:hAnsi="Georgia"/>
          <w:b/>
          <w:bCs/>
          <w:color w:val="7B1E1E"/>
          <w:sz w:val="22"/>
          <w:szCs w:val="22"/>
        </w:rPr>
        <w:t xml:space="preserve">6 · Collaboration Infrastructure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CONTRIBUTING.md is present at the repository root and covers data-error reporting, new-gap submission and dashboard improvements; it includes an APA citation and a BibTeX block under “Citing This Work,” so a citation format is provided. .github/ISSUE_TEMPLATE/ contains four templates: bug_report.md, data_error.md, feature_request.md and new_gap.md.</w:t>
      </w:r>
    </w:p>
    <w:p>
      <w:pPr>
        <w:spacing w:after="140" w:line="276"/>
        <w:jc w:val="both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Two gaps remain. There is no CITATION.cff at the repository root — a short file mirroring the APA citation already in CONTRIBUTING.md would enable GitHub’s “Cite this repository” button. There is also no pull-request template (.github/PULL_REQUEST_TEMPLATE.md); contributors are currently routed through issues rather than PRs.</w:t>
      </w:r>
    </w:p>
    <w:p>
      <w:pPr>
        <w:pStyle w:val="Heading1"/>
        <w:pBdr>
          <w:bottom w:val="single" w:color="7B1E1E" w:sz="6" w:space="4"/>
        </w:pBdr>
        <w:spacing w:after="60" w:before="320"/>
      </w:pPr>
      <w:r>
        <w:rPr>
          <w:rFonts w:ascii="Georgia" w:cs="Georgia" w:eastAsia="Georgia" w:hAnsi="Georgia"/>
          <w:b/>
          <w:bCs/>
          <w:color w:val="1A1A1A"/>
          <w:sz w:val="26"/>
          <w:szCs w:val="26"/>
        </w:rPr>
        <w:t xml:space="preserve">Priority Action Items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7B1E1E"/>
          <w:sz w:val="22"/>
          <w:szCs w:val="22"/>
        </w:rPr>
        <w:t xml:space="preserve">HIGH</w:t>
      </w:r>
    </w:p>
    <w:p>
      <w:pPr>
        <w:pBdr>
          <w:left w:val="single" w:color="7B1E1E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H1.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Sync the deployed mirror. Add a docs/ deploy step so Dashboards/*.html is copied into docs/Dashboards/*.html. Today 0 of 33 live files carry current navigation/ARIA/PMID markup and 14 lack any hub back-link — all post-March quality is invisible to users.</w:t>
      </w:r>
    </w:p>
    <w:p>
      <w:pPr>
        <w:pBdr>
          <w:left w:val="single" w:color="7B1E1E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H2.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Restore Islet_Drug_Repurposing.html to the mirror. The landing page links to it but the file is absent from docs/Dashboards/, producing a live-site 404 (sixth consecutive cycle).</w:t>
      </w:r>
    </w:p>
    <w:p>
      <w:pPr>
        <w:spacing w:after="100" w:before="120"/>
      </w:pPr>
      <w:r>
        <w:rPr>
          <w:rFonts w:ascii="Georgia" w:cs="Georgia" w:eastAsia="Georgia" w:hAnsi="Georgia"/>
          <w:b/>
          <w:bCs/>
          <w:color w:val="8A6D1A"/>
          <w:sz w:val="22"/>
          <w:szCs w:val="22"/>
        </w:rPr>
        <w:t xml:space="preserve">MEDIUM</w:t>
      </w:r>
    </w:p>
    <w:p>
      <w:pPr>
        <w:pBdr>
          <w:left w:val="single" w:color="8A6D1A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M1.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Reconcile the trial count to 809. Update Clinical_Trial_Dashboard (“748+”) and Gap_Deep_Dives (three “746”) so all surfaces match the canonical figure.</w:t>
      </w:r>
    </w:p>
    <w:p>
      <w:pPr>
        <w:pBdr>
          <w:left w:val="single" w:color="8A6D1A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M2.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Fix malformed PubMed hrefs. Repair the 7 sentence-fragment / NCT links in Drug_Repurposing_Islet and the 2 un-interpolated template-literal links in Generic_Drug_Catalog.</w:t>
      </w:r>
    </w:p>
    <w:p>
      <w:pPr>
        <w:pBdr>
          <w:left w:val="single" w:color="8A6D1A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M3.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Raise sub-threshold citation coverage. Generic_Drug_Catalog and LADA_Prevalence each expose only 2 unique PMIDs; add citations to clear the ≥3 bar (M2 will recover several in Generic_Drug_Catalog).</w:t>
      </w:r>
    </w:p>
    <w:p>
      <w:pPr>
        <w:pBdr>
          <w:left w:val="single" w:color="8A6D1A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M4.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Refresh the audit task description. It still cites 746 trials; update to the canonical source so the brief stops drifting.</w:t>
      </w:r>
    </w:p>
    <w:p>
      <w:pPr>
        <w:spacing w:after="100" w:before="120"/>
      </w:pPr>
      <w:r>
        <w:rPr>
          <w:rFonts w:ascii="Georgia" w:cs="Georgia" w:eastAsia="Georgia" w:hAnsi="Georgia"/>
          <w:b/>
          <w:bCs/>
          <w:color w:val="5A5A5A"/>
          <w:sz w:val="22"/>
          <w:szCs w:val="22"/>
        </w:rPr>
        <w:t xml:space="preserve">LOW</w:t>
      </w:r>
    </w:p>
    <w:p>
      <w:pPr>
        <w:pBdr>
          <w:left w:val="single" w:color="9A9A92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L1.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Add scope="col"/"row" to the 574 &lt;th&gt; elements and a &lt;thead&gt; wrapper to JS-rendered tables in a single post-process pass.</w:t>
      </w:r>
    </w:p>
    <w:p>
      <w:pPr>
        <w:pBdr>
          <w:left w:val="single" w:color="9A9A92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L2.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Darken the muted text token from #636363 to ~#5A5A5A to clear WCAG AAA (7:1).</w:t>
      </w:r>
    </w:p>
    <w:p>
      <w:pPr>
        <w:pBdr>
          <w:left w:val="single" w:color="9A9A92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L3.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Fix the “Generated 2025” footer literal in build_gka_landscape.py.</w:t>
      </w:r>
    </w:p>
    <w:p>
      <w:pPr>
        <w:pBdr>
          <w:left w:val="single" w:color="9A9A92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L4.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Add CITATION.cff (enables GitHub’s “Cite this repository” button) and a PULL_REQUEST_TEMPLATE.md.</w:t>
      </w:r>
    </w:p>
    <w:p>
      <w:pPr>
        <w:pBdr>
          <w:left w:val="single" w:color="9A9A92" w:sz="12" w:space="8"/>
        </w:pBdr>
        <w:spacing w:after="100" w:line="264"/>
        <w:ind w:left="20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L5. 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Rotate the long-standing “Completed” card out of “In Progress &amp; Upcoming” into a “Recent Milestones” area.</w:t>
      </w:r>
    </w:p>
    <w:p>
      <w:pPr>
        <w:pBdr>
          <w:top w:val="single" w:color="C9C9C4" w:sz="4" w:space="6"/>
        </w:pBdr>
        <w:spacing w:before="280"/>
      </w:pPr>
      <w:r>
        <w:rPr>
          <w:rFonts w:ascii="Georgia" w:cs="Georgia" w:eastAsia="Georgia" w:hAnsi="Georgia"/>
          <w:i/>
          <w:iCs/>
          <w:color w:val="5A5A5A"/>
          <w:sz w:val="16"/>
          <w:szCs w:val="16"/>
        </w:rPr>
        <w:t xml:space="preserve">Generated automatically by the weekly platform audit on 2026-06-14. Build pipeline confirmed green this cycle; deployment parity remains the blocking issue.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4" w:sz="4" w:space="6"/>
      </w:pBdr>
      <w:jc w:val="center"/>
    </w:pPr>
    <w:r>
      <w:rPr>
        <w:rFonts w:ascii="Georgia" w:cs="Georgia" w:eastAsia="Georgia" w:hAnsi="Georgia"/>
        <w:color w:val="5A5A5A"/>
        <w:sz w:val="16"/>
        <w:szCs w:val="16"/>
      </w:rPr>
      <w:t xml:space="preserve">Diabetes Research Hub · Weekly Audit · June 14, 2026 · </w:t>
    </w:r>
    <w:r>
      <w:rPr>
        <w:rFonts w:ascii="Georgia" w:cs="Georgia" w:eastAsia="Georgia" w:hAnsi="Georgia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320"/>
      <w:outlineLvl w:val="0"/>
    </w:pPr>
    <w:rPr>
      <w:rFonts w:ascii="Georgia" w:cs="Georgia" w:eastAsia="Georgia" w:hAnsi="Georgia"/>
      <w:b/>
      <w:bCs/>
      <w:color w:val="1A1A1A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Georgia" w:cs="Georgia" w:eastAsia="Georgia" w:hAnsi="Georgia"/>
      <w:b/>
      <w:bCs/>
      <w:color w:val="7B1E1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2026-06-14T14:14:03.972Z</dcterms:created>
  <dcterms:modified xsi:type="dcterms:W3CDTF">2026-06-14T14:14:03.973Z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