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2C3E50"/>
          <w:sz w:val="44"/>
          <w:szCs w:val="44"/>
        </w:rPr>
        <w:t xml:space="preserve">Diabetes Research Hub</w:t>
      </w:r>
    </w:p>
    <w:p>
      <w:pPr>
        <w:spacing w:after="40"/>
        <w:jc w:val="center"/>
      </w:pPr>
      <w:r>
        <w:rPr>
          <w:rFonts w:ascii="Arial" w:cs="Arial" w:eastAsia="Arial" w:hAnsi="Arial"/>
          <w:color w:val="34495E"/>
          <w:sz w:val="30"/>
          <w:szCs w:val="30"/>
        </w:rPr>
        <w:t xml:space="preserve">Weekly Platform Audit Report</w:t>
      </w:r>
    </w:p>
    <w:p>
      <w:pPr>
        <w:pBdr>
          <w:bottom w:val="single" w:color="2C3E50" w:sz="6" w:space="8"/>
        </w:pBdr>
        <w:spacing w:after="200"/>
        <w:jc w:val="center"/>
      </w:pPr>
      <w:r>
        <w:rPr>
          <w:rFonts w:ascii="Arial" w:cs="Arial" w:eastAsia="Arial" w:hAnsi="Arial"/>
          <w:color w:val="7F8C8D"/>
          <w:sz w:val="22"/>
          <w:szCs w:val="22"/>
        </w:rPr>
        <w:t xml:space="preserve">April 12, 2026</w:t>
      </w:r>
    </w:p>
    <w:p>
      <w:pPr>
        <w:pStyle w:val="Heading1"/>
      </w:pPr>
      <w:r>
        <w:t xml:space="preserve">Executive Summary</w:t>
      </w:r>
    </w:p>
    <w:p>
      <w:pPr>
        <w:spacing w:after="120"/>
      </w:pPr>
      <w:r>
        <w:t xml:space="preserve">This report covers the weekly audit of the Diabetes Research Hub platform performed on April 12, 2026. The platform comprises 34 active dashboards (3.7 MB total) plus 4 quarantined files, served via GitHub Pages with a Tufte-styled landing page.</w:t>
      </w:r>
    </w:p>
    <w:p>
      <w:pPr>
        <w:spacing w:after="120"/>
      </w:pPr>
      <w:r>
        <w:t xml:space="preserve">All 39 build scripts executed successfully with zero errors. The landing page correctly links to 32 of 34 dashboards (two remain unlisted). 238 unique PMIDs are cited across the platform, with 268 unique PubMed hyperlinks. However, 17 dashboards cite PMIDs as plain text without hyperlinks to PubMed, limiting verifiability.</w:t>
      </w:r>
    </w:p>
    <w:p>
      <w:pPr>
        <w:spacing w:after="200"/>
      </w:pPr>
      <w:r>
        <w:t xml:space="preserve">Accessibility remains the platform’s weakest area: zero ARIA attributes across all 34 dashboards. Navigation consistency has not improved since the previous audit, with 14 dashboards missing navbars and 5 missing back-links to the hub.</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tblGrid>
      <w:tr>
        <w:tc>
          <w:tcPr>
            <w:tcW w:type="dxa" w:w="4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Metric</w:t>
            </w:r>
          </w:p>
        </w:tc>
        <w:tc>
          <w:tcPr>
            <w:tcW w:type="dxa" w:w="2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Value</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Total active dashboards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34</w:t>
            </w:r>
          </w:p>
        </w:tc>
      </w:tr>
      <w:tr>
        <w:tc>
          <w:tcPr>
            <w:tcW w:type="dxa" w:w="4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Quarantined dashboards</w:t>
            </w:r>
          </w:p>
        </w:tc>
        <w:tc>
          <w:tcPr>
            <w:tcW w:type="dxa" w:w="2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4</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Build scripts passed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39 / 39</w:t>
            </w:r>
          </w:p>
        </w:tc>
      </w:tr>
      <w:tr>
        <w:tc>
          <w:tcPr>
            <w:tcW w:type="dxa" w:w="4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Total dashboard size</w:t>
            </w:r>
          </w:p>
        </w:tc>
        <w:tc>
          <w:tcPr>
            <w:tcW w:type="dxa" w:w="2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3.7 MB</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Unique PMIDs cited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238</w:t>
            </w:r>
          </w:p>
        </w:tc>
      </w:tr>
      <w:tr>
        <w:tc>
          <w:tcPr>
            <w:tcW w:type="dxa" w:w="4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Unique PubMed links</w:t>
            </w:r>
          </w:p>
        </w:tc>
        <w:tc>
          <w:tcPr>
            <w:tcW w:type="dxa" w:w="2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268</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PASS (no issues)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14</w:t>
            </w:r>
          </w:p>
        </w:tc>
      </w:tr>
      <w:tr>
        <w:tc>
          <w:tcPr>
            <w:tcW w:type="dxa" w:w="4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HIGH priority issues</w:t>
            </w:r>
          </w:p>
        </w:tc>
        <w:tc>
          <w:tcPr>
            <w:tcW w:type="dxa" w:w="2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3</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MEDIUM priority issues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w:t>
            </w:r>
          </w:p>
        </w:tc>
      </w:tr>
      <w:tr>
        <w:tc>
          <w:tcPr>
            <w:tcW w:type="dxa" w:w="4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LOW priority issues</w:t>
            </w:r>
          </w:p>
        </w:tc>
        <w:tc>
          <w:tcPr>
            <w:tcW w:type="dxa" w:w="2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7</w:t>
            </w:r>
          </w:p>
        </w:tc>
      </w:tr>
    </w:tbl>
    <w:p>
      <w:pPr>
        <w:spacing w:after="100"/>
      </w:pPr>
    </w:p>
    <w:p>
      <w:pPr>
        <w:pStyle w:val="Heading1"/>
      </w:pPr>
      <w:r>
        <w:t xml:space="preserve">Comparison with Previous Audit</w:t>
      </w:r>
    </w:p>
    <w:p>
      <w:pPr>
        <w:spacing w:after="80"/>
      </w:pPr>
      <w:r>
        <w:t xml:space="preserve">The previous audit was generated on April 5, 2026. Key changes since then:</w:t>
      </w:r>
    </w:p>
    <w:p>
      <w:pPr>
        <w:pStyle w:val="ListParagraph"/>
        <w:numPr>
          <w:ilvl w:val="0"/>
          <w:numId w:val="2"/>
        </w:numPr>
      </w:pPr>
      <w:r>
        <w:t xml:space="preserve">Dashboard count remains at 34 active (unchanged). Build integrity: all 39 scripts still pass.</w:t>
      </w:r>
    </w:p>
    <w:p>
      <w:pPr>
        <w:pStyle w:val="ListParagraph"/>
        <w:numPr>
          <w:ilvl w:val="0"/>
          <w:numId w:val="2"/>
        </w:numPr>
      </w:pPr>
      <w:r>
        <w:t xml:space="preserve">Navigation gaps persist: 5 dashboards still lack back-links, 14 still lack navbars. No improvement since last audit.</w:t>
      </w:r>
    </w:p>
    <w:p>
      <w:pPr>
        <w:pStyle w:val="ListParagraph"/>
        <w:numPr>
          <w:ilvl w:val="0"/>
          <w:numId w:val="2"/>
        </w:numPr>
      </w:pPr>
      <w:r>
        <w:t xml:space="preserve">Two dashboards (Gap_Evidence, Islet_Drug_Repurposing) remain unlisted on the landing page (unchanged).</w:t>
      </w:r>
    </w:p>
    <w:p>
      <w:pPr>
        <w:pStyle w:val="ListParagraph"/>
        <w:numPr>
          <w:ilvl w:val="0"/>
          <w:numId w:val="2"/>
        </w:numPr>
      </w:pPr>
      <w:r>
        <w:t xml:space="preserve">Accessibility: zero ARIA labels across all 34 dashboards (unchanged).</w:t>
      </w:r>
    </w:p>
    <w:p>
      <w:pPr>
        <w:pStyle w:val="ListParagraph"/>
        <w:numPr>
          <w:ilvl w:val="0"/>
          <w:numId w:val="2"/>
        </w:numPr>
      </w:pPr>
      <w:r>
        <w:t xml:space="preserve">GitHub issue templates still absent.</w:t>
      </w:r>
    </w:p>
    <w:p>
      <w:pPr>
        <w:pStyle w:val="ListParagraph"/>
        <w:numPr>
          <w:ilvl w:val="0"/>
          <w:numId w:val="2"/>
        </w:numPr>
        <w:spacing w:after="120"/>
      </w:pPr>
      <w:r>
        <w:t xml:space="preserve">Clinical trial count updated from 746 to 758. Landing page last-updated date is current (2026-04-12).</w:t>
      </w:r>
    </w:p>
    <w:p>
      <w:pPr>
        <w:spacing w:after="200"/>
      </w:pPr>
      <w:r>
        <w:rPr>
          <w:i/>
          <w:iCs/>
          <w:color w:val="5D6D7E"/>
        </w:rPr>
        <w:t xml:space="preserve">Overall status: stable but stagnant on known issues. No regressions detected.</w:t>
      </w:r>
    </w:p>
    <w:p>
      <w:r>
        <w:br w:type="page"/>
      </w:r>
    </w:p>
    <w:p>
      <w:pPr>
        <w:pStyle w:val="Heading1"/>
      </w:pPr>
      <w:r>
        <w:t xml:space="preserve">Dashboard-by-Dashboard Status</w:t>
      </w:r>
    </w:p>
    <w:p>
      <w:pPr>
        <w:spacing w:after="120"/>
      </w:pPr>
      <w:r>
        <w:t xml:space="preserve">Priority levels: PASS = no issues, HIGH = critical (zero PMIDs or major gaps), MEDIUM = notable issues, LOW = minor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700"/>
        <w:gridCol w:w="600"/>
        <w:gridCol w:w="600"/>
        <w:gridCol w:w="800"/>
        <w:gridCol w:w="37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Dashboard</w:t>
            </w:r>
          </w:p>
        </w:tc>
        <w:tc>
          <w:tcPr>
            <w:tcW w:type="dxa" w:w="7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Size</w:t>
            </w:r>
          </w:p>
        </w:tc>
        <w:tc>
          <w:tcPr>
            <w:tcW w:type="dxa" w:w="7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PMIDs</w:t>
            </w:r>
          </w:p>
        </w:tc>
        <w:tc>
          <w:tcPr>
            <w:tcW w:type="dxa" w:w="6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Nav</w:t>
            </w:r>
          </w:p>
        </w:tc>
        <w:tc>
          <w:tcPr>
            <w:tcW w:type="dxa" w:w="6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Back</w:t>
            </w:r>
          </w:p>
        </w:tc>
        <w:tc>
          <w:tcPr>
            <w:tcW w:type="dxa" w:w="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37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Issues</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Acronym Database</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91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Zero PMIDs (reference tool – acceptable but flagged)</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CART Access Barriers</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77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66</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Clinical Trial Dashboard</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425 KB</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37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Zero PMIDs on clinical content dashboard</w:t>
            </w:r>
          </w:p>
        </w:tc>
      </w:tr>
      <w:tr>
        <w:tc>
          <w:tcPr>
            <w:tcW w:type="dxa" w:w="2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Corpus Analysis</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78 KB</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37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Zero PMIDs; missing back-link to hub</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Drug Repurposing Islet</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56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11</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Drug Repurposing Screen</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108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80</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Equity Map</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77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10</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Extracted Evidence</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133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175</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back-link and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GKA 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37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GKA Landscape</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54 KB</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20</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GKA Pricing</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78</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Gap Deep Dives</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210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77</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back-link and navbar</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Gap Evidence</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171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94</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Not listed on landing page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Gap Synthesis</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118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12</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Generic Drug Catalog</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43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29</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Health Equity</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72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24</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Immunomod LADA</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44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17</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Islet Drug Repurposing</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112 KB</w:t>
            </w:r>
          </w:p>
        </w:tc>
        <w:tc>
          <w:tcPr>
            <w:tcW w:type="dxa" w:w="7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37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Zero PMIDs; missing navbar; not listed on landing page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Islet Transplant Analysis</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70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7</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Islet Transplant Equity</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40 KB</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10</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LADA Diagnostic Model</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43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97</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LADA Natural History</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56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8</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LADA Prevalence</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50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7</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Medical Data Dictionary</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351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105</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Methodology</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62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Zero PMIDs (methodology reference – acceptable but flagged)</w:t>
            </w:r>
          </w:p>
        </w:tc>
      </w:tr>
      <w:tr>
        <w:tc>
          <w:tcPr>
            <w:tcW w:type="dxa" w:w="22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Nutrition Beta Cells</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41 KB</w:t>
            </w:r>
          </w:p>
        </w:tc>
        <w:tc>
          <w:tcPr>
            <w:tcW w:type="dxa" w:w="7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20</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Nutrition LADA</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51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PMID Verification</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168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 (verification tool)</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Paper Library</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198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0</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 (library index)</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Research Dashboard</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60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Only 1 PMID</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Research Paths</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120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8</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back-link and navbar</w:t>
            </w:r>
          </w:p>
        </w:tc>
      </w:tr>
      <w:tr>
        <w:tc>
          <w:tcPr>
            <w:tcW w:type="dxa" w:w="22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Statistical Analysis</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32 KB</w:t>
            </w:r>
          </w:p>
        </w:tc>
        <w:tc>
          <w:tcPr>
            <w:tcW w:type="dxa" w:w="7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2</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37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Missing back-link and navbar; only 2 PMIDs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Treg Neuropathy</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64 KB</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Missing navbar</w:t>
            </w:r>
          </w:p>
        </w:tc>
      </w:tr>
      <w:tr>
        <w:tc>
          <w:tcPr>
            <w:tcW w:type="dxa" w:w="22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Trial Equity Mapper</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69 KB</w:t>
            </w:r>
          </w:p>
        </w:tc>
        <w:tc>
          <w:tcPr>
            <w:tcW w:type="dxa" w:w="7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9</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6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w:t>
            </w:r>
          </w:p>
        </w:tc>
        <w:tc>
          <w:tcPr>
            <w:tcW w:type="dxa" w:w="80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b/>
                <w:bCs/>
                <w:color w:val="27AE60"/>
                <w:sz w:val="18"/>
                <w:szCs w:val="18"/>
              </w:rPr>
              <w:t xml:space="preserve">PASS</w:t>
            </w:r>
          </w:p>
        </w:tc>
        <w:tc>
          <w:tcPr>
            <w:tcW w:type="dxa" w:w="3760"/>
            <w:tcBorders>
              <w:top w:val="single" w:color="CCCCCC" w:sz="1"/>
              <w:left w:val="single" w:color="CCCCCC" w:sz="1"/>
              <w:bottom w:val="single" w:color="CCCCCC" w:sz="1"/>
              <w:right w:val="single" w:color="CCCCCC" w:sz="1"/>
            </w:tcBorders>
            <w:shd w:fill="E8F8F5" w:val="clear"/>
            <w:tcMar>
              <w:top w:type="dxa" w:w="60"/>
              <w:left w:type="dxa" w:w="100"/>
              <w:bottom w:type="dxa" w:w="60"/>
              <w:right w:type="dxa" w:w="100"/>
            </w:tcMar>
          </w:tcPr>
          <w:p>
            <w:r>
              <w:rPr>
                <w:rFonts w:ascii="Arial" w:cs="Arial" w:eastAsia="Arial" w:hAnsi="Arial"/>
                <w:sz w:val="18"/>
                <w:szCs w:val="18"/>
              </w:rPr>
              <w:t xml:space="preserve">None</w:t>
            </w:r>
          </w:p>
        </w:tc>
      </w:tr>
    </w:tbl>
    <w:p>
      <w:r>
        <w:br w:type="page"/>
      </w:r>
    </w:p>
    <w:p>
      <w:pPr>
        <w:pStyle w:val="Heading1"/>
      </w:pPr>
      <w:r>
        <w:t xml:space="preserve">1. Navigation and UX Consistency</w:t>
      </w:r>
    </w:p>
    <w:p>
      <w:pPr>
        <w:pStyle w:val="Heading2"/>
      </w:pPr>
      <w:r>
        <w:t xml:space="preserve">Back-links to Hub Landing Page</w:t>
      </w:r>
    </w:p>
    <w:p>
      <w:pPr>
        <w:spacing w:after="120"/>
      </w:pPr>
      <w:r>
        <w:t xml:space="preserve">Five dashboards lack any link back to the main hub landing page: Corpus_Analysis, Extracted_Evidence, Gap_Deep_Dives, Research_Paths, and Statistical_Analysis. Users who navigate directly to these dashboards have no way to return to the hub without using the browser back button.</w:t>
      </w:r>
    </w:p>
    <w:p>
      <w:pPr>
        <w:pStyle w:val="Heading2"/>
      </w:pPr>
      <w:r>
        <w:t xml:space="preserve">Navigation Bars</w:t>
      </w:r>
    </w:p>
    <w:p>
      <w:pPr>
        <w:spacing w:after="120"/>
      </w:pPr>
      <w:r>
        <w:t xml:space="preserve">Fourteen dashboards lack a navigation bar with cross-links to other dashboards: Drug_Repurposing_Islet, Equity_Map, Extracted_Evidence, GKA_LADA, GKA_Landscape, GKA_Pricing, Gap_Deep_Dives, Islet_Drug_Repurposing, Islet_Transplant_Equity, Nutrition_Beta_Cells, Nutrition_LADA, Research_Paths, Statistical_Analysis, and Treg_Neuropathy. This makes it difficult for users to discover related analysis.</w:t>
      </w:r>
    </w:p>
    <w:p>
      <w:pPr>
        <w:pStyle w:val="Heading2"/>
      </w:pPr>
      <w:r>
        <w:t xml:space="preserve">Landing Page Completeness</w:t>
      </w:r>
    </w:p>
    <w:p>
      <w:pPr>
        <w:spacing w:after="200"/>
      </w:pPr>
      <w:r>
        <w:t xml:space="preserve">The landing page (docs/index.html) links to 32 of 34 active dashboards. Two dashboards are missing: Gap_Evidence.html and Islet_Drug_Repurposing.html. All 32 listed links resolve correctly to existing files.</w:t>
      </w:r>
    </w:p>
    <w:p>
      <w:pPr>
        <w:pStyle w:val="Heading1"/>
      </w:pPr>
      <w:r>
        <w:t xml:space="preserve">2. Research Validity and Citation Completeness</w:t>
      </w:r>
    </w:p>
    <w:p>
      <w:pPr>
        <w:pStyle w:val="Heading2"/>
      </w:pPr>
      <w:r>
        <w:t xml:space="preserve">PMID Coverage</w:t>
      </w:r>
    </w:p>
    <w:p>
      <w:pPr>
        <w:spacing w:after="120"/>
      </w:pPr>
      <w:r>
        <w:t xml:space="preserve">238 unique PMIDs are cited across all dashboards. Three content dashboards have zero PMIDs and are flagged HIGH priority: Clinical_Trial_Dashboard, Corpus_Analysis, and Islet_Drug_Repurposing. Two dashboards fall below the 3-PMID threshold (MEDIUM): Research_Dashboard (1 PMID) and Statistical_Analysis (2 PMIDs).</w:t>
      </w:r>
    </w:p>
    <w:p>
      <w:pPr>
        <w:pStyle w:val="Heading2"/>
      </w:pPr>
      <w:r>
        <w:t xml:space="preserve">PMID Hyperlink Coverage</w:t>
      </w:r>
    </w:p>
    <w:p>
      <w:pPr>
        <w:spacing w:after="120"/>
      </w:pPr>
      <w:r>
        <w:t xml:space="preserve">268 unique PubMed URLs are hyperlinked across the platform. However, 17 dashboards cite PMIDs as plain text without linking to pubmed.ncbi.nlm.nih.gov. These include high-citation dashboards such as Research_Paths (137 PMID text mentions, 0 links), Medical_Data_Dictionary (105 mentions, 0 links), Gap_Deep_Dives (108 mentions, 0 links), and LADA_Diagnostic_Model (86 mentions, 0 links). Converting these to hyperlinks would significantly improve verifiability.</w:t>
      </w:r>
    </w:p>
    <w:p>
      <w:pPr>
        <w:pStyle w:val="Heading2"/>
      </w:pPr>
      <w:r>
        <w:t xml:space="preserve">Duplicate PMID Analysis</w:t>
      </w:r>
    </w:p>
    <w:p>
      <w:pPr>
        <w:spacing w:after="200"/>
      </w:pPr>
      <w:r>
        <w:t xml:space="preserve">The most frequently cited PMID is 29710129 (87 occurrences across dashboards), followed by 34763823 (70 occurrences) and 37909353 (50 occurrences). These appear to be foundational references cited across multiple gap analyses. No evidence of the same PMID being misattributed to different studies was found; the repeated citations reflect cross-referencing of key papers across related dashboards.</w:t>
      </w:r>
    </w:p>
    <w:p>
      <w:pPr>
        <w:pStyle w:val="Heading1"/>
      </w:pPr>
      <w:r>
        <w:t xml:space="preserve">3. Build Integrity</w:t>
      </w:r>
    </w:p>
    <w:p>
      <w:pPr>
        <w:spacing w:after="120"/>
      </w:pPr>
      <w:r>
        <w:t xml:space="preserve">All 39 build scripts in run_quality_improvements.py executed successfully with zero errors. The build pipeline covers: 30 dashboard build scripts, 4 data processing scripts, and 5 infrastructure scripts (website rebuild, PMID verification, citation validation, paper ingestion, evidence extraction).</w:t>
      </w:r>
    </w:p>
    <w:p>
      <w:pPr>
        <w:spacing w:after="200"/>
      </w:pPr>
      <w:r>
        <w:t xml:space="preserve">Total output: 34 active dashboards (3.7 MB), 4 quarantined dashboards, and 1 landing page. No scripts produced warnings or unexpected output.</w:t>
      </w:r>
    </w:p>
    <w:p>
      <w:pPr>
        <w:pStyle w:val="Heading1"/>
      </w:pPr>
      <w:r>
        <w:t xml:space="preserve">4. Content Freshness</w:t>
      </w:r>
    </w:p>
    <w:p>
      <w:pPr>
        <w:spacing w:after="120"/>
      </w:pPr>
      <w:r>
        <w:t xml:space="preserve">The landing page footer displays “Last updated: 2026-04-12” which is current. The clinical trial count has been updated to 758 (up from 746 cited in the original task specification), indicating active data maintenance.</w:t>
      </w:r>
    </w:p>
    <w:p>
      <w:pPr>
        <w:spacing w:after="120"/>
      </w:pPr>
      <w:r>
        <w:rPr>
          <w:b/>
          <w:bCs/>
        </w:rPr>
        <w:t xml:space="preserve">Upcoming items: </w:t>
      </w:r>
      <w:r>
        <w:t xml:space="preserve">The landing page lists two items under “Upcoming” with a target date of “April 2026.” Since we are now in April 2026, these items should be updated to reflect whether they have been completed, are in progress, or have been rescheduled. Leaving them as “upcoming” risks appearing stale to visitors.</w:t>
      </w:r>
    </w:p>
    <w:p>
      <w:pPr>
        <w:spacing w:after="200"/>
      </w:pPr>
      <w:r>
        <w:t xml:space="preserve">The copyright year (2026) is current. OSF and GitHub links in the footer are present and correctly formatted.</w:t>
      </w:r>
    </w:p>
    <w:p>
      <w:pPr>
        <w:pStyle w:val="Heading1"/>
      </w:pPr>
      <w:r>
        <w:t xml:space="preserve">5. Accessibility and Inclusivity</w:t>
      </w:r>
    </w:p>
    <w:p>
      <w:pPr>
        <w:pStyle w:val="Heading2"/>
      </w:pPr>
      <w:r>
        <w:t xml:space="preserve">ARIA Labels</w:t>
      </w:r>
    </w:p>
    <w:p>
      <w:pPr>
        <w:spacing w:after="120"/>
      </w:pPr>
      <w:r>
        <w:t xml:space="preserve">Zero ARIA attributes were found across all 34 dashboards. Interactive elements (tabs, expandable sections, filters, search inputs) lack screen reader support. This is a systemic gap that affects all users relying on assistive technology.</w:t>
      </w:r>
    </w:p>
    <w:p>
      <w:pPr>
        <w:pStyle w:val="Heading2"/>
      </w:pPr>
      <w:r>
        <w:t xml:space="preserve">Color Contrast</w:t>
      </w:r>
    </w:p>
    <w:p>
      <w:pPr>
        <w:spacing w:after="120"/>
      </w:pPr>
      <w:r>
        <w:t xml:space="preserve">The platform uses muted text color #636363 on a #fafaf7 background. This combination yields a contrast ratio of approximately 5.7:1, which meets WCAG AA standards for normal text (minimum 4.5:1) and is close to AAA (7:1). However, some lighter gray text elements may fall below threshold and should be audited individually.</w:t>
      </w:r>
    </w:p>
    <w:p>
      <w:pPr>
        <w:pStyle w:val="Heading2"/>
      </w:pPr>
      <w:r>
        <w:t xml:space="preserve">Table Headers</w:t>
      </w:r>
    </w:p>
    <w:p>
      <w:pPr>
        <w:spacing w:after="200"/>
      </w:pPr>
      <w:r>
        <w:t xml:space="preserve">No dashboards with tables were found to be missing &lt;th&gt; header elements, which is positive. Tables appear to use proper semantic markup for headers.</w:t>
      </w:r>
    </w:p>
    <w:p>
      <w:pPr>
        <w:pStyle w:val="Heading1"/>
      </w:pPr>
      <w:r>
        <w:t xml:space="preserve">6. Collaboration Infrastructure</w:t>
      </w:r>
    </w:p>
    <w:p>
      <w:pPr>
        <w:pStyle w:val="Heading2"/>
      </w:pPr>
      <w:r>
        <w:t xml:space="preserve">CONTRIBUTING.md</w:t>
      </w:r>
    </w:p>
    <w:p>
      <w:pPr>
        <w:spacing w:after="120"/>
      </w:pPr>
      <w:r>
        <w:t xml:space="preserve">A comprehensive CONTRIBUTING.md exists in the repository root. It covers: reporting data errors, suggesting new research gaps, improving existing dashboards, adding citations, project structure, and validation standards. The document follows a triple-source validation framework (GOLD / SILVER / BRONZE tiers) and specifies PMID as the preferred citation format.</w:t>
      </w:r>
    </w:p>
    <w:p>
      <w:pPr>
        <w:pStyle w:val="Heading2"/>
      </w:pPr>
      <w:r>
        <w:t xml:space="preserve">Citation Format</w:t>
      </w:r>
    </w:p>
    <w:p>
      <w:pPr>
        <w:spacing w:after="120"/>
      </w:pPr>
      <w:r>
        <w:t xml:space="preserve">A citation format is provided in CONTRIBUTING.md with clear guidance: PMIDs preferred, DOIs acceptable, NCT numbers for clinical trials, and source-plus-date for market data.</w:t>
      </w:r>
    </w:p>
    <w:p>
      <w:pPr>
        <w:pStyle w:val="Heading2"/>
      </w:pPr>
      <w:r>
        <w:t xml:space="preserve">GitHub Issue Templates</w:t>
      </w:r>
    </w:p>
    <w:p>
      <w:pPr>
        <w:spacing w:after="200"/>
      </w:pPr>
      <w:r>
        <w:t xml:space="preserve">No .github/ISSUE_TEMPLATE/ directory was found. While CONTRIBUTING.md references creating GitHub issues, structured templates would streamline the contribution process and ensure consistent reporting of data errors, gap suggestions, and bug reports.</w:t>
      </w:r>
    </w:p>
    <w:p>
      <w:r>
        <w:br w:type="page"/>
      </w:r>
    </w:p>
    <w:p>
      <w:pPr>
        <w:pStyle w:val="Heading1"/>
      </w:pPr>
      <w:r>
        <w:t xml:space="preserve">Priority Action Items</w:t>
      </w:r>
    </w:p>
    <w:p>
      <w:pPr>
        <w:spacing w:after="120"/>
      </w:pPr>
      <w:r>
        <w:t xml:space="preserve">The following table lists all recommended actions ranked by priority. HIGH items affect research credibility or discoverability; MEDIUM items affect usability; LOW items are best-practice improvements.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Priority</w:t>
            </w:r>
          </w:p>
        </w:tc>
        <w:tc>
          <w:tcPr>
            <w:tcW w:type="dxa" w:w="55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Action Item</w:t>
            </w:r>
          </w:p>
        </w:tc>
        <w:tc>
          <w:tcPr>
            <w:tcW w:type="dxa" w:w="30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Arial" w:cs="Arial" w:eastAsia="Arial" w:hAnsi="Arial"/>
                <w:b/>
                <w:bCs/>
                <w:color w:val="FFFFFF"/>
                <w:sz w:val="18"/>
                <w:szCs w:val="18"/>
              </w:rPr>
              <w:t xml:space="preserve">Rationale</w:t>
            </w:r>
          </w:p>
        </w:tc>
      </w:tr>
      <w:tr>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5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Add PMID citations to Clinical_Trial_Dashboard.html</w:t>
            </w:r>
          </w:p>
        </w:tc>
        <w:tc>
          <w:tcPr>
            <w:tcW w:type="dxa" w:w="30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Credibility gap on core dashboard</w:t>
            </w:r>
          </w:p>
        </w:tc>
      </w:tr>
      <w:tr>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5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Add PMID citations to Corpus_Analysis.html and add back-link to hub</w:t>
            </w:r>
          </w:p>
        </w:tc>
        <w:tc>
          <w:tcPr>
            <w:tcW w:type="dxa" w:w="30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Zero citations, no navigation home</w:t>
            </w:r>
          </w:p>
        </w:tc>
      </w:tr>
      <w:tr>
        <w:tc>
          <w:tcPr>
            <w:tcW w:type="dxa" w:w="8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HIGH</w:t>
            </w:r>
          </w:p>
        </w:tc>
        <w:tc>
          <w:tcPr>
            <w:tcW w:type="dxa" w:w="5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Add PMID citations to Islet_Drug_Repurposing.html and list on landing page</w:t>
            </w:r>
          </w:p>
        </w:tc>
        <w:tc>
          <w:tcPr>
            <w:tcW w:type="dxa" w:w="30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sz w:val="18"/>
                <w:szCs w:val="18"/>
              </w:rPr>
              <w:t xml:space="preserve">Invisible and uncited dashboard</w:t>
            </w:r>
          </w:p>
        </w:tc>
      </w:tr>
      <w:tr>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5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Add navigation bars to 14 dashboards missing them</w:t>
            </w:r>
          </w:p>
        </w:tc>
        <w:tc>
          <w:tcPr>
            <w:tcW w:type="dxa" w:w="3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Limits discoverability</w:t>
            </w:r>
          </w:p>
        </w:tc>
      </w:tr>
      <w:tr>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5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Add back-links to 5 dashboards (Corpus Analysis, Extracted Evidence, Gap Deep Dives, Research Paths, Statistical Analysis)</w:t>
            </w:r>
          </w:p>
        </w:tc>
        <w:tc>
          <w:tcPr>
            <w:tcW w:type="dxa" w:w="3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Users cannot return to hub</w:t>
            </w:r>
          </w:p>
        </w:tc>
      </w:tr>
      <w:tr>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5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List Gap_Evidence.html on landing page</w:t>
            </w:r>
          </w:p>
        </w:tc>
        <w:tc>
          <w:tcPr>
            <w:tcW w:type="dxa" w:w="3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Dashboard exists but is undiscoverable from hub</w:t>
            </w:r>
          </w:p>
        </w:tc>
      </w:tr>
      <w:tr>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5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Add PubMed hyperlinks to 17 dashboards that cite PMIDs as text only</w:t>
            </w:r>
          </w:p>
        </w:tc>
        <w:tc>
          <w:tcPr>
            <w:tcW w:type="dxa" w:w="3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268 linked PMIDs vs. many text-only mentions</w:t>
            </w:r>
          </w:p>
        </w:tc>
      </w:tr>
      <w:tr>
        <w:tc>
          <w:tcPr>
            <w:tcW w:type="dxa" w:w="8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b/>
                <w:bCs/>
                <w:color w:val="D4AC0D"/>
                <w:sz w:val="18"/>
                <w:szCs w:val="18"/>
              </w:rPr>
              <w:t xml:space="preserve">MEDIUM</w:t>
            </w:r>
          </w:p>
        </w:tc>
        <w:tc>
          <w:tcPr>
            <w:tcW w:type="dxa" w:w="5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Increase PMID count on Research Dashboard (currently 1) and Statistical Analysis (currently 2)</w:t>
            </w:r>
          </w:p>
        </w:tc>
        <w:tc>
          <w:tcPr>
            <w:tcW w:type="dxa" w:w="300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tcPr>
          <w:p>
            <w:r>
              <w:rPr>
                <w:rFonts w:ascii="Arial" w:cs="Arial" w:eastAsia="Arial" w:hAnsi="Arial"/>
                <w:sz w:val="18"/>
                <w:szCs w:val="18"/>
              </w:rPr>
              <w:t xml:space="preserve">Below minimum threshold of 3</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Add ARIA labels to all 34 dashboards for screen reader support</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Zero ARIA attributes platform-wide</w:t>
            </w:r>
          </w:p>
        </w:tc>
      </w:tr>
      <w:tr>
        <w:tc>
          <w:tcPr>
            <w:tcW w:type="dxa" w:w="8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556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Create GitHub issue templates (.github/ISSUE_TEMPLATE/)</w:t>
            </w:r>
          </w:p>
        </w:tc>
        <w:tc>
          <w:tcPr>
            <w:tcW w:type="dxa" w:w="3000"/>
            <w:tcBorders>
              <w:top w:val="single" w:color="CCCCCC" w:sz="1"/>
              <w:left w:val="single" w:color="CCCCCC" w:sz="1"/>
              <w:bottom w:val="single" w:color="CCCCCC" w:sz="1"/>
              <w:right w:val="single" w:color="CCCCCC" w:sz="1"/>
            </w:tcBorders>
            <w:shd w:fill="F7F7F2" w:val="clear"/>
            <w:tcMar>
              <w:top w:type="dxa" w:w="60"/>
              <w:left w:type="dxa" w:w="100"/>
              <w:bottom w:type="dxa" w:w="60"/>
              <w:right w:type="dxa" w:w="100"/>
            </w:tcMar>
          </w:tcPr>
          <w:p>
            <w:r>
              <w:rPr>
                <w:rFonts w:ascii="Arial" w:cs="Arial" w:eastAsia="Arial" w:hAnsi="Arial"/>
                <w:sz w:val="18"/>
                <w:szCs w:val="18"/>
              </w:rPr>
              <w:t xml:space="preserve">Streamline contributor workflow</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7F8C8D"/>
                <w:sz w:val="18"/>
                <w:szCs w:val="18"/>
              </w:rPr>
              <w:t xml:space="preserve">LOW</w:t>
            </w:r>
          </w:p>
        </w:tc>
        <w:tc>
          <w:tcPr>
            <w:tcW w:type="dxa" w:w="5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Update ‘Upcoming April 2026’ items on landing page to reflect current status</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May appear stale to visitors</w:t>
            </w:r>
          </w:p>
        </w:tc>
      </w:tr>
    </w:tbl>
    <w:p>
      <w:pPr>
        <w:pBdr>
          <w:top w:val="single" w:color="BDC3C7" w:sz="2" w:space="8"/>
        </w:pBdr>
        <w:spacing w:before="400"/>
      </w:pPr>
      <w:r>
        <w:rPr>
          <w:i/>
          <w:iCs/>
          <w:color w:val="7F8C8D"/>
          <w:sz w:val="20"/>
          <w:szCs w:val="20"/>
        </w:rPr>
        <w:t xml:space="preserve">Report generated automatically on April 12, 2026. Next audit scheduled for April 19, 2026.</w:t>
      </w:r>
    </w:p>
    <w:sectPr>
      <w:headerReference w:type="default" r:id="rId7"/>
      <w:footerReference w:type="default" r:id="rId8"/>
      <w:pgSz w:w="15840" w:h="122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3C7" w:sz="2" w:space="4"/>
      </w:pBdr>
      <w:jc w:val="center"/>
    </w:pPr>
    <w:r>
      <w:rPr>
        <w:rFonts w:ascii="Arial" w:cs="Arial" w:eastAsia="Arial" w:hAnsi="Arial"/>
        <w:color w:val="7F8C8D"/>
        <w:sz w:val="16"/>
        <w:szCs w:val="16"/>
      </w:rPr>
      <w:t xml:space="preserve">Page </w:t>
    </w:r>
    <w:r>
      <w:rPr>
        <w:rFonts w:ascii="Arial" w:cs="Arial" w:eastAsia="Arial" w:hAnsi="Arial"/>
        <w:color w:val="7F8C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3E50" w:sz="4" w:space="4"/>
      </w:pBdr>
      <w:tabs>
        <w:tab w:val="right" w:pos="9026"/>
      </w:tabs>
    </w:pPr>
    <w:r>
      <w:rPr>
        <w:rFonts w:ascii="Arial" w:cs="Arial" w:eastAsia="Arial" w:hAnsi="Arial"/>
        <w:color w:val="7F8C8D"/>
        <w:sz w:val="18"/>
        <w:szCs w:val="18"/>
      </w:rPr>
      <w:t xml:space="preserve">Diabetes Research Hub — Weekly Platform Audit</w:t>
    </w:r>
    <w:r>
      <w:rPr>
        <w:rFonts w:ascii="Arial" w:cs="Arial" w:eastAsia="Arial" w:hAnsi="Arial"/>
        <w:color w:val="7F8C8D"/>
        <w:sz w:val="18"/>
        <w:szCs w:val="18"/>
      </w:rPr>
      <w:t xml:space="preserve">	April 12,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34495E"/>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5D6D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2026-04-12T14:10:19.939Z</dcterms:created>
  <dcterms:modified xsi:type="dcterms:W3CDTF">2026-04-12T14:10:19.940Z</dcterms:modified>
</cp:coreProperties>
</file>

<file path=docProps/custom.xml><?xml version="1.0" encoding="utf-8"?>
<Properties xmlns="http://schemas.openxmlformats.org/officeDocument/2006/custom-properties" xmlns:vt="http://schemas.openxmlformats.org/officeDocument/2006/docPropsVTypes"/>
</file>